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18.08.2021,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Thomas Ziese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contextualSpacing w:val="0"/>
        <w:rPr>
          <w:sz w:val="22"/>
          <w:szCs w:val="22"/>
        </w:rPr>
      </w:pPr>
      <w:r>
        <w:rPr>
          <w:sz w:val="22"/>
          <w:szCs w:val="22"/>
        </w:rPr>
        <w:t xml:space="preserve">Nadine </w:t>
      </w:r>
      <w:r>
        <w:rPr>
          <w:rStyle w:val="highlight"/>
          <w:sz w:val="22"/>
          <w:szCs w:val="22"/>
        </w:rPr>
        <w:t>Litzba</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Barbara Biere</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rStyle w:val="highlight"/>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4"/>
        </w:numPr>
        <w:spacing w:after="0"/>
        <w:rPr>
          <w:sz w:val="22"/>
        </w:rPr>
      </w:pPr>
      <w:r>
        <w:rPr>
          <w:sz w:val="22"/>
        </w:rPr>
        <w:t>FG 33</w:t>
      </w:r>
    </w:p>
    <w:p>
      <w:pPr>
        <w:pStyle w:val="Listenabsatz"/>
        <w:numPr>
          <w:ilvl w:val="1"/>
          <w:numId w:val="4"/>
        </w:numPr>
        <w:spacing w:after="0"/>
        <w:rPr>
          <w:sz w:val="22"/>
        </w:rPr>
      </w:pPr>
      <w:r>
        <w:rPr>
          <w:sz w:val="22"/>
        </w:rPr>
        <w:t>Thomas Harder</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Silke Buda</w:t>
      </w:r>
    </w:p>
    <w:p>
      <w:pPr>
        <w:pStyle w:val="Listenabsatz"/>
        <w:spacing w:after="0"/>
        <w:contextualSpacing w:val="0"/>
        <w:rPr>
          <w:sz w:val="22"/>
        </w:rPr>
      </w:pP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Claudia Siffczyk</w:t>
      </w:r>
    </w:p>
    <w:p>
      <w:pPr>
        <w:pStyle w:val="Listenabsatz"/>
        <w:numPr>
          <w:ilvl w:val="1"/>
          <w:numId w:val="2"/>
        </w:numPr>
        <w:spacing w:after="0"/>
        <w:contextualSpacing w:val="0"/>
        <w:rPr>
          <w:sz w:val="22"/>
        </w:rPr>
      </w:pPr>
      <w:r>
        <w:rPr>
          <w:sz w:val="22"/>
        </w:rPr>
        <w:t>Petra v. Berenberg (Protokoll)</w:t>
      </w:r>
    </w:p>
    <w:p>
      <w:pPr>
        <w:pStyle w:val="Listenabsatz"/>
        <w:numPr>
          <w:ilvl w:val="0"/>
          <w:numId w:val="3"/>
        </w:numPr>
        <w:spacing w:after="0"/>
        <w:contextualSpacing w:val="0"/>
        <w:rPr>
          <w:sz w:val="22"/>
        </w:rPr>
      </w:pPr>
      <w:r>
        <w:rPr>
          <w:sz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John Gubernath</w:t>
      </w:r>
    </w:p>
    <w:p>
      <w:pPr>
        <w:pStyle w:val="Listenabsatz"/>
        <w:numPr>
          <w:ilvl w:val="1"/>
          <w:numId w:val="3"/>
        </w:numPr>
        <w:spacing w:after="0"/>
        <w:contextualSpacing w:val="0"/>
        <w:rPr>
          <w:sz w:val="22"/>
        </w:rPr>
      </w:pPr>
      <w:r>
        <w:rPr>
          <w:sz w:val="22"/>
        </w:rPr>
        <w:t xml:space="preserve">Esther-Maria </w:t>
      </w:r>
      <w:r>
        <w:rPr>
          <w:sz w:val="22"/>
          <w:szCs w:val="22"/>
        </w:rPr>
        <w:t>Antão</w:t>
      </w:r>
    </w:p>
    <w:p>
      <w:pPr>
        <w:pStyle w:val="Listenabsatz"/>
        <w:numPr>
          <w:ilvl w:val="0"/>
          <w:numId w:val="3"/>
        </w:numPr>
        <w:spacing w:after="0"/>
        <w:contextualSpacing w:val="0"/>
        <w:rPr>
          <w:sz w:val="22"/>
        </w:rPr>
      </w:pPr>
      <w:r>
        <w:rPr>
          <w:sz w:val="22"/>
        </w:rPr>
        <w:t>P4</w:t>
      </w:r>
    </w:p>
    <w:p>
      <w:pPr>
        <w:pStyle w:val="Listenabsatz"/>
        <w:numPr>
          <w:ilvl w:val="1"/>
          <w:numId w:val="3"/>
        </w:numPr>
        <w:spacing w:after="0"/>
        <w:contextualSpacing w:val="0"/>
        <w:rPr>
          <w:rStyle w:val="highlight"/>
          <w:sz w:val="22"/>
          <w:szCs w:val="22"/>
        </w:rPr>
      </w:pPr>
      <w:r>
        <w:rPr>
          <w:sz w:val="22"/>
          <w:szCs w:val="22"/>
        </w:rPr>
        <w:t xml:space="preserve">Susanne </w:t>
      </w:r>
      <w:r>
        <w:rPr>
          <w:rStyle w:val="highlight"/>
          <w:sz w:val="22"/>
          <w:szCs w:val="22"/>
        </w:rPr>
        <w:t>Gottwald</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szCs w:val="22"/>
        </w:rPr>
      </w:pPr>
      <w:r>
        <w:rPr>
          <w:sz w:val="22"/>
          <w:szCs w:val="22"/>
        </w:rPr>
        <w:t>Marieke Degen</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Claudia Schulz-Weidhaas</w:t>
      </w:r>
    </w:p>
    <w:p>
      <w:pPr>
        <w:pStyle w:val="Listenabsatz"/>
        <w:numPr>
          <w:ilvl w:val="0"/>
          <w:numId w:val="30"/>
        </w:numPr>
        <w:spacing w:after="0"/>
        <w:rPr>
          <w:rStyle w:val="highlight"/>
          <w:sz w:val="22"/>
          <w:szCs w:val="22"/>
        </w:rPr>
      </w:pPr>
      <w:r>
        <w:rPr>
          <w:rStyle w:val="highlight"/>
          <w:sz w:val="22"/>
          <w:szCs w:val="22"/>
        </w:rPr>
        <w:t>ZIG</w:t>
      </w:r>
    </w:p>
    <w:p>
      <w:pPr>
        <w:pStyle w:val="Listenabsatz"/>
        <w:numPr>
          <w:ilvl w:val="1"/>
          <w:numId w:val="30"/>
        </w:numPr>
        <w:spacing w:after="0"/>
        <w:rPr>
          <w:rStyle w:val="highlight"/>
          <w:sz w:val="22"/>
          <w:szCs w:val="22"/>
        </w:rPr>
      </w:pPr>
      <w:r>
        <w:rPr>
          <w:rStyle w:val="highlight"/>
          <w:sz w:val="22"/>
          <w:szCs w:val="22"/>
        </w:rPr>
        <w:t>Johanna Hanefeld</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rPr>
      </w:pPr>
      <w:r>
        <w:rPr>
          <w:sz w:val="22"/>
        </w:rPr>
        <w:t>Heide Ebrahimzadeh-Wetter</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3.835.375 (+8.324) Fälle, davon 91.921(+22) Todesfälle </w:t>
            </w:r>
          </w:p>
          <w:p>
            <w:pPr>
              <w:pStyle w:val="Listenabsatz"/>
              <w:numPr>
                <w:ilvl w:val="1"/>
                <w:numId w:val="8"/>
              </w:numPr>
              <w:ind w:left="907" w:hanging="340"/>
              <w:rPr>
                <w:sz w:val="22"/>
                <w:szCs w:val="22"/>
              </w:rPr>
            </w:pPr>
            <w:r>
              <w:rPr>
                <w:sz w:val="22"/>
                <w:szCs w:val="22"/>
              </w:rPr>
              <w:t xml:space="preserve">7-Tage-Inzidenz 40,8/100.000 Einw. </w:t>
            </w:r>
          </w:p>
          <w:p>
            <w:pPr>
              <w:pStyle w:val="Listenabsatz"/>
              <w:numPr>
                <w:ilvl w:val="1"/>
                <w:numId w:val="8"/>
              </w:numPr>
              <w:ind w:left="907" w:hanging="340"/>
              <w:rPr>
                <w:sz w:val="22"/>
                <w:szCs w:val="22"/>
              </w:rPr>
            </w:pPr>
            <w:r>
              <w:rPr>
                <w:sz w:val="22"/>
                <w:szCs w:val="22"/>
              </w:rPr>
              <w:t>Impfmonitoring: Geimpfte mit 1. Dosis 52.803.002 (63,5%), mit vollständiger Impfung 48.109.314 (57,8%)</w:t>
            </w:r>
          </w:p>
          <w:p>
            <w:pPr>
              <w:pStyle w:val="Listenabsatz"/>
              <w:numPr>
                <w:ilvl w:val="1"/>
                <w:numId w:val="5"/>
              </w:numPr>
              <w:ind w:left="924" w:hanging="357"/>
              <w:rPr>
                <w:sz w:val="22"/>
                <w:szCs w:val="22"/>
              </w:rPr>
            </w:pPr>
            <w:r>
              <w:rPr>
                <w:sz w:val="22"/>
                <w:szCs w:val="22"/>
              </w:rPr>
              <w:t xml:space="preserve">Verlauf der 7-Tages-Inzidenz der Bundesländer </w:t>
            </w:r>
          </w:p>
          <w:p>
            <w:pPr>
              <w:pStyle w:val="Listenabsatz"/>
              <w:numPr>
                <w:ilvl w:val="2"/>
                <w:numId w:val="5"/>
              </w:numPr>
              <w:ind w:left="1491" w:hanging="357"/>
              <w:rPr>
                <w:sz w:val="22"/>
                <w:szCs w:val="22"/>
              </w:rPr>
            </w:pPr>
            <w:r>
              <w:rPr>
                <w:sz w:val="22"/>
                <w:szCs w:val="22"/>
              </w:rPr>
              <w:t>Weiterhin steigende Inzidenz</w:t>
            </w:r>
          </w:p>
          <w:p>
            <w:pPr>
              <w:pStyle w:val="Listenabsatz"/>
              <w:numPr>
                <w:ilvl w:val="2"/>
                <w:numId w:val="5"/>
              </w:numPr>
              <w:ind w:left="1491" w:hanging="357"/>
              <w:rPr>
                <w:sz w:val="22"/>
                <w:szCs w:val="22"/>
              </w:rPr>
            </w:pPr>
            <w:r>
              <w:rPr>
                <w:sz w:val="22"/>
                <w:szCs w:val="22"/>
              </w:rPr>
              <w:t xml:space="preserve">Wie letzte Woche sehr unterschiedliche Werte in den BL </w:t>
            </w:r>
          </w:p>
          <w:p>
            <w:pPr>
              <w:pStyle w:val="Listenabsatz"/>
              <w:numPr>
                <w:ilvl w:val="2"/>
                <w:numId w:val="5"/>
              </w:numPr>
              <w:ind w:left="1491" w:hanging="357"/>
              <w:rPr>
                <w:sz w:val="22"/>
                <w:szCs w:val="22"/>
              </w:rPr>
            </w:pPr>
            <w:r>
              <w:rPr>
                <w:sz w:val="22"/>
                <w:szCs w:val="22"/>
              </w:rPr>
              <w:t>Sehr hohe Zahlen in HH, BE, NW, SH</w:t>
            </w:r>
          </w:p>
          <w:p>
            <w:pPr>
              <w:pStyle w:val="Listenabsatz"/>
              <w:numPr>
                <w:ilvl w:val="2"/>
                <w:numId w:val="5"/>
              </w:numPr>
              <w:ind w:left="1491" w:hanging="357"/>
              <w:rPr>
                <w:sz w:val="22"/>
                <w:szCs w:val="22"/>
              </w:rPr>
            </w:pPr>
            <w:r>
              <w:rPr>
                <w:sz w:val="22"/>
                <w:szCs w:val="22"/>
              </w:rPr>
              <w:t>Anstieg bin HH und BE hat sich verlangsamt, steiler Anstieg in NW, Beruhigung in SH (wurde in EpiLag-Telko bestätigt)</w:t>
            </w:r>
          </w:p>
          <w:p>
            <w:pPr>
              <w:pStyle w:val="Listenabsatz"/>
              <w:numPr>
                <w:ilvl w:val="2"/>
                <w:numId w:val="5"/>
              </w:numPr>
              <w:ind w:left="1491" w:hanging="357"/>
              <w:rPr>
                <w:sz w:val="22"/>
                <w:szCs w:val="22"/>
              </w:rPr>
            </w:pPr>
            <w:r>
              <w:rPr>
                <w:sz w:val="22"/>
                <w:szCs w:val="22"/>
              </w:rPr>
              <w:t>Im geografisch mittleren Bereich zeichnen sich langsame Anstiege ab: TH, SN, BB</w:t>
            </w:r>
          </w:p>
          <w:p>
            <w:pPr>
              <w:pStyle w:val="Listenabsatz"/>
              <w:numPr>
                <w:ilvl w:val="2"/>
                <w:numId w:val="5"/>
              </w:numPr>
              <w:ind w:left="1491" w:hanging="357"/>
              <w:rPr>
                <w:sz w:val="22"/>
                <w:szCs w:val="22"/>
              </w:rPr>
            </w:pPr>
            <w:r>
              <w:rPr>
                <w:sz w:val="22"/>
                <w:szCs w:val="22"/>
              </w:rPr>
              <w:t>Regionale Unterschiede wahrscheinlich durch unterschiedliche Schulferien/Teststrategie begründet, in HH und BE (bereits Ferienende) sind v.a. 5-14Jährige vom Anstieg betroffen</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Anzahl LK mit Inzidenz &gt;50 steigt weiter an.</w:t>
            </w:r>
          </w:p>
          <w:p>
            <w:pPr>
              <w:pStyle w:val="Listenabsatz"/>
              <w:numPr>
                <w:ilvl w:val="2"/>
                <w:numId w:val="5"/>
              </w:numPr>
              <w:ind w:left="1491" w:hanging="357"/>
              <w:rPr>
                <w:sz w:val="22"/>
                <w:szCs w:val="22"/>
              </w:rPr>
            </w:pPr>
            <w:r>
              <w:rPr>
                <w:sz w:val="22"/>
                <w:szCs w:val="22"/>
              </w:rPr>
              <w:t>Schwerpunkt liegt in NW, auch in BY und BW sind jetzt einzelne Kreise betroffen,</w:t>
            </w:r>
          </w:p>
          <w:p>
            <w:pPr>
              <w:pStyle w:val="Listenabsatz"/>
              <w:numPr>
                <w:ilvl w:val="2"/>
                <w:numId w:val="5"/>
              </w:numPr>
              <w:ind w:left="1491" w:hanging="357"/>
              <w:rPr>
                <w:sz w:val="22"/>
                <w:szCs w:val="22"/>
              </w:rPr>
            </w:pPr>
            <w:r>
              <w:rPr>
                <w:sz w:val="22"/>
                <w:szCs w:val="22"/>
              </w:rPr>
              <w:t xml:space="preserve">Spitzenreiter ist weiterhin Flensburg mit 116/100.000 Einw., gefolgt von Berlin/Neukölln, Wuppertal und Bonn </w:t>
            </w:r>
          </w:p>
          <w:p>
            <w:pPr>
              <w:pStyle w:val="Listenabsatz"/>
              <w:numPr>
                <w:ilvl w:val="1"/>
                <w:numId w:val="5"/>
              </w:numPr>
              <w:ind w:left="924" w:hanging="357"/>
              <w:rPr>
                <w:sz w:val="22"/>
                <w:szCs w:val="22"/>
              </w:rPr>
            </w:pPr>
            <w:r>
              <w:rPr>
                <w:sz w:val="22"/>
                <w:szCs w:val="22"/>
              </w:rPr>
              <w:t>7-Tage-Inzidenz nach Altersgruppe</w:t>
            </w:r>
          </w:p>
          <w:p>
            <w:pPr>
              <w:pStyle w:val="Listenabsatz"/>
              <w:numPr>
                <w:ilvl w:val="2"/>
                <w:numId w:val="5"/>
              </w:numPr>
              <w:ind w:left="1491" w:hanging="357"/>
              <w:rPr>
                <w:sz w:val="22"/>
                <w:szCs w:val="22"/>
              </w:rPr>
            </w:pPr>
            <w:r>
              <w:rPr>
                <w:sz w:val="22"/>
                <w:szCs w:val="22"/>
              </w:rPr>
              <w:t xml:space="preserve">In allen AG Anstieg der Inzidenzen </w:t>
            </w:r>
          </w:p>
          <w:p>
            <w:pPr>
              <w:pStyle w:val="Listenabsatz"/>
              <w:numPr>
                <w:ilvl w:val="2"/>
                <w:numId w:val="5"/>
              </w:numPr>
              <w:ind w:left="1491" w:hanging="357"/>
              <w:rPr>
                <w:sz w:val="22"/>
                <w:szCs w:val="22"/>
              </w:rPr>
            </w:pPr>
            <w:r>
              <w:rPr>
                <w:sz w:val="22"/>
                <w:szCs w:val="22"/>
              </w:rPr>
              <w:t>Weiterhin liegen bei 15-19 und 20-24Jährigen die Inzidenzen am höchsten</w:t>
            </w:r>
          </w:p>
          <w:p>
            <w:pPr>
              <w:pStyle w:val="Listenabsatz"/>
              <w:numPr>
                <w:ilvl w:val="1"/>
                <w:numId w:val="5"/>
              </w:numPr>
              <w:ind w:left="924" w:hanging="357"/>
              <w:rPr>
                <w:sz w:val="22"/>
                <w:szCs w:val="22"/>
              </w:rPr>
            </w:pPr>
            <w:r>
              <w:rPr>
                <w:sz w:val="22"/>
                <w:szCs w:val="22"/>
              </w:rPr>
              <w:t>Verlauf der 7-Tage-Inzidenz von Hospitalisierten nach Altersgruppe</w:t>
            </w:r>
          </w:p>
          <w:p>
            <w:pPr>
              <w:pStyle w:val="Listenabsatz"/>
              <w:numPr>
                <w:ilvl w:val="2"/>
                <w:numId w:val="5"/>
              </w:numPr>
              <w:ind w:left="1491" w:hanging="357"/>
              <w:rPr>
                <w:sz w:val="22"/>
                <w:szCs w:val="22"/>
              </w:rPr>
            </w:pPr>
            <w:r>
              <w:rPr>
                <w:sz w:val="22"/>
                <w:szCs w:val="22"/>
              </w:rPr>
              <w:t>Anstieg in allen Altersgruppen</w:t>
            </w:r>
          </w:p>
          <w:p>
            <w:pPr>
              <w:pStyle w:val="Listenabsatz"/>
              <w:numPr>
                <w:ilvl w:val="2"/>
                <w:numId w:val="5"/>
              </w:numPr>
              <w:ind w:left="1491" w:hanging="357"/>
              <w:rPr>
                <w:sz w:val="22"/>
                <w:szCs w:val="22"/>
              </w:rPr>
            </w:pPr>
            <w:r>
              <w:rPr>
                <w:sz w:val="22"/>
                <w:szCs w:val="22"/>
              </w:rPr>
              <w:t>Bei +80Jährigen jetzt &gt; 2/100.000 Einw.</w:t>
            </w:r>
          </w:p>
          <w:p>
            <w:pPr>
              <w:pStyle w:val="Listenabsatz"/>
              <w:numPr>
                <w:ilvl w:val="2"/>
                <w:numId w:val="5"/>
              </w:numPr>
              <w:ind w:left="1491" w:hanging="357"/>
              <w:rPr>
                <w:sz w:val="22"/>
                <w:szCs w:val="22"/>
              </w:rPr>
            </w:pPr>
            <w:r>
              <w:rPr>
                <w:sz w:val="22"/>
                <w:szCs w:val="22"/>
              </w:rPr>
              <w:t xml:space="preserve">Starker Anstieg auch bei den 0-4Jährigen auf jetzt &gt;1 </w:t>
            </w:r>
          </w:p>
          <w:p>
            <w:pPr>
              <w:pStyle w:val="Listenabsatz"/>
              <w:numPr>
                <w:ilvl w:val="1"/>
                <w:numId w:val="5"/>
              </w:numPr>
              <w:ind w:left="924" w:hanging="357"/>
              <w:rPr>
                <w:sz w:val="22"/>
                <w:szCs w:val="22"/>
              </w:rPr>
            </w:pPr>
            <w:r>
              <w:rPr>
                <w:sz w:val="22"/>
                <w:szCs w:val="22"/>
              </w:rPr>
              <w:t xml:space="preserve">Expositionsländer </w:t>
            </w:r>
          </w:p>
          <w:p>
            <w:pPr>
              <w:pStyle w:val="Listenabsatz"/>
              <w:numPr>
                <w:ilvl w:val="2"/>
                <w:numId w:val="5"/>
              </w:numPr>
              <w:ind w:left="1491" w:hanging="357"/>
              <w:rPr>
                <w:sz w:val="22"/>
                <w:szCs w:val="22"/>
              </w:rPr>
            </w:pPr>
            <w:r>
              <w:rPr>
                <w:sz w:val="22"/>
                <w:szCs w:val="22"/>
              </w:rPr>
              <w:t>Nicht besprochen</w:t>
            </w:r>
          </w:p>
          <w:p>
            <w:pPr>
              <w:pStyle w:val="Listenabsatz"/>
              <w:ind w:left="1491"/>
              <w:rPr>
                <w:sz w:val="22"/>
                <w:szCs w:val="22"/>
              </w:rPr>
            </w:pPr>
          </w:p>
          <w:p>
            <w:pPr>
              <w:pStyle w:val="Listenabsatz"/>
              <w:numPr>
                <w:ilvl w:val="0"/>
                <w:numId w:val="5"/>
              </w:numPr>
              <w:ind w:left="453" w:hanging="340"/>
              <w:rPr>
                <w:sz w:val="22"/>
                <w:szCs w:val="22"/>
              </w:rPr>
            </w:pPr>
            <w:r>
              <w:rPr>
                <w:b/>
                <w:sz w:val="22"/>
                <w:szCs w:val="22"/>
              </w:rPr>
              <w:t xml:space="preserve">Testkapazität und Testungen </w:t>
            </w:r>
            <w:r>
              <w:rPr>
                <w:b/>
                <w:i/>
                <w:color w:val="D99594" w:themeColor="accent2" w:themeTint="99"/>
                <w:sz w:val="20"/>
                <w:szCs w:val="20"/>
              </w:rPr>
              <w:t>(nur mittwochs)</w:t>
            </w:r>
            <w:r>
              <w:rPr>
                <w:sz w:val="22"/>
                <w:szCs w:val="22"/>
              </w:rPr>
              <w:t xml:space="preserve"> </w:t>
            </w:r>
          </w:p>
          <w:p>
            <w:pPr>
              <w:pStyle w:val="Listenabsatz"/>
              <w:ind w:left="453"/>
              <w:rPr>
                <w:sz w:val="22"/>
                <w:szCs w:val="22"/>
              </w:rPr>
            </w:pPr>
            <w:r>
              <w:rPr>
                <w:b/>
                <w:sz w:val="22"/>
                <w:szCs w:val="22"/>
              </w:rPr>
              <w:t>Testzahlenerfassung am RKI</w:t>
            </w:r>
            <w:r>
              <w:rPr>
                <w:sz w:val="22"/>
                <w:szCs w:val="22"/>
              </w:rPr>
              <w:t xml:space="preserve"> (Folien</w:t>
            </w:r>
            <w:r>
              <w:t xml:space="preserve"> </w:t>
            </w:r>
            <w:hyperlink r:id="rId12"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Testzahlen und Positivquote</w:t>
            </w:r>
          </w:p>
          <w:p>
            <w:pPr>
              <w:pStyle w:val="Listenabsatz"/>
              <w:numPr>
                <w:ilvl w:val="2"/>
                <w:numId w:val="5"/>
              </w:numPr>
              <w:ind w:left="1491" w:hanging="357"/>
              <w:rPr>
                <w:sz w:val="22"/>
                <w:szCs w:val="22"/>
              </w:rPr>
            </w:pPr>
            <w:r>
              <w:rPr>
                <w:sz w:val="22"/>
                <w:szCs w:val="22"/>
              </w:rPr>
              <w:t xml:space="preserve">Positivenanteil ist sprunghaft auf &gt;6% gestiegen </w:t>
            </w:r>
          </w:p>
          <w:p>
            <w:pPr>
              <w:pStyle w:val="Listenabsatz"/>
              <w:numPr>
                <w:ilvl w:val="2"/>
                <w:numId w:val="5"/>
              </w:numPr>
              <w:ind w:left="1491" w:hanging="357"/>
              <w:rPr>
                <w:sz w:val="22"/>
                <w:szCs w:val="22"/>
              </w:rPr>
            </w:pPr>
            <w:r>
              <w:rPr>
                <w:sz w:val="22"/>
                <w:szCs w:val="22"/>
              </w:rPr>
              <w:t>V.a. in den Arztpraxen wird nicht niederschwellig genug getestet</w:t>
            </w:r>
          </w:p>
          <w:p>
            <w:pPr>
              <w:pStyle w:val="Listenabsatz"/>
              <w:numPr>
                <w:ilvl w:val="1"/>
                <w:numId w:val="5"/>
              </w:numPr>
              <w:ind w:left="924" w:hanging="357"/>
              <w:rPr>
                <w:sz w:val="22"/>
                <w:szCs w:val="22"/>
              </w:rPr>
            </w:pPr>
            <w:r>
              <w:rPr>
                <w:sz w:val="22"/>
                <w:szCs w:val="22"/>
              </w:rPr>
              <w:t>Auslastung der Kapazitäten</w:t>
            </w:r>
          </w:p>
          <w:p>
            <w:pPr>
              <w:pStyle w:val="Listenabsatz"/>
              <w:numPr>
                <w:ilvl w:val="2"/>
                <w:numId w:val="5"/>
              </w:numPr>
              <w:ind w:left="1491" w:hanging="357"/>
              <w:rPr>
                <w:sz w:val="22"/>
                <w:szCs w:val="22"/>
              </w:rPr>
            </w:pPr>
            <w:r>
              <w:rPr>
                <w:sz w:val="22"/>
                <w:szCs w:val="22"/>
              </w:rPr>
              <w:lastRenderedPageBreak/>
              <w:t xml:space="preserve">Kapazitäten sind vorhanden, unter 30% Auslastung </w:t>
            </w:r>
          </w:p>
          <w:p>
            <w:pPr>
              <w:pStyle w:val="Listenabsatz"/>
              <w:ind w:left="453"/>
              <w:rPr>
                <w:b/>
                <w:sz w:val="22"/>
                <w:szCs w:val="22"/>
              </w:rPr>
            </w:pPr>
          </w:p>
          <w:p>
            <w:pPr>
              <w:pStyle w:val="Listenabsatz"/>
              <w:ind w:left="453"/>
              <w:rPr>
                <w:sz w:val="22"/>
                <w:szCs w:val="22"/>
              </w:rPr>
            </w:pPr>
            <w:r>
              <w:rPr>
                <w:b/>
                <w:sz w:val="22"/>
                <w:szCs w:val="22"/>
              </w:rPr>
              <w:t>ARS-Daten</w:t>
            </w:r>
            <w:r>
              <w:rPr>
                <w:sz w:val="22"/>
                <w:szCs w:val="22"/>
              </w:rPr>
              <w:t xml:space="preserve"> (Folien </w:t>
            </w:r>
            <w:hyperlink r:id="rId13"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 xml:space="preserve">Anzahl Testungen und Positivenanteile  </w:t>
            </w:r>
          </w:p>
          <w:p>
            <w:pPr>
              <w:pStyle w:val="Listenabsatz"/>
              <w:numPr>
                <w:ilvl w:val="2"/>
                <w:numId w:val="5"/>
              </w:numPr>
              <w:ind w:left="1491" w:hanging="357"/>
              <w:rPr>
                <w:sz w:val="22"/>
                <w:szCs w:val="22"/>
              </w:rPr>
            </w:pPr>
            <w:r>
              <w:rPr>
                <w:sz w:val="22"/>
                <w:szCs w:val="22"/>
              </w:rPr>
              <w:t>Positivenanteil steigt weiterhin an</w:t>
            </w:r>
          </w:p>
          <w:p>
            <w:pPr>
              <w:pStyle w:val="Listenabsatz"/>
              <w:numPr>
                <w:ilvl w:val="2"/>
                <w:numId w:val="5"/>
              </w:numPr>
              <w:ind w:left="1491" w:hanging="357"/>
              <w:rPr>
                <w:sz w:val="22"/>
                <w:szCs w:val="22"/>
              </w:rPr>
            </w:pPr>
            <w:r>
              <w:rPr>
                <w:sz w:val="22"/>
                <w:szCs w:val="22"/>
              </w:rPr>
              <w:t xml:space="preserve">Vergleich der BL: Postivenanteil in HH jetzt &gt; 15%, NRW 10%, Anstieg auch in RP, geringer Anstieg in den östl. BL </w:t>
            </w:r>
          </w:p>
          <w:p>
            <w:pPr>
              <w:pStyle w:val="Listenabsatz"/>
              <w:numPr>
                <w:ilvl w:val="2"/>
                <w:numId w:val="5"/>
              </w:numPr>
              <w:ind w:left="1491" w:hanging="357"/>
              <w:rPr>
                <w:sz w:val="22"/>
                <w:szCs w:val="22"/>
              </w:rPr>
            </w:pPr>
            <w:r>
              <w:rPr>
                <w:sz w:val="22"/>
                <w:szCs w:val="22"/>
              </w:rPr>
              <w:t>In den Arztpraxen sprunghafter Anstieg des Positivenanteils auf &gt;10%</w:t>
            </w:r>
          </w:p>
          <w:p>
            <w:pPr>
              <w:pStyle w:val="Listenabsatz"/>
              <w:numPr>
                <w:ilvl w:val="2"/>
                <w:numId w:val="5"/>
              </w:numPr>
              <w:ind w:left="1491" w:hanging="357"/>
              <w:rPr>
                <w:sz w:val="22"/>
                <w:szCs w:val="22"/>
              </w:rPr>
            </w:pPr>
            <w:r>
              <w:rPr>
                <w:sz w:val="22"/>
                <w:szCs w:val="22"/>
              </w:rPr>
              <w:t>Jetzt 50.000 Testungen, im gleichen Zeitraum 2020 waren es 100.000 Testungen</w:t>
            </w:r>
          </w:p>
          <w:p>
            <w:pPr>
              <w:pStyle w:val="Listenabsatz"/>
              <w:numPr>
                <w:ilvl w:val="2"/>
                <w:numId w:val="5"/>
              </w:numPr>
              <w:ind w:left="1491" w:hanging="357"/>
              <w:rPr>
                <w:sz w:val="22"/>
                <w:szCs w:val="22"/>
              </w:rPr>
            </w:pPr>
            <w:r>
              <w:rPr>
                <w:sz w:val="22"/>
                <w:szCs w:val="22"/>
              </w:rPr>
              <w:t>Im gesamten Pandemieverlauf lag der bisher höchste Positivenanteil bei 15%, derzeit bei 10 %</w:t>
            </w:r>
          </w:p>
          <w:p>
            <w:pPr>
              <w:pStyle w:val="Listenabsatz"/>
              <w:numPr>
                <w:ilvl w:val="2"/>
                <w:numId w:val="5"/>
              </w:numPr>
              <w:ind w:left="1491" w:hanging="357"/>
              <w:rPr>
                <w:sz w:val="22"/>
                <w:szCs w:val="22"/>
              </w:rPr>
            </w:pPr>
            <w:r>
              <w:rPr>
                <w:sz w:val="22"/>
                <w:szCs w:val="22"/>
              </w:rPr>
              <w:t xml:space="preserve">Es sollte mehr getestet werden </w:t>
            </w:r>
          </w:p>
          <w:p>
            <w:pPr>
              <w:pStyle w:val="Listenabsatz"/>
              <w:numPr>
                <w:ilvl w:val="1"/>
                <w:numId w:val="5"/>
              </w:numPr>
              <w:ind w:left="924" w:hanging="357"/>
              <w:rPr>
                <w:sz w:val="22"/>
                <w:szCs w:val="22"/>
              </w:rPr>
            </w:pPr>
            <w:r>
              <w:rPr>
                <w:sz w:val="22"/>
                <w:szCs w:val="22"/>
              </w:rPr>
              <w:t>Anzahl Testungen und Positivenanteile nach Altersgruppe</w:t>
            </w:r>
          </w:p>
          <w:p>
            <w:pPr>
              <w:pStyle w:val="Listenabsatz"/>
              <w:numPr>
                <w:ilvl w:val="2"/>
                <w:numId w:val="5"/>
              </w:numPr>
              <w:ind w:left="1491" w:hanging="357"/>
              <w:rPr>
                <w:sz w:val="22"/>
                <w:szCs w:val="22"/>
              </w:rPr>
            </w:pPr>
            <w:r>
              <w:rPr>
                <w:sz w:val="22"/>
                <w:szCs w:val="22"/>
              </w:rPr>
              <w:t xml:space="preserve">In der Altersgruppe der +80Jährige wird am häufigsten getestet, mit dem geringsten Postivenanteil, </w:t>
            </w:r>
            <w:r>
              <w:rPr>
                <w:sz w:val="22"/>
                <w:szCs w:val="22"/>
              </w:rPr>
              <w:t xml:space="preserve">dies </w:t>
            </w:r>
            <w:r>
              <w:rPr>
                <w:sz w:val="22"/>
                <w:szCs w:val="22"/>
              </w:rPr>
              <w:t xml:space="preserve">scheint </w:t>
            </w:r>
            <w:r>
              <w:rPr>
                <w:sz w:val="22"/>
                <w:szCs w:val="22"/>
              </w:rPr>
              <w:t>in Arztpraxen stattzufinden</w:t>
            </w:r>
            <w:r>
              <w:rPr>
                <w:sz w:val="22"/>
                <w:szCs w:val="22"/>
              </w:rPr>
              <w:t>, da in Pflegeheimen PCR nicht erstattet wird</w:t>
            </w:r>
          </w:p>
          <w:p>
            <w:pPr>
              <w:pStyle w:val="Listenabsatz"/>
              <w:numPr>
                <w:ilvl w:val="2"/>
                <w:numId w:val="5"/>
              </w:numPr>
              <w:ind w:left="1491" w:hanging="357"/>
              <w:rPr>
                <w:sz w:val="22"/>
                <w:szCs w:val="22"/>
              </w:rPr>
            </w:pPr>
            <w:r>
              <w:rPr>
                <w:sz w:val="22"/>
                <w:szCs w:val="22"/>
              </w:rPr>
              <w:t xml:space="preserve">Die niedrigsten Testzahlen und der höchste Positivenanteil zeigen sich bei 5-14Jährigen, möglicherweise bedingt durch POCT- Testungen an Schulen, die dann erst zur PCR-Bestätigung kommen </w:t>
            </w:r>
          </w:p>
          <w:p>
            <w:pPr>
              <w:pStyle w:val="Listenabsatz"/>
              <w:numPr>
                <w:ilvl w:val="2"/>
                <w:numId w:val="5"/>
              </w:numPr>
              <w:ind w:left="1491" w:hanging="357"/>
              <w:rPr>
                <w:sz w:val="22"/>
                <w:szCs w:val="22"/>
              </w:rPr>
            </w:pPr>
            <w:r>
              <w:rPr>
                <w:sz w:val="22"/>
                <w:szCs w:val="22"/>
              </w:rPr>
              <w:t>Der Positivenanteil nach Altersgruppe und Woche liegt am höchsten bei 5-14Jährigen, gefolgt von 15-34Jährigen</w:t>
            </w:r>
          </w:p>
          <w:p>
            <w:pPr>
              <w:pStyle w:val="Listenabsatz"/>
              <w:numPr>
                <w:ilvl w:val="2"/>
                <w:numId w:val="5"/>
              </w:numPr>
              <w:ind w:left="1491" w:hanging="357"/>
              <w:rPr>
                <w:sz w:val="22"/>
                <w:szCs w:val="22"/>
              </w:rPr>
            </w:pPr>
            <w:r>
              <w:rPr>
                <w:sz w:val="22"/>
                <w:szCs w:val="22"/>
              </w:rPr>
              <w:t xml:space="preserve">Die Anzahl positiver Testungen/100.000 Einw. ist bei 15-34Jährigen am höchsten, gefolgt von den 5-15Jährigen </w:t>
            </w:r>
          </w:p>
          <w:p>
            <w:pPr>
              <w:pStyle w:val="Listenabsatz"/>
              <w:numPr>
                <w:ilvl w:val="1"/>
                <w:numId w:val="5"/>
              </w:numPr>
              <w:ind w:left="924" w:hanging="357"/>
              <w:rPr>
                <w:sz w:val="22"/>
                <w:szCs w:val="22"/>
              </w:rPr>
            </w:pPr>
            <w:r>
              <w:rPr>
                <w:sz w:val="22"/>
                <w:szCs w:val="22"/>
              </w:rPr>
              <w:t xml:space="preserve">Anzahl der VOC-&gt;Nachweise (ohne B.1.1.7) </w:t>
            </w:r>
          </w:p>
          <w:p>
            <w:pPr>
              <w:pStyle w:val="Listenabsatz"/>
              <w:numPr>
                <w:ilvl w:val="2"/>
                <w:numId w:val="5"/>
              </w:numPr>
              <w:ind w:left="1491" w:hanging="357"/>
              <w:rPr>
                <w:sz w:val="22"/>
                <w:szCs w:val="22"/>
              </w:rPr>
            </w:pPr>
            <w:r>
              <w:rPr>
                <w:sz w:val="22"/>
                <w:szCs w:val="22"/>
              </w:rPr>
              <w:t>Anstieg von B.1.351 (Beta) auf mehr als 50 Nachweise (8%)</w:t>
            </w:r>
          </w:p>
          <w:p>
            <w:pPr>
              <w:pStyle w:val="Listenabsatz"/>
              <w:numPr>
                <w:ilvl w:val="2"/>
                <w:numId w:val="5"/>
              </w:numPr>
              <w:ind w:left="1491" w:hanging="357"/>
              <w:rPr>
                <w:sz w:val="22"/>
                <w:szCs w:val="22"/>
              </w:rPr>
            </w:pPr>
            <w:r>
              <w:rPr>
                <w:sz w:val="22"/>
                <w:szCs w:val="22"/>
              </w:rPr>
              <w:t>B.1.617 (Delta) überwiegt bei weitem</w:t>
            </w:r>
          </w:p>
          <w:p>
            <w:pPr>
              <w:pStyle w:val="Listenabsatz"/>
              <w:numPr>
                <w:ilvl w:val="1"/>
                <w:numId w:val="5"/>
              </w:numPr>
              <w:ind w:left="924" w:hanging="357"/>
              <w:rPr>
                <w:sz w:val="22"/>
                <w:szCs w:val="22"/>
              </w:rPr>
            </w:pPr>
            <w:r>
              <w:rPr>
                <w:sz w:val="22"/>
                <w:szCs w:val="22"/>
              </w:rPr>
              <w:t xml:space="preserve">Ausbrüche in Pflege- und medizinischen Einrichtungen </w:t>
            </w:r>
          </w:p>
          <w:p>
            <w:pPr>
              <w:pStyle w:val="Listenabsatz"/>
              <w:numPr>
                <w:ilvl w:val="2"/>
                <w:numId w:val="5"/>
              </w:numPr>
              <w:ind w:left="1491" w:hanging="357"/>
              <w:rPr>
                <w:sz w:val="22"/>
                <w:szCs w:val="22"/>
              </w:rPr>
            </w:pPr>
            <w:r>
              <w:rPr>
                <w:sz w:val="22"/>
                <w:szCs w:val="22"/>
              </w:rPr>
              <w:t>Anstieg auf niedrigem Niveau</w:t>
            </w:r>
          </w:p>
          <w:p>
            <w:pPr>
              <w:rPr>
                <w:sz w:val="22"/>
                <w:szCs w:val="22"/>
              </w:rPr>
            </w:pPr>
          </w:p>
          <w:p>
            <w:pPr>
              <w:pStyle w:val="Listenabsatz"/>
              <w:numPr>
                <w:ilvl w:val="0"/>
                <w:numId w:val="5"/>
              </w:numPr>
              <w:ind w:left="453" w:hanging="340"/>
              <w:rPr>
                <w:sz w:val="22"/>
                <w:szCs w:val="22"/>
              </w:rPr>
            </w:pPr>
            <w:proofErr w:type="spellStart"/>
            <w:r>
              <w:rPr>
                <w:b/>
                <w:sz w:val="22"/>
                <w:szCs w:val="22"/>
              </w:rPr>
              <w:t>Syndromische</w:t>
            </w:r>
            <w:proofErr w:type="spellEnd"/>
            <w:r>
              <w:rPr>
                <w:b/>
                <w:sz w:val="22"/>
                <w:szCs w:val="22"/>
              </w:rPr>
              <w:t xml:space="preserve"> Surveillance </w:t>
            </w:r>
            <w:r>
              <w:rPr>
                <w:b/>
                <w:i/>
                <w:color w:val="D99594" w:themeColor="accent2" w:themeTint="99"/>
                <w:sz w:val="20"/>
                <w:szCs w:val="20"/>
              </w:rPr>
              <w:t xml:space="preserve">(nur mittwochs) </w:t>
            </w:r>
            <w:r>
              <w:rPr>
                <w:sz w:val="22"/>
                <w:szCs w:val="22"/>
              </w:rPr>
              <w:t>(Folien</w:t>
            </w:r>
            <w:r>
              <w:t xml:space="preserve"> </w:t>
            </w:r>
            <w:hyperlink r:id="rId14" w:history="1">
              <w:r>
                <w:rPr>
                  <w:rStyle w:val="Hyperlink"/>
                </w:rPr>
                <w:t>hier</w:t>
              </w:r>
            </w:hyperlink>
            <w:r>
              <w:rPr>
                <w:sz w:val="22"/>
                <w:szCs w:val="22"/>
              </w:rPr>
              <w:t>)</w:t>
            </w:r>
          </w:p>
          <w:p>
            <w:pPr>
              <w:pStyle w:val="Listenabsatz"/>
              <w:numPr>
                <w:ilvl w:val="1"/>
                <w:numId w:val="5"/>
              </w:numPr>
              <w:ind w:left="924" w:hanging="357"/>
              <w:rPr>
                <w:sz w:val="22"/>
                <w:szCs w:val="22"/>
              </w:rPr>
            </w:pPr>
            <w:proofErr w:type="spellStart"/>
            <w:r>
              <w:rPr>
                <w:sz w:val="22"/>
                <w:szCs w:val="22"/>
              </w:rPr>
              <w:t>GrippeWeb</w:t>
            </w:r>
            <w:proofErr w:type="spellEnd"/>
          </w:p>
          <w:p>
            <w:pPr>
              <w:pStyle w:val="Listenabsatz"/>
              <w:numPr>
                <w:ilvl w:val="2"/>
                <w:numId w:val="5"/>
              </w:numPr>
              <w:ind w:left="1491" w:hanging="357"/>
              <w:rPr>
                <w:sz w:val="22"/>
                <w:szCs w:val="22"/>
              </w:rPr>
            </w:pPr>
            <w:r>
              <w:rPr>
                <w:sz w:val="22"/>
                <w:szCs w:val="22"/>
              </w:rPr>
              <w:t>Rückgang der ARE-Rate ist im Vergleich zur Vorwoche</w:t>
            </w:r>
          </w:p>
          <w:p>
            <w:pPr>
              <w:pStyle w:val="Listenabsatz"/>
              <w:numPr>
                <w:ilvl w:val="2"/>
                <w:numId w:val="5"/>
              </w:numPr>
              <w:ind w:left="1491" w:hanging="357"/>
              <w:rPr>
                <w:sz w:val="22"/>
                <w:szCs w:val="22"/>
              </w:rPr>
            </w:pPr>
            <w:r>
              <w:rPr>
                <w:sz w:val="22"/>
                <w:szCs w:val="22"/>
              </w:rPr>
              <w:t xml:space="preserve">Gesamtzahl jetzt &lt; 2 Mio (Vorwoche 2,2 Mio) </w:t>
            </w:r>
          </w:p>
          <w:p>
            <w:pPr>
              <w:pStyle w:val="Listenabsatz"/>
              <w:numPr>
                <w:ilvl w:val="2"/>
                <w:numId w:val="5"/>
              </w:numPr>
              <w:ind w:left="1491" w:hanging="357"/>
              <w:rPr>
                <w:sz w:val="22"/>
                <w:szCs w:val="22"/>
              </w:rPr>
            </w:pPr>
            <w:r>
              <w:rPr>
                <w:sz w:val="22"/>
                <w:szCs w:val="22"/>
              </w:rPr>
              <w:t>Hauptrückgang bei Kindern (5-14), aber auch Rückgang bei 15-34 und 35-59Järigen, stabil bei &gt;60Järigen</w:t>
            </w:r>
          </w:p>
          <w:p>
            <w:pPr>
              <w:pStyle w:val="Listenabsatz"/>
              <w:numPr>
                <w:ilvl w:val="2"/>
                <w:numId w:val="5"/>
              </w:numPr>
              <w:ind w:left="1491" w:hanging="357"/>
              <w:rPr>
                <w:sz w:val="22"/>
                <w:szCs w:val="22"/>
              </w:rPr>
            </w:pPr>
            <w:r>
              <w:rPr>
                <w:sz w:val="22"/>
                <w:szCs w:val="22"/>
              </w:rPr>
              <w:t>Anstieg bei 0-4Jährigen</w:t>
            </w:r>
          </w:p>
          <w:p>
            <w:pPr>
              <w:pStyle w:val="Listenabsatz"/>
              <w:numPr>
                <w:ilvl w:val="1"/>
                <w:numId w:val="5"/>
              </w:numPr>
              <w:ind w:left="924" w:hanging="357"/>
              <w:rPr>
                <w:sz w:val="22"/>
                <w:szCs w:val="22"/>
              </w:rPr>
            </w:pPr>
            <w:r>
              <w:rPr>
                <w:sz w:val="22"/>
                <w:szCs w:val="22"/>
              </w:rPr>
              <w:t>ARE-Konsultationen</w:t>
            </w:r>
          </w:p>
          <w:p>
            <w:pPr>
              <w:pStyle w:val="Listenabsatz"/>
              <w:numPr>
                <w:ilvl w:val="2"/>
                <w:numId w:val="5"/>
              </w:numPr>
              <w:ind w:left="1491" w:hanging="357"/>
              <w:rPr>
                <w:sz w:val="22"/>
                <w:szCs w:val="22"/>
              </w:rPr>
            </w:pPr>
            <w:r>
              <w:rPr>
                <w:sz w:val="22"/>
                <w:szCs w:val="22"/>
              </w:rPr>
              <w:t xml:space="preserve">Rückgang der Rate auf 545/100.000 Einw. (450.000 Konsultationen) </w:t>
            </w:r>
          </w:p>
          <w:p>
            <w:pPr>
              <w:pStyle w:val="Listenabsatz"/>
              <w:numPr>
                <w:ilvl w:val="2"/>
                <w:numId w:val="5"/>
              </w:numPr>
              <w:ind w:left="1491" w:hanging="357"/>
              <w:rPr>
                <w:sz w:val="22"/>
                <w:szCs w:val="22"/>
              </w:rPr>
            </w:pPr>
            <w:r>
              <w:rPr>
                <w:sz w:val="22"/>
                <w:szCs w:val="22"/>
              </w:rPr>
              <w:t>Feriendichte ist weiterhin hoch</w:t>
            </w:r>
          </w:p>
          <w:p>
            <w:pPr>
              <w:pStyle w:val="Listenabsatz"/>
              <w:numPr>
                <w:ilvl w:val="1"/>
                <w:numId w:val="5"/>
              </w:numPr>
              <w:ind w:left="924" w:hanging="357"/>
              <w:rPr>
                <w:sz w:val="22"/>
                <w:szCs w:val="22"/>
              </w:rPr>
            </w:pPr>
            <w:r>
              <w:rPr>
                <w:sz w:val="22"/>
                <w:szCs w:val="22"/>
              </w:rPr>
              <w:t>ICOSARI-KH-Surveillance</w:t>
            </w:r>
          </w:p>
          <w:p>
            <w:pPr>
              <w:pStyle w:val="Listenabsatz"/>
              <w:numPr>
                <w:ilvl w:val="2"/>
                <w:numId w:val="5"/>
              </w:numPr>
              <w:ind w:left="1491" w:hanging="357"/>
              <w:rPr>
                <w:sz w:val="22"/>
                <w:szCs w:val="22"/>
              </w:rPr>
            </w:pPr>
            <w:r>
              <w:rPr>
                <w:sz w:val="22"/>
                <w:szCs w:val="22"/>
              </w:rPr>
              <w:t xml:space="preserve">Niveau entspricht dem der Vorjahre </w:t>
            </w:r>
          </w:p>
          <w:p>
            <w:pPr>
              <w:pStyle w:val="Listenabsatz"/>
              <w:numPr>
                <w:ilvl w:val="2"/>
                <w:numId w:val="5"/>
              </w:numPr>
              <w:ind w:left="1491" w:hanging="357"/>
              <w:rPr>
                <w:sz w:val="22"/>
                <w:szCs w:val="22"/>
              </w:rPr>
            </w:pPr>
            <w:r>
              <w:rPr>
                <w:sz w:val="22"/>
                <w:szCs w:val="22"/>
              </w:rPr>
              <w:lastRenderedPageBreak/>
              <w:t>Anstieg bei den 35-59Jährigen</w:t>
            </w:r>
          </w:p>
          <w:p>
            <w:pPr>
              <w:pStyle w:val="Listenabsatz"/>
              <w:numPr>
                <w:ilvl w:val="2"/>
                <w:numId w:val="5"/>
              </w:numPr>
              <w:ind w:left="1491" w:hanging="357"/>
              <w:rPr>
                <w:sz w:val="22"/>
                <w:szCs w:val="22"/>
              </w:rPr>
            </w:pPr>
            <w:r>
              <w:rPr>
                <w:sz w:val="22"/>
                <w:szCs w:val="22"/>
              </w:rPr>
              <w:t>15-34Jährige befinden sich im oberen Bereich des erwarteten sommerlichen Niveaus</w:t>
            </w:r>
          </w:p>
          <w:p>
            <w:pPr>
              <w:pStyle w:val="Listenabsatz"/>
              <w:numPr>
                <w:ilvl w:val="2"/>
                <w:numId w:val="5"/>
              </w:numPr>
              <w:ind w:left="1491" w:hanging="357"/>
              <w:rPr>
                <w:sz w:val="22"/>
                <w:szCs w:val="22"/>
              </w:rPr>
            </w:pPr>
            <w:r>
              <w:rPr>
                <w:sz w:val="22"/>
                <w:szCs w:val="22"/>
              </w:rPr>
              <w:t xml:space="preserve">Anteil COVID unter SARI-Hospitalisierungen: Anstieg auf 20% aller Hospitalisierungen, bei ITS sogar auf 27% </w:t>
            </w:r>
          </w:p>
          <w:p>
            <w:pPr>
              <w:pStyle w:val="Listenabsatz"/>
              <w:numPr>
                <w:ilvl w:val="2"/>
                <w:numId w:val="5"/>
              </w:numPr>
              <w:ind w:left="1491" w:hanging="357"/>
              <w:rPr>
                <w:sz w:val="22"/>
                <w:szCs w:val="22"/>
              </w:rPr>
            </w:pPr>
            <w:r>
              <w:rPr>
                <w:sz w:val="22"/>
                <w:szCs w:val="22"/>
              </w:rPr>
              <w:t xml:space="preserve">SARI-Fälle mit/ohne COVID-19: 2.Woche in Folge Anstieg des SARI-Fälle mit COVID-Diagnose, insbesondere bei den 35-59Jährigen </w:t>
            </w:r>
          </w:p>
          <w:p>
            <w:pPr>
              <w:pStyle w:val="Listenabsatz"/>
              <w:numPr>
                <w:ilvl w:val="1"/>
                <w:numId w:val="5"/>
              </w:numPr>
              <w:ind w:left="924" w:hanging="357"/>
              <w:rPr>
                <w:sz w:val="22"/>
                <w:szCs w:val="22"/>
              </w:rPr>
            </w:pPr>
            <w:r>
              <w:rPr>
                <w:sz w:val="22"/>
                <w:szCs w:val="22"/>
              </w:rPr>
              <w:t xml:space="preserve">Ausbrüche Kindergärten, Horte, Schulen </w:t>
            </w:r>
          </w:p>
          <w:p>
            <w:pPr>
              <w:pStyle w:val="Listenabsatz"/>
              <w:numPr>
                <w:ilvl w:val="2"/>
                <w:numId w:val="5"/>
              </w:numPr>
              <w:ind w:left="1491" w:hanging="357"/>
              <w:rPr>
                <w:sz w:val="22"/>
                <w:szCs w:val="22"/>
              </w:rPr>
            </w:pPr>
            <w:r>
              <w:rPr>
                <w:sz w:val="22"/>
                <w:szCs w:val="22"/>
              </w:rPr>
              <w:t>20 neue Ausbrüche in Kindergärten/Horte, relativ ruhig in diesem Bereich</w:t>
            </w:r>
          </w:p>
          <w:p>
            <w:pPr>
              <w:pStyle w:val="Listenabsatz"/>
              <w:numPr>
                <w:ilvl w:val="2"/>
                <w:numId w:val="5"/>
              </w:numPr>
              <w:ind w:left="1491" w:hanging="357"/>
              <w:rPr>
                <w:sz w:val="22"/>
                <w:szCs w:val="22"/>
              </w:rPr>
            </w:pPr>
            <w:r>
              <w:rPr>
                <w:sz w:val="22"/>
                <w:szCs w:val="22"/>
              </w:rPr>
              <w:t xml:space="preserve">32 neue Ausbrüche in Schulen, relativ niedrig, noch hohe Feriendichte </w:t>
            </w:r>
          </w:p>
          <w:p>
            <w:pPr>
              <w:rPr>
                <w:sz w:val="22"/>
                <w:szCs w:val="22"/>
              </w:rPr>
            </w:pPr>
          </w:p>
          <w:p>
            <w:pPr>
              <w:pStyle w:val="Listenabsatz"/>
              <w:numPr>
                <w:ilvl w:val="0"/>
                <w:numId w:val="5"/>
              </w:numPr>
              <w:ind w:left="453" w:hanging="340"/>
              <w:rPr>
                <w:sz w:val="22"/>
                <w:szCs w:val="22"/>
              </w:rPr>
            </w:pPr>
            <w:r>
              <w:rPr>
                <w:b/>
                <w:sz w:val="22"/>
                <w:szCs w:val="22"/>
              </w:rPr>
              <w:t xml:space="preserve">Virologische Surveillance, NRZ Influenza-Daten </w:t>
            </w:r>
            <w:r>
              <w:rPr>
                <w:b/>
                <w:i/>
                <w:color w:val="D99594" w:themeColor="accent2" w:themeTint="99"/>
                <w:sz w:val="20"/>
                <w:szCs w:val="20"/>
              </w:rPr>
              <w:t>(nur mittwochs)</w:t>
            </w:r>
            <w:r>
              <w:rPr>
                <w:sz w:val="22"/>
                <w:szCs w:val="22"/>
              </w:rPr>
              <w:t xml:space="preserve"> (Folien</w:t>
            </w:r>
            <w:r>
              <w:t xml:space="preserve"> </w:t>
            </w:r>
            <w:hyperlink r:id="rId15" w:history="1">
              <w:r>
                <w:rPr>
                  <w:rStyle w:val="Hyperlink"/>
                </w:rPr>
                <w:t>hier</w:t>
              </w:r>
            </w:hyperlink>
            <w:r>
              <w:rPr>
                <w:sz w:val="22"/>
                <w:szCs w:val="22"/>
              </w:rPr>
              <w:t>)</w:t>
            </w:r>
          </w:p>
          <w:p>
            <w:pPr>
              <w:pStyle w:val="Listenabsatz"/>
              <w:numPr>
                <w:ilvl w:val="1"/>
                <w:numId w:val="5"/>
              </w:numPr>
              <w:ind w:left="924" w:hanging="357"/>
              <w:rPr>
                <w:sz w:val="22"/>
                <w:szCs w:val="22"/>
              </w:rPr>
            </w:pPr>
            <w:r>
              <w:rPr>
                <w:sz w:val="22"/>
                <w:szCs w:val="22"/>
              </w:rPr>
              <w:t xml:space="preserve">92 Einsendungen aus 25 Praxen in 13 BL  </w:t>
            </w:r>
          </w:p>
          <w:p>
            <w:pPr>
              <w:pStyle w:val="Listenabsatz"/>
              <w:numPr>
                <w:ilvl w:val="1"/>
                <w:numId w:val="5"/>
              </w:numPr>
              <w:ind w:left="924" w:hanging="357"/>
              <w:rPr>
                <w:sz w:val="22"/>
                <w:szCs w:val="22"/>
              </w:rPr>
            </w:pPr>
            <w:r>
              <w:rPr>
                <w:sz w:val="22"/>
                <w:szCs w:val="22"/>
              </w:rPr>
              <w:t>75% von &lt;15Jährigen</w:t>
            </w:r>
          </w:p>
          <w:p>
            <w:pPr>
              <w:pStyle w:val="Listenabsatz"/>
              <w:numPr>
                <w:ilvl w:val="1"/>
                <w:numId w:val="5"/>
              </w:numPr>
              <w:ind w:left="924" w:hanging="357"/>
              <w:rPr>
                <w:sz w:val="22"/>
                <w:szCs w:val="22"/>
              </w:rPr>
            </w:pPr>
            <w:r>
              <w:rPr>
                <w:sz w:val="22"/>
                <w:szCs w:val="22"/>
              </w:rPr>
              <w:t>Virusnachweise in 65 Proben (71%)</w:t>
            </w:r>
          </w:p>
          <w:p>
            <w:pPr>
              <w:pStyle w:val="Listenabsatz"/>
              <w:numPr>
                <w:ilvl w:val="1"/>
                <w:numId w:val="5"/>
              </w:numPr>
              <w:ind w:left="924" w:hanging="357"/>
              <w:rPr>
                <w:sz w:val="22"/>
                <w:szCs w:val="22"/>
              </w:rPr>
            </w:pPr>
            <w:r>
              <w:rPr>
                <w:sz w:val="22"/>
                <w:szCs w:val="22"/>
              </w:rPr>
              <w:t>In KW 32 1 Sars-CoV-2 Nachweis (Baby)</w:t>
            </w:r>
          </w:p>
          <w:p>
            <w:pPr>
              <w:pStyle w:val="Listenabsatz"/>
              <w:numPr>
                <w:ilvl w:val="1"/>
                <w:numId w:val="5"/>
              </w:numPr>
              <w:ind w:left="924" w:hanging="357"/>
              <w:rPr>
                <w:sz w:val="22"/>
                <w:szCs w:val="22"/>
              </w:rPr>
            </w:pPr>
            <w:r>
              <w:rPr>
                <w:sz w:val="22"/>
                <w:szCs w:val="22"/>
              </w:rPr>
              <w:t>Kein Influenzanachweis</w:t>
            </w:r>
          </w:p>
          <w:p>
            <w:pPr>
              <w:pStyle w:val="Listenabsatz"/>
              <w:numPr>
                <w:ilvl w:val="1"/>
                <w:numId w:val="5"/>
              </w:numPr>
              <w:ind w:left="924" w:hanging="357"/>
              <w:rPr>
                <w:sz w:val="22"/>
                <w:szCs w:val="22"/>
              </w:rPr>
            </w:pPr>
            <w:r>
              <w:rPr>
                <w:sz w:val="22"/>
                <w:szCs w:val="22"/>
              </w:rPr>
              <w:t>Rhinoviren:  30% der Proben</w:t>
            </w:r>
          </w:p>
          <w:p>
            <w:pPr>
              <w:pStyle w:val="Listenabsatz"/>
              <w:numPr>
                <w:ilvl w:val="1"/>
                <w:numId w:val="5"/>
              </w:numPr>
              <w:ind w:left="924" w:hanging="357"/>
              <w:rPr>
                <w:sz w:val="22"/>
                <w:szCs w:val="22"/>
              </w:rPr>
            </w:pPr>
            <w:r>
              <w:rPr>
                <w:sz w:val="22"/>
                <w:szCs w:val="22"/>
              </w:rPr>
              <w:t>PIF 3: 30% der Proben</w:t>
            </w:r>
          </w:p>
          <w:p>
            <w:pPr>
              <w:pStyle w:val="Listenabsatz"/>
              <w:numPr>
                <w:ilvl w:val="1"/>
                <w:numId w:val="5"/>
              </w:numPr>
              <w:ind w:left="924" w:hanging="357"/>
              <w:rPr>
                <w:sz w:val="22"/>
                <w:szCs w:val="22"/>
              </w:rPr>
            </w:pPr>
            <w:r>
              <w:rPr>
                <w:sz w:val="22"/>
                <w:szCs w:val="22"/>
              </w:rPr>
              <w:t>RSV: Einige Nachweise (ggf. Beginn einer Welle)</w:t>
            </w:r>
          </w:p>
          <w:p>
            <w:pPr>
              <w:pStyle w:val="Listenabsatz"/>
              <w:numPr>
                <w:ilvl w:val="1"/>
                <w:numId w:val="5"/>
              </w:numPr>
              <w:ind w:left="924" w:hanging="357"/>
              <w:rPr>
                <w:sz w:val="22"/>
                <w:szCs w:val="22"/>
              </w:rPr>
            </w:pPr>
            <w:r>
              <w:rPr>
                <w:sz w:val="22"/>
                <w:szCs w:val="22"/>
              </w:rPr>
              <w:t xml:space="preserve">Endemische Coronaviren: OC43 sporadisch, kein Nachweis von NL 63 </w:t>
            </w:r>
          </w:p>
          <w:p>
            <w:pPr>
              <w:pStyle w:val="Listenabsatz"/>
              <w:ind w:left="924"/>
              <w:rPr>
                <w:sz w:val="22"/>
                <w:szCs w:val="22"/>
              </w:rPr>
            </w:pPr>
          </w:p>
          <w:p>
            <w:pPr>
              <w:pStyle w:val="Listenabsatz"/>
              <w:numPr>
                <w:ilvl w:val="0"/>
                <w:numId w:val="5"/>
              </w:numPr>
              <w:ind w:left="453" w:hanging="340"/>
              <w:rPr>
                <w:sz w:val="22"/>
                <w:szCs w:val="22"/>
              </w:rPr>
            </w:pPr>
            <w:r>
              <w:rPr>
                <w:b/>
                <w:sz w:val="22"/>
                <w:szCs w:val="22"/>
              </w:rPr>
              <w:t xml:space="preserve">Zahlen zum DIVI-Intensivregister </w:t>
            </w:r>
            <w:r>
              <w:rPr>
                <w:b/>
                <w:i/>
                <w:color w:val="D99594" w:themeColor="accent2" w:themeTint="99"/>
                <w:sz w:val="20"/>
                <w:szCs w:val="20"/>
              </w:rPr>
              <w:t>(nur mittwochs)</w:t>
            </w:r>
            <w:r>
              <w:rPr>
                <w:color w:val="D99594" w:themeColor="accent2" w:themeTint="99"/>
                <w:sz w:val="22"/>
                <w:szCs w:val="22"/>
              </w:rPr>
              <w:t xml:space="preserve">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COVID-19-Intensivpflichtige</w:t>
            </w:r>
          </w:p>
          <w:p>
            <w:pPr>
              <w:pStyle w:val="Listenabsatz"/>
              <w:numPr>
                <w:ilvl w:val="2"/>
                <w:numId w:val="5"/>
              </w:numPr>
              <w:ind w:left="1491" w:hanging="357"/>
              <w:rPr>
                <w:sz w:val="22"/>
                <w:szCs w:val="22"/>
              </w:rPr>
            </w:pPr>
            <w:r>
              <w:rPr>
                <w:sz w:val="22"/>
                <w:szCs w:val="22"/>
              </w:rPr>
              <w:t>597 Behandelte, 149 mehr als letzte Woche</w:t>
            </w:r>
          </w:p>
          <w:p>
            <w:pPr>
              <w:pStyle w:val="Listenabsatz"/>
              <w:numPr>
                <w:ilvl w:val="2"/>
                <w:numId w:val="5"/>
              </w:numPr>
              <w:ind w:left="1491" w:hanging="357"/>
              <w:rPr>
                <w:sz w:val="22"/>
                <w:szCs w:val="22"/>
              </w:rPr>
            </w:pPr>
            <w:r>
              <w:rPr>
                <w:sz w:val="22"/>
                <w:szCs w:val="22"/>
              </w:rPr>
              <w:t>Anstieg bin vielen BL</w:t>
            </w:r>
          </w:p>
          <w:p>
            <w:pPr>
              <w:pStyle w:val="Listenabsatz"/>
              <w:numPr>
                <w:ilvl w:val="2"/>
                <w:numId w:val="5"/>
              </w:numPr>
              <w:ind w:left="1491" w:hanging="357"/>
              <w:rPr>
                <w:sz w:val="22"/>
                <w:szCs w:val="22"/>
              </w:rPr>
            </w:pPr>
            <w:r>
              <w:rPr>
                <w:sz w:val="22"/>
                <w:szCs w:val="22"/>
              </w:rPr>
              <w:t>Anstieg in allen Behandlungsgruppen</w:t>
            </w:r>
          </w:p>
          <w:p>
            <w:pPr>
              <w:pStyle w:val="Listenabsatz"/>
              <w:numPr>
                <w:ilvl w:val="2"/>
                <w:numId w:val="5"/>
              </w:numPr>
              <w:ind w:left="1491" w:hanging="357"/>
              <w:rPr>
                <w:sz w:val="22"/>
                <w:szCs w:val="22"/>
              </w:rPr>
            </w:pPr>
            <w:r>
              <w:rPr>
                <w:sz w:val="22"/>
                <w:szCs w:val="22"/>
              </w:rPr>
              <w:t>Deutlicher Anstieg bei Erstaufnahmen: Ende Juli 20 pro Tag, jetzt 35-40 pro Tag</w:t>
            </w:r>
          </w:p>
          <w:p>
            <w:pPr>
              <w:pStyle w:val="Listenabsatz"/>
              <w:numPr>
                <w:ilvl w:val="1"/>
                <w:numId w:val="5"/>
              </w:numPr>
              <w:ind w:left="924" w:hanging="357"/>
              <w:rPr>
                <w:sz w:val="22"/>
                <w:szCs w:val="22"/>
              </w:rPr>
            </w:pPr>
            <w:r>
              <w:rPr>
                <w:sz w:val="22"/>
                <w:szCs w:val="22"/>
              </w:rPr>
              <w:t>Anteil der COVID-Patienten an Gesamtzahl ITS-Betten</w:t>
            </w:r>
          </w:p>
          <w:p>
            <w:pPr>
              <w:pStyle w:val="Listenabsatz"/>
              <w:numPr>
                <w:ilvl w:val="2"/>
                <w:numId w:val="5"/>
              </w:numPr>
              <w:ind w:left="1491" w:hanging="357"/>
              <w:rPr>
                <w:sz w:val="22"/>
                <w:szCs w:val="22"/>
              </w:rPr>
            </w:pPr>
            <w:r>
              <w:rPr>
                <w:sz w:val="22"/>
                <w:szCs w:val="22"/>
              </w:rPr>
              <w:t>Besonders auffällige Anstiege: HH, HB, BE, NRW, RP</w:t>
            </w:r>
          </w:p>
          <w:p>
            <w:pPr>
              <w:pStyle w:val="Listenabsatz"/>
              <w:numPr>
                <w:ilvl w:val="2"/>
                <w:numId w:val="5"/>
              </w:numPr>
              <w:ind w:left="1491" w:hanging="357"/>
              <w:rPr>
                <w:sz w:val="22"/>
                <w:szCs w:val="22"/>
              </w:rPr>
            </w:pPr>
            <w:r>
              <w:rPr>
                <w:sz w:val="22"/>
                <w:szCs w:val="22"/>
              </w:rPr>
              <w:t xml:space="preserve">Anteil in 12 BL &lt; 3%, in 4 BL &gt; 3% (HH 5%) </w:t>
            </w:r>
          </w:p>
          <w:p>
            <w:pPr>
              <w:pStyle w:val="Listenabsatz"/>
              <w:numPr>
                <w:ilvl w:val="1"/>
                <w:numId w:val="5"/>
              </w:numPr>
              <w:ind w:left="924" w:hanging="357"/>
              <w:rPr>
                <w:sz w:val="22"/>
                <w:szCs w:val="22"/>
              </w:rPr>
            </w:pPr>
            <w:r>
              <w:rPr>
                <w:sz w:val="22"/>
                <w:szCs w:val="22"/>
              </w:rPr>
              <w:t>Anteil Patienten an Gesamtzahl der Intensivbetten auf Kreisebene</w:t>
            </w:r>
          </w:p>
          <w:p>
            <w:pPr>
              <w:pStyle w:val="Listenabsatz"/>
              <w:numPr>
                <w:ilvl w:val="2"/>
                <w:numId w:val="5"/>
              </w:numPr>
              <w:ind w:left="1491" w:hanging="357"/>
              <w:rPr>
                <w:sz w:val="22"/>
                <w:szCs w:val="22"/>
              </w:rPr>
            </w:pPr>
            <w:r>
              <w:rPr>
                <w:sz w:val="22"/>
                <w:szCs w:val="22"/>
              </w:rPr>
              <w:t xml:space="preserve">Anstieg breitet sich von Westen her aus </w:t>
            </w:r>
          </w:p>
          <w:p>
            <w:pPr>
              <w:pStyle w:val="Listenabsatz"/>
              <w:numPr>
                <w:ilvl w:val="1"/>
                <w:numId w:val="5"/>
              </w:numPr>
              <w:ind w:left="924" w:hanging="357"/>
              <w:rPr>
                <w:sz w:val="22"/>
                <w:szCs w:val="22"/>
              </w:rPr>
            </w:pPr>
            <w:r>
              <w:rPr>
                <w:sz w:val="22"/>
                <w:szCs w:val="22"/>
              </w:rPr>
              <w:t>Altersstruktur</w:t>
            </w:r>
          </w:p>
          <w:p>
            <w:pPr>
              <w:pStyle w:val="Listenabsatz"/>
              <w:numPr>
                <w:ilvl w:val="2"/>
                <w:numId w:val="5"/>
              </w:numPr>
              <w:ind w:left="1491" w:hanging="357"/>
              <w:rPr>
                <w:sz w:val="22"/>
                <w:szCs w:val="22"/>
              </w:rPr>
            </w:pPr>
            <w:r>
              <w:rPr>
                <w:sz w:val="22"/>
                <w:szCs w:val="22"/>
              </w:rPr>
              <w:t>Von 91% aller gemeldeten Fälle übermittelt</w:t>
            </w:r>
          </w:p>
          <w:p>
            <w:pPr>
              <w:pStyle w:val="Listenabsatz"/>
              <w:numPr>
                <w:ilvl w:val="2"/>
                <w:numId w:val="5"/>
              </w:numPr>
              <w:ind w:left="1491" w:hanging="357"/>
              <w:rPr>
                <w:sz w:val="22"/>
                <w:szCs w:val="22"/>
              </w:rPr>
            </w:pPr>
            <w:r>
              <w:rPr>
                <w:sz w:val="22"/>
                <w:szCs w:val="22"/>
              </w:rPr>
              <w:t xml:space="preserve">52,7% der Behandelten aus der Gruppe der &lt;60Jährigen (letzte Woche 48%) </w:t>
            </w:r>
          </w:p>
          <w:p>
            <w:pPr>
              <w:pStyle w:val="Listenabsatz"/>
              <w:numPr>
                <w:ilvl w:val="2"/>
                <w:numId w:val="5"/>
              </w:numPr>
              <w:ind w:left="1491" w:hanging="357"/>
              <w:rPr>
                <w:sz w:val="22"/>
                <w:szCs w:val="22"/>
              </w:rPr>
            </w:pPr>
            <w:r>
              <w:rPr>
                <w:sz w:val="22"/>
                <w:szCs w:val="22"/>
              </w:rPr>
              <w:t xml:space="preserve">Altersmedian ist erstmals in die Gruppe der 50-59Jährigen gesprungen </w:t>
            </w:r>
          </w:p>
          <w:p>
            <w:pPr>
              <w:pStyle w:val="Listenabsatz"/>
              <w:numPr>
                <w:ilvl w:val="2"/>
                <w:numId w:val="5"/>
              </w:numPr>
              <w:ind w:left="1491" w:hanging="357"/>
              <w:rPr>
                <w:sz w:val="22"/>
                <w:szCs w:val="22"/>
              </w:rPr>
            </w:pPr>
            <w:r>
              <w:rPr>
                <w:sz w:val="22"/>
                <w:szCs w:val="22"/>
              </w:rPr>
              <w:t>Die AG der 60-80Jährigen nimmt prozentual ab</w:t>
            </w:r>
          </w:p>
          <w:p>
            <w:pPr>
              <w:pStyle w:val="Listenabsatz"/>
              <w:numPr>
                <w:ilvl w:val="2"/>
                <w:numId w:val="5"/>
              </w:numPr>
              <w:ind w:left="1491" w:hanging="357"/>
              <w:rPr>
                <w:sz w:val="22"/>
                <w:szCs w:val="22"/>
              </w:rPr>
            </w:pPr>
            <w:r>
              <w:rPr>
                <w:sz w:val="22"/>
                <w:szCs w:val="22"/>
              </w:rPr>
              <w:t>Relativ steiler Anstieg bei 40-49Jährigen und &gt;80Jährigen</w:t>
            </w:r>
          </w:p>
          <w:p>
            <w:pPr>
              <w:pStyle w:val="Listenabsatz"/>
              <w:numPr>
                <w:ilvl w:val="2"/>
                <w:numId w:val="5"/>
              </w:numPr>
              <w:ind w:left="1491" w:hanging="357"/>
              <w:rPr>
                <w:sz w:val="22"/>
                <w:szCs w:val="22"/>
              </w:rPr>
            </w:pPr>
            <w:r>
              <w:rPr>
                <w:sz w:val="22"/>
                <w:szCs w:val="22"/>
              </w:rPr>
              <w:t>0-29Jährige konstant niedrig</w:t>
            </w:r>
          </w:p>
          <w:p>
            <w:pPr>
              <w:pStyle w:val="Listenabsatz"/>
              <w:numPr>
                <w:ilvl w:val="1"/>
                <w:numId w:val="5"/>
              </w:numPr>
              <w:ind w:left="924" w:hanging="357"/>
              <w:rPr>
                <w:sz w:val="22"/>
                <w:szCs w:val="22"/>
              </w:rPr>
            </w:pPr>
            <w:r>
              <w:rPr>
                <w:sz w:val="22"/>
                <w:szCs w:val="22"/>
              </w:rPr>
              <w:t xml:space="preserve"> Prognosen intensivpflichtiger COVID-19 </w:t>
            </w:r>
            <w:proofErr w:type="spellStart"/>
            <w:proofErr w:type="gramStart"/>
            <w:r>
              <w:rPr>
                <w:sz w:val="22"/>
                <w:szCs w:val="22"/>
              </w:rPr>
              <w:t>Patient:innen</w:t>
            </w:r>
            <w:proofErr w:type="spellEnd"/>
            <w:proofErr w:type="gramEnd"/>
          </w:p>
          <w:p>
            <w:pPr>
              <w:pStyle w:val="Listenabsatz"/>
              <w:numPr>
                <w:ilvl w:val="2"/>
                <w:numId w:val="5"/>
              </w:numPr>
              <w:ind w:left="1491" w:hanging="357"/>
              <w:rPr>
                <w:sz w:val="22"/>
                <w:szCs w:val="22"/>
              </w:rPr>
            </w:pPr>
            <w:r>
              <w:rPr>
                <w:sz w:val="22"/>
                <w:szCs w:val="22"/>
              </w:rPr>
              <w:t>Anstieg für Gesamtdeutschland prognostiziert</w:t>
            </w:r>
          </w:p>
          <w:p>
            <w:pPr>
              <w:pStyle w:val="Listenabsatz"/>
              <w:numPr>
                <w:ilvl w:val="2"/>
                <w:numId w:val="5"/>
              </w:numPr>
              <w:ind w:left="924" w:hanging="357"/>
              <w:rPr>
                <w:sz w:val="22"/>
                <w:szCs w:val="22"/>
              </w:rPr>
            </w:pPr>
            <w:r>
              <w:rPr>
                <w:sz w:val="22"/>
                <w:szCs w:val="22"/>
              </w:rPr>
              <w:lastRenderedPageBreak/>
              <w:t xml:space="preserve">Deutlicher für Nord, West und Südwest, aber auch Aufwärtstrend für Süd und Ost </w:t>
            </w:r>
          </w:p>
          <w:p>
            <w:pPr>
              <w:pStyle w:val="Listenabsatz"/>
              <w:numPr>
                <w:ilvl w:val="0"/>
                <w:numId w:val="5"/>
              </w:numPr>
              <w:ind w:left="453" w:hanging="340"/>
              <w:rPr>
                <w:sz w:val="22"/>
                <w:szCs w:val="22"/>
              </w:rPr>
            </w:pPr>
            <w:r>
              <w:rPr>
                <w:b/>
                <w:sz w:val="22"/>
                <w:szCs w:val="22"/>
              </w:rPr>
              <w:t xml:space="preserve">VOC/Delta-Variante </w:t>
            </w:r>
            <w:r>
              <w:rPr>
                <w:b/>
                <w:i/>
                <w:color w:val="D99594" w:themeColor="accent2" w:themeTint="99"/>
                <w:sz w:val="20"/>
                <w:szCs w:val="20"/>
              </w:rPr>
              <w:t>(nur mittwochs)</w:t>
            </w:r>
            <w:r>
              <w:rPr>
                <w:color w:val="D99594" w:themeColor="accent2" w:themeTint="99"/>
                <w:sz w:val="22"/>
                <w:szCs w:val="22"/>
              </w:rPr>
              <w:t xml:space="preserve"> </w:t>
            </w:r>
            <w:r>
              <w:rPr>
                <w:sz w:val="22"/>
                <w:szCs w:val="22"/>
              </w:rPr>
              <w:t>(Folien</w:t>
            </w:r>
            <w:r>
              <w:t xml:space="preserve"> </w:t>
            </w:r>
            <w:hyperlink r:id="rId17" w:history="1">
              <w:r>
                <w:rPr>
                  <w:rStyle w:val="Hyperlink"/>
                </w:rPr>
                <w:t>hier</w:t>
              </w:r>
            </w:hyperlink>
            <w:r>
              <w:rPr>
                <w:sz w:val="22"/>
                <w:szCs w:val="22"/>
              </w:rPr>
              <w:t xml:space="preserve">) </w:t>
            </w:r>
          </w:p>
          <w:p>
            <w:pPr>
              <w:pStyle w:val="Listenabsatz"/>
              <w:numPr>
                <w:ilvl w:val="1"/>
                <w:numId w:val="5"/>
              </w:numPr>
              <w:ind w:left="924" w:hanging="357"/>
              <w:rPr>
                <w:sz w:val="22"/>
                <w:szCs w:val="22"/>
              </w:rPr>
            </w:pPr>
            <w:r>
              <w:rPr>
                <w:sz w:val="22"/>
                <w:szCs w:val="22"/>
              </w:rPr>
              <w:t>Übersicht VOC in Erhebungssystemen</w:t>
            </w:r>
          </w:p>
          <w:p>
            <w:pPr>
              <w:pStyle w:val="Listenabsatz"/>
              <w:numPr>
                <w:ilvl w:val="2"/>
                <w:numId w:val="5"/>
              </w:numPr>
              <w:ind w:left="1491" w:hanging="357"/>
              <w:rPr>
                <w:sz w:val="22"/>
                <w:szCs w:val="22"/>
              </w:rPr>
            </w:pPr>
            <w:r>
              <w:rPr>
                <w:sz w:val="22"/>
                <w:szCs w:val="22"/>
              </w:rPr>
              <w:t>Trend bei Genomsequenzierung hat sich fortgesetzt. Delta liegt bei 98, 5%, Alpha nur noch bei 1,2%, Gamma 0,1 %, im Unterschied zu ARS-Daten keine Nachweise von Beta</w:t>
            </w:r>
          </w:p>
          <w:p>
            <w:pPr>
              <w:pStyle w:val="Listenabsatz"/>
              <w:numPr>
                <w:ilvl w:val="2"/>
                <w:numId w:val="5"/>
              </w:numPr>
              <w:ind w:left="1491" w:hanging="357"/>
              <w:rPr>
                <w:sz w:val="22"/>
                <w:szCs w:val="22"/>
              </w:rPr>
            </w:pPr>
            <w:r>
              <w:rPr>
                <w:sz w:val="22"/>
                <w:szCs w:val="22"/>
              </w:rPr>
              <w:t>Auch RKI-Testzahlerfassung und IfSG-Daten zeigen ähnliche Zahlen</w:t>
            </w:r>
          </w:p>
          <w:p>
            <w:pPr>
              <w:pStyle w:val="Listenabsatz"/>
              <w:ind w:left="1491"/>
              <w:rPr>
                <w:sz w:val="22"/>
                <w:szCs w:val="22"/>
              </w:rPr>
            </w:pPr>
          </w:p>
          <w:p>
            <w:pPr>
              <w:rPr>
                <w:i/>
                <w:sz w:val="22"/>
                <w:szCs w:val="22"/>
              </w:rPr>
            </w:pPr>
            <w:r>
              <w:rPr>
                <w:i/>
                <w:sz w:val="22"/>
                <w:szCs w:val="22"/>
              </w:rPr>
              <w:t>ToDo: Abgleich mit ARS-Daten und Klärung: Beta-Varianten müssten ja gemeldet werden, warum liegt hier eine Diskrepanz vor?</w:t>
            </w:r>
          </w:p>
          <w:p>
            <w:pPr>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Verteilung aller VOC und VOI</w:t>
            </w:r>
          </w:p>
          <w:p>
            <w:pPr>
              <w:pStyle w:val="Listenabsatz"/>
              <w:numPr>
                <w:ilvl w:val="2"/>
                <w:numId w:val="5"/>
              </w:numPr>
              <w:ind w:left="1491" w:hanging="357"/>
              <w:rPr>
                <w:sz w:val="22"/>
                <w:szCs w:val="22"/>
              </w:rPr>
            </w:pPr>
            <w:r>
              <w:rPr>
                <w:sz w:val="22"/>
                <w:szCs w:val="22"/>
              </w:rPr>
              <w:t>Von Pangolin wurden 13 Delta-Sublinien (AY.1-13) definiert (nach Auftreten, nicht nach Eigenschaften)</w:t>
            </w:r>
          </w:p>
          <w:p>
            <w:pPr>
              <w:pStyle w:val="Listenabsatz"/>
              <w:numPr>
                <w:ilvl w:val="2"/>
                <w:numId w:val="5"/>
              </w:numPr>
              <w:ind w:left="1491" w:hanging="357"/>
              <w:rPr>
                <w:sz w:val="22"/>
                <w:szCs w:val="22"/>
              </w:rPr>
            </w:pPr>
            <w:r>
              <w:rPr>
                <w:sz w:val="22"/>
                <w:szCs w:val="22"/>
              </w:rPr>
              <w:t xml:space="preserve">Delta und Subvarianten dominieren </w:t>
            </w:r>
          </w:p>
          <w:p>
            <w:pPr>
              <w:pStyle w:val="Listenabsatz"/>
              <w:numPr>
                <w:ilvl w:val="2"/>
                <w:numId w:val="5"/>
              </w:numPr>
              <w:ind w:left="1491" w:hanging="357"/>
              <w:rPr>
                <w:sz w:val="22"/>
                <w:szCs w:val="22"/>
              </w:rPr>
            </w:pPr>
            <w:r>
              <w:rPr>
                <w:sz w:val="22"/>
                <w:szCs w:val="22"/>
              </w:rPr>
              <w:t xml:space="preserve">Vielfalt der Varianten nimmt weiterhin ab: nur 2 nicht VOC/VOI Varianten </w:t>
            </w:r>
          </w:p>
          <w:p>
            <w:pPr>
              <w:pStyle w:val="Listenabsatz"/>
              <w:numPr>
                <w:ilvl w:val="2"/>
                <w:numId w:val="5"/>
              </w:numPr>
              <w:ind w:left="1491" w:hanging="357"/>
              <w:rPr>
                <w:sz w:val="22"/>
                <w:szCs w:val="22"/>
              </w:rPr>
            </w:pPr>
            <w:r>
              <w:rPr>
                <w:sz w:val="22"/>
                <w:szCs w:val="22"/>
              </w:rPr>
              <w:t>B1.621:  von ECDC als VOI, von WHO bisher als „</w:t>
            </w:r>
            <w:proofErr w:type="spellStart"/>
            <w:r>
              <w:rPr>
                <w:i/>
                <w:iCs/>
                <w:sz w:val="22"/>
                <w:szCs w:val="22"/>
              </w:rPr>
              <w:t>Alerts</w:t>
            </w:r>
            <w:proofErr w:type="spellEnd"/>
            <w:r>
              <w:rPr>
                <w:i/>
                <w:iCs/>
                <w:sz w:val="22"/>
                <w:szCs w:val="22"/>
              </w:rPr>
              <w:t xml:space="preserve"> </w:t>
            </w:r>
            <w:proofErr w:type="spellStart"/>
            <w:r>
              <w:rPr>
                <w:i/>
                <w:iCs/>
                <w:sz w:val="22"/>
                <w:szCs w:val="22"/>
              </w:rPr>
              <w:t>for</w:t>
            </w:r>
            <w:proofErr w:type="spellEnd"/>
            <w:r>
              <w:rPr>
                <w:i/>
                <w:iCs/>
                <w:sz w:val="22"/>
                <w:szCs w:val="22"/>
              </w:rPr>
              <w:t xml:space="preserve"> Further Monitoring“ </w:t>
            </w:r>
            <w:r>
              <w:rPr>
                <w:iCs/>
                <w:sz w:val="22"/>
                <w:szCs w:val="22"/>
              </w:rPr>
              <w:t xml:space="preserve">geführt, seit Januar in DE 74 Nachweise, max. 3/Woche, letzte Woche kein Nachweis </w:t>
            </w:r>
          </w:p>
          <w:p>
            <w:pPr>
              <w:pStyle w:val="Listenabsatz"/>
              <w:numPr>
                <w:ilvl w:val="1"/>
                <w:numId w:val="5"/>
              </w:numPr>
              <w:ind w:left="924" w:hanging="357"/>
              <w:rPr>
                <w:sz w:val="22"/>
                <w:szCs w:val="22"/>
              </w:rPr>
            </w:pPr>
            <w:r>
              <w:rPr>
                <w:sz w:val="22"/>
                <w:szCs w:val="22"/>
              </w:rPr>
              <w:t>Anteil der Genomsequenzierungen</w:t>
            </w:r>
          </w:p>
          <w:p>
            <w:pPr>
              <w:pStyle w:val="Listenabsatz"/>
              <w:numPr>
                <w:ilvl w:val="2"/>
                <w:numId w:val="5"/>
              </w:numPr>
              <w:ind w:left="1491" w:hanging="357"/>
              <w:rPr>
                <w:sz w:val="22"/>
                <w:szCs w:val="22"/>
              </w:rPr>
            </w:pPr>
            <w:r>
              <w:rPr>
                <w:sz w:val="22"/>
                <w:szCs w:val="22"/>
              </w:rPr>
              <w:t xml:space="preserve">Im globalen (12,62%) Vergleich ganz gut (4,69%) </w:t>
            </w:r>
          </w:p>
          <w:p>
            <w:pPr>
              <w:rPr>
                <w:b/>
                <w:sz w:val="22"/>
                <w:szCs w:val="22"/>
              </w:rPr>
            </w:pPr>
          </w:p>
          <w:p>
            <w:pPr>
              <w:pStyle w:val="Listenabsatz"/>
              <w:ind w:left="924"/>
              <w:rPr>
                <w:sz w:val="22"/>
                <w:szCs w:val="22"/>
              </w:rPr>
            </w:pPr>
          </w:p>
          <w:p>
            <w:pPr>
              <w:pStyle w:val="Listenabsatz"/>
              <w:numPr>
                <w:ilvl w:val="0"/>
                <w:numId w:val="5"/>
              </w:numPr>
              <w:ind w:left="453" w:hanging="340"/>
              <w:rPr>
                <w:b/>
                <w:sz w:val="22"/>
                <w:szCs w:val="22"/>
              </w:rPr>
            </w:pPr>
            <w:r>
              <w:rPr>
                <w:b/>
                <w:sz w:val="22"/>
                <w:szCs w:val="22"/>
              </w:rPr>
              <w:t xml:space="preserve">Diskussion </w:t>
            </w:r>
          </w:p>
          <w:p>
            <w:pPr>
              <w:pStyle w:val="Listenabsatz"/>
              <w:numPr>
                <w:ilvl w:val="1"/>
                <w:numId w:val="5"/>
              </w:numPr>
              <w:ind w:left="924" w:hanging="357"/>
              <w:rPr>
                <w:sz w:val="22"/>
                <w:szCs w:val="22"/>
              </w:rPr>
            </w:pPr>
            <w:r>
              <w:rPr>
                <w:sz w:val="22"/>
                <w:szCs w:val="22"/>
              </w:rPr>
              <w:t>Zahlen zeigen eindrücklich, wie weit RKI im Voraus ist, was die Indikatoren betrifft.  Positivenrate hat letztes Jahr gut mit ITS-Belegung korreliert, ist das dieses Jahr auch so, ggf. früher durch stärkeren Eintrag aufgrund geringerer Hygienemaßnahmen beim Reisen?</w:t>
            </w:r>
          </w:p>
          <w:p>
            <w:pPr>
              <w:pStyle w:val="Listenabsatz"/>
              <w:numPr>
                <w:ilvl w:val="1"/>
                <w:numId w:val="5"/>
              </w:numPr>
              <w:ind w:left="924" w:hanging="357"/>
              <w:rPr>
                <w:sz w:val="22"/>
                <w:szCs w:val="22"/>
              </w:rPr>
            </w:pPr>
            <w:r>
              <w:rPr>
                <w:sz w:val="22"/>
                <w:szCs w:val="22"/>
              </w:rPr>
              <w:t>Zeichnen sich die 80+Jährigen, deren Zahl auf Intensivstationen zunimmt, durch bestimmte Eigenschaften aus?</w:t>
            </w:r>
          </w:p>
          <w:p>
            <w:pPr>
              <w:pStyle w:val="Listenabsatz"/>
              <w:numPr>
                <w:ilvl w:val="1"/>
                <w:numId w:val="5"/>
              </w:numPr>
              <w:ind w:left="924" w:hanging="357"/>
              <w:rPr>
                <w:sz w:val="22"/>
                <w:szCs w:val="22"/>
              </w:rPr>
            </w:pPr>
            <w:r>
              <w:rPr>
                <w:sz w:val="22"/>
                <w:szCs w:val="22"/>
              </w:rPr>
              <w:t>DIVI: Keine Details aus DIVI-Daten zu entnehmen, nur Alter, keine Informationen zum Grund der Aufnahme. Es wäre spannend, die DIVI-Zahlen mit den Meldedaten abzugleichen, dort müssten 40 ITS Fälle/Tag vorliegen</w:t>
            </w:r>
          </w:p>
          <w:p>
            <w:pPr>
              <w:pStyle w:val="Listenabsatz"/>
              <w:numPr>
                <w:ilvl w:val="1"/>
                <w:numId w:val="5"/>
              </w:numPr>
              <w:ind w:left="924" w:hanging="357"/>
              <w:rPr>
                <w:sz w:val="22"/>
                <w:szCs w:val="22"/>
              </w:rPr>
            </w:pPr>
            <w:r>
              <w:rPr>
                <w:sz w:val="22"/>
                <w:szCs w:val="22"/>
              </w:rPr>
              <w:t>M. Diercke zeigt Tabelle für den Wochenbericht vorab:  In den letzten 4 Wochen wurden bei den &gt;60Jährigen 1.555 Fälle mit vollständiger Impfung gemeldet, &gt;1000 davon waren symptomatisch, 148 (14%) wurden hospitalisiert, 12 von 148 auf ITS, 14 verstarben</w:t>
            </w:r>
          </w:p>
          <w:p>
            <w:pPr>
              <w:pStyle w:val="Listenabsatz"/>
              <w:numPr>
                <w:ilvl w:val="1"/>
                <w:numId w:val="5"/>
              </w:numPr>
              <w:ind w:left="924" w:hanging="357"/>
              <w:rPr>
                <w:sz w:val="22"/>
                <w:szCs w:val="22"/>
              </w:rPr>
            </w:pPr>
            <w:r>
              <w:rPr>
                <w:sz w:val="22"/>
                <w:szCs w:val="22"/>
              </w:rPr>
              <w:t>Von insgesamt 3000 gemeldeten Fällen wurde also etwa 1/3 als Impfdurchbruch gewertet</w:t>
            </w:r>
          </w:p>
          <w:p>
            <w:pPr>
              <w:pStyle w:val="Listenabsatz"/>
              <w:numPr>
                <w:ilvl w:val="1"/>
                <w:numId w:val="5"/>
              </w:numPr>
              <w:ind w:left="924" w:hanging="357"/>
              <w:rPr>
                <w:sz w:val="22"/>
                <w:szCs w:val="22"/>
              </w:rPr>
            </w:pPr>
            <w:r>
              <w:rPr>
                <w:sz w:val="22"/>
                <w:szCs w:val="22"/>
              </w:rPr>
              <w:t>Frage: Wäre es sinnvoll darzustellen, welcher Anteil von den Ungeimpften hospitalisiert wurde, um zu zeigen, dass die Impfung Einfluss auf den Erkrankungsverlauf nimmt?</w:t>
            </w:r>
          </w:p>
          <w:p>
            <w:pPr>
              <w:rPr>
                <w:sz w:val="22"/>
                <w:szCs w:val="22"/>
              </w:rPr>
            </w:pPr>
          </w:p>
          <w:p>
            <w:pPr>
              <w:rPr>
                <w:i/>
                <w:sz w:val="22"/>
                <w:szCs w:val="22"/>
              </w:rPr>
            </w:pPr>
            <w:r>
              <w:rPr>
                <w:i/>
                <w:sz w:val="22"/>
                <w:szCs w:val="22"/>
              </w:rPr>
              <w:lastRenderedPageBreak/>
              <w:t xml:space="preserve">ToDo: Nach Abstimmung des Wordings mit FG 33 (Harder) soll die Information zur Hospitalisierung Ungeimpfter in den Text zur Tabelle aufgenommen werden </w:t>
            </w:r>
          </w:p>
          <w:p>
            <w:pPr>
              <w:pStyle w:val="Listenabsatz"/>
              <w:ind w:left="924"/>
              <w:rPr>
                <w:sz w:val="22"/>
                <w:szCs w:val="22"/>
              </w:rPr>
            </w:pPr>
            <w:r>
              <w:rPr>
                <w:sz w:val="22"/>
                <w:szCs w:val="22"/>
              </w:rPr>
              <w:t xml:space="preserve"> </w:t>
            </w:r>
          </w:p>
          <w:p>
            <w:pPr>
              <w:pStyle w:val="Listenabsatz"/>
              <w:numPr>
                <w:ilvl w:val="1"/>
                <w:numId w:val="5"/>
              </w:numPr>
              <w:ind w:left="924" w:hanging="357"/>
              <w:rPr>
                <w:sz w:val="22"/>
                <w:szCs w:val="22"/>
              </w:rPr>
            </w:pPr>
            <w:r>
              <w:rPr>
                <w:sz w:val="22"/>
                <w:szCs w:val="22"/>
              </w:rPr>
              <w:t xml:space="preserve">Wie könnte zur Erhöhung der Testzahlen in Arztpraxen aufgerufen werden? Bisher gute Presseresonanz über öffentlichen Hinweis (Tweet), würde Ansatz bei Berufsorganisation (Brief an die KBV/A. Gassen) darüber hinaus etwas bewirken? </w:t>
            </w:r>
          </w:p>
          <w:p>
            <w:pPr>
              <w:pStyle w:val="Listenabsatz"/>
              <w:numPr>
                <w:ilvl w:val="1"/>
                <w:numId w:val="5"/>
              </w:numPr>
              <w:ind w:left="924" w:hanging="357"/>
              <w:rPr>
                <w:sz w:val="22"/>
                <w:szCs w:val="22"/>
              </w:rPr>
            </w:pPr>
            <w:r>
              <w:rPr>
                <w:sz w:val="22"/>
                <w:szCs w:val="22"/>
              </w:rPr>
              <w:t xml:space="preserve">Vorschlag: Thema könnte (über Wochenbericht) zunächst auf Referentenebene angegangen werden, auf dieser Ebene könnte ggf. eine Einbindung von Herrn Gassen ebenfalls angesprochen werden. </w:t>
            </w:r>
          </w:p>
          <w:p>
            <w:pPr>
              <w:rPr>
                <w:sz w:val="22"/>
                <w:szCs w:val="22"/>
              </w:rPr>
            </w:pPr>
          </w:p>
          <w:p>
            <w:pPr>
              <w:rPr>
                <w:i/>
                <w:sz w:val="22"/>
                <w:szCs w:val="22"/>
              </w:rPr>
            </w:pPr>
            <w:r>
              <w:rPr>
                <w:i/>
                <w:sz w:val="22"/>
                <w:szCs w:val="22"/>
              </w:rPr>
              <w:t xml:space="preserve">ToDo:  Textentwurf durch M. Mielke, Abstimmung mit L. Schaade </w:t>
            </w:r>
          </w:p>
          <w:p>
            <w:pPr>
              <w:rPr>
                <w:sz w:val="22"/>
                <w:szCs w:val="22"/>
              </w:rPr>
            </w:pPr>
          </w:p>
          <w:p>
            <w:pPr>
              <w:rPr>
                <w:sz w:val="22"/>
                <w:szCs w:val="22"/>
              </w:rPr>
            </w:pPr>
          </w:p>
          <w:p>
            <w:pPr>
              <w:pStyle w:val="Listenabsatz"/>
              <w:numPr>
                <w:ilvl w:val="1"/>
                <w:numId w:val="5"/>
              </w:numPr>
              <w:ind w:left="924" w:hanging="357"/>
              <w:rPr>
                <w:sz w:val="22"/>
                <w:szCs w:val="22"/>
              </w:rPr>
            </w:pPr>
            <w:r>
              <w:rPr>
                <w:sz w:val="22"/>
                <w:szCs w:val="22"/>
              </w:rPr>
              <w:t>Bericht aus EpiLag-Telko zu Ausbruch in Hessen (hohe attack rate)</w:t>
            </w:r>
          </w:p>
          <w:p>
            <w:pPr>
              <w:pStyle w:val="Listenabsatz"/>
              <w:numPr>
                <w:ilvl w:val="2"/>
                <w:numId w:val="5"/>
              </w:numPr>
              <w:ind w:left="1491" w:hanging="357"/>
              <w:rPr>
                <w:sz w:val="22"/>
                <w:szCs w:val="22"/>
              </w:rPr>
            </w:pPr>
            <w:r>
              <w:rPr>
                <w:sz w:val="22"/>
                <w:szCs w:val="22"/>
              </w:rPr>
              <w:t>Altenheim im LK Bergstraße</w:t>
            </w:r>
          </w:p>
          <w:p>
            <w:pPr>
              <w:pStyle w:val="Listenabsatz"/>
              <w:numPr>
                <w:ilvl w:val="2"/>
                <w:numId w:val="5"/>
              </w:numPr>
              <w:ind w:left="1491" w:hanging="357"/>
              <w:rPr>
                <w:sz w:val="22"/>
                <w:szCs w:val="22"/>
              </w:rPr>
            </w:pPr>
            <w:r>
              <w:rPr>
                <w:sz w:val="22"/>
                <w:szCs w:val="22"/>
              </w:rPr>
              <w:t>90% der Bewohner und 75% der Mitarbeiter vollständig geimpft</w:t>
            </w:r>
          </w:p>
          <w:p>
            <w:pPr>
              <w:pStyle w:val="Listenabsatz"/>
              <w:numPr>
                <w:ilvl w:val="2"/>
                <w:numId w:val="5"/>
              </w:numPr>
              <w:ind w:left="1491" w:hanging="357"/>
              <w:rPr>
                <w:sz w:val="22"/>
                <w:szCs w:val="22"/>
              </w:rPr>
            </w:pPr>
            <w:r>
              <w:rPr>
                <w:sz w:val="22"/>
                <w:szCs w:val="22"/>
              </w:rPr>
              <w:t>14 Bewohner erkrankt, 2 verstorben</w:t>
            </w:r>
          </w:p>
          <w:p>
            <w:pPr>
              <w:pStyle w:val="Listenabsatz"/>
              <w:numPr>
                <w:ilvl w:val="2"/>
                <w:numId w:val="5"/>
              </w:numPr>
              <w:ind w:left="1491" w:hanging="357"/>
              <w:rPr>
                <w:sz w:val="22"/>
                <w:szCs w:val="22"/>
              </w:rPr>
            </w:pPr>
            <w:r>
              <w:rPr>
                <w:sz w:val="22"/>
                <w:szCs w:val="22"/>
              </w:rPr>
              <w:t>4 von 86 Mitarbeitern positiv getestet, PCR-Bestätigungen stehen noch aus</w:t>
            </w:r>
          </w:p>
          <w:p>
            <w:pPr>
              <w:pStyle w:val="Listenabsatz"/>
              <w:numPr>
                <w:ilvl w:val="2"/>
                <w:numId w:val="5"/>
              </w:numPr>
              <w:ind w:left="1491" w:hanging="357"/>
              <w:rPr>
                <w:sz w:val="22"/>
                <w:szCs w:val="22"/>
              </w:rPr>
            </w:pPr>
            <w:r>
              <w:rPr>
                <w:sz w:val="22"/>
                <w:szCs w:val="22"/>
              </w:rPr>
              <w:t>Hauptsächlich Hochaltrige von Erkrankung betroffen</w:t>
            </w:r>
          </w:p>
          <w:p>
            <w:pPr>
              <w:pStyle w:val="Listenabsatz"/>
              <w:numPr>
                <w:ilvl w:val="2"/>
                <w:numId w:val="5"/>
              </w:numPr>
              <w:ind w:left="1491" w:hanging="357"/>
              <w:rPr>
                <w:sz w:val="22"/>
                <w:szCs w:val="22"/>
              </w:rPr>
            </w:pPr>
            <w:r>
              <w:rPr>
                <w:sz w:val="22"/>
                <w:szCs w:val="22"/>
              </w:rPr>
              <w:t>GA erbittet Amtshilfe, Verfahren ist angelaufen, detaillierte Untersuchung des Ausbruchs ist geplant</w:t>
            </w:r>
          </w:p>
          <w:p>
            <w:pPr>
              <w:pStyle w:val="Listenabsatz"/>
              <w:numPr>
                <w:ilvl w:val="2"/>
                <w:numId w:val="5"/>
              </w:numPr>
              <w:ind w:left="1491" w:hanging="357"/>
              <w:rPr>
                <w:sz w:val="22"/>
                <w:szCs w:val="22"/>
              </w:rPr>
            </w:pPr>
            <w:r>
              <w:rPr>
                <w:sz w:val="22"/>
                <w:szCs w:val="22"/>
              </w:rPr>
              <w:t xml:space="preserve">Weitere Berichterstattung folgt </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Rexroth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(Biere)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bookmarkStart w:id="0" w:name="_GoBack"/>
            <w:bookmarkEnd w:id="0"/>
          </w:p>
          <w:p>
            <w:pPr>
              <w:rPr>
                <w:sz w:val="22"/>
                <w:szCs w:val="22"/>
              </w:rPr>
            </w:pPr>
          </w:p>
          <w:p>
            <w:pPr>
              <w:rPr>
                <w:sz w:val="22"/>
                <w:szCs w:val="22"/>
              </w:rPr>
            </w:pPr>
            <w:r>
              <w:rPr>
                <w:sz w:val="22"/>
                <w:szCs w:val="22"/>
              </w:rPr>
              <w:t>Kröger/Eckmanns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Fischer</w:t>
            </w: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 xml:space="preserve">Diercke </w:t>
            </w:r>
          </w:p>
          <w:p>
            <w:pPr>
              <w:rPr>
                <w:sz w:val="22"/>
                <w:szCs w:val="22"/>
              </w:rPr>
            </w:pPr>
          </w:p>
          <w:p>
            <w:pPr>
              <w:rPr>
                <w:sz w:val="22"/>
                <w:szCs w:val="22"/>
              </w:rPr>
            </w:pPr>
          </w:p>
          <w:p>
            <w:pPr>
              <w:rPr>
                <w:sz w:val="22"/>
                <w:szCs w:val="22"/>
              </w:rPr>
            </w:pPr>
          </w:p>
          <w:p>
            <w:pPr>
              <w:rPr>
                <w:sz w:val="22"/>
                <w:szCs w:val="22"/>
              </w:rPr>
            </w:pPr>
            <w:r>
              <w:rPr>
                <w:sz w:val="22"/>
                <w:szCs w:val="22"/>
              </w:rPr>
              <w:t>Schaade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Mielke </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r>
              <w:rPr>
                <w:sz w:val="22"/>
                <w:szCs w:val="22"/>
              </w:rPr>
              <w:t xml:space="preserve">Schaade </w:t>
            </w:r>
          </w:p>
          <w:p>
            <w:pPr>
              <w:rPr>
                <w:sz w:val="22"/>
                <w:szCs w:val="22"/>
              </w:rPr>
            </w:pPr>
          </w:p>
          <w:p>
            <w:pPr>
              <w:rPr>
                <w:sz w:val="22"/>
                <w:szCs w:val="22"/>
              </w:rPr>
            </w:pPr>
            <w:r>
              <w:rPr>
                <w:sz w:val="22"/>
                <w:szCs w:val="22"/>
              </w:rPr>
              <w:t>Rexroth/Siffczyk</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Nicht besprochen </w:t>
            </w: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In Vorbereitung sind ein Infoblatt zu Long COVID und ein Infoblatt für Jugendliche zur Impfung</w:t>
            </w:r>
          </w:p>
          <w:p>
            <w:pPr>
              <w:pStyle w:val="Listenabsatz"/>
              <w:numPr>
                <w:ilvl w:val="0"/>
                <w:numId w:val="25"/>
              </w:numPr>
              <w:ind w:left="453" w:hanging="340"/>
              <w:rPr>
                <w:sz w:val="22"/>
                <w:szCs w:val="22"/>
              </w:rPr>
            </w:pPr>
            <w:r>
              <w:rPr>
                <w:sz w:val="22"/>
                <w:szCs w:val="22"/>
              </w:rPr>
              <w:t xml:space="preserve">Infoblatt für Eltern zur Impfung von Kindern liegt vor und wird abhängig von der Veröffentlichung der STIKO-Empfehlung veröffentlicht. </w:t>
            </w:r>
          </w:p>
          <w:p>
            <w:pPr>
              <w:pStyle w:val="Listenabsatz"/>
              <w:numPr>
                <w:ilvl w:val="0"/>
                <w:numId w:val="25"/>
              </w:numPr>
              <w:ind w:left="453" w:hanging="340"/>
              <w:rPr>
                <w:sz w:val="22"/>
                <w:szCs w:val="22"/>
              </w:rPr>
            </w:pPr>
            <w:r>
              <w:rPr>
                <w:sz w:val="22"/>
                <w:szCs w:val="22"/>
              </w:rPr>
              <w:t xml:space="preserve">Veröffentlichung der STIKO-Empfehlung ist für diese Woche, spätestens Freitag geplant  </w:t>
            </w: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Welche Botschaften sind für den Tweet zum morgigen Wochenbericht wichtig? Vorschlag: Anstieg der Fallzahlen auf ITS und Hinweis darauf, dass die 4. Welle an Fahrt aufnimmt</w:t>
            </w:r>
          </w:p>
          <w:p>
            <w:pPr>
              <w:pStyle w:val="Listenabsatz"/>
              <w:numPr>
                <w:ilvl w:val="0"/>
                <w:numId w:val="5"/>
              </w:numPr>
              <w:ind w:left="453" w:hanging="340"/>
              <w:rPr>
                <w:sz w:val="22"/>
                <w:szCs w:val="22"/>
              </w:rPr>
            </w:pPr>
            <w:r>
              <w:rPr>
                <w:sz w:val="22"/>
                <w:szCs w:val="22"/>
              </w:rPr>
              <w:lastRenderedPageBreak/>
              <w:t xml:space="preserve">Beides soll thematisiert werden </w:t>
            </w:r>
          </w:p>
          <w:p>
            <w:pPr>
              <w:ind w:left="113"/>
              <w:rPr>
                <w:i/>
                <w:sz w:val="22"/>
                <w:szCs w:val="22"/>
              </w:rPr>
            </w:pPr>
          </w:p>
          <w:p>
            <w:pPr>
              <w:rPr>
                <w:i/>
                <w:sz w:val="22"/>
                <w:szCs w:val="22"/>
              </w:rPr>
            </w:pPr>
            <w:r>
              <w:rPr>
                <w:i/>
                <w:sz w:val="22"/>
                <w:szCs w:val="22"/>
              </w:rPr>
              <w:t>ToDo: Kontaktaufnahme von Presse mit Silke Buda und Martina Fischer (bitte über Funktionspostfach) bzgl. Daten und Grafiken zu diesen Themen</w:t>
            </w:r>
          </w:p>
          <w:p>
            <w:pPr>
              <w:rPr>
                <w:sz w:val="22"/>
                <w:szCs w:val="22"/>
              </w:rPr>
            </w:pPr>
          </w:p>
          <w:p>
            <w:pPr>
              <w:rPr>
                <w:b/>
                <w:i/>
                <w:sz w:val="22"/>
                <w:szCs w:val="22"/>
              </w:rPr>
            </w:pPr>
            <w:r>
              <w:rPr>
                <w:b/>
                <w:sz w:val="22"/>
                <w:szCs w:val="22"/>
              </w:rPr>
              <w:t>P1</w:t>
            </w:r>
            <w:r>
              <w:rPr>
                <w:b/>
                <w:i/>
                <w:sz w:val="22"/>
                <w:szCs w:val="22"/>
              </w:rPr>
              <w:t xml:space="preserve"> </w:t>
            </w:r>
          </w:p>
          <w:p>
            <w:pPr>
              <w:pStyle w:val="Listenabsatz"/>
              <w:numPr>
                <w:ilvl w:val="0"/>
                <w:numId w:val="5"/>
              </w:numPr>
              <w:ind w:left="453" w:hanging="340"/>
              <w:rPr>
                <w:sz w:val="22"/>
                <w:szCs w:val="22"/>
              </w:rPr>
            </w:pPr>
            <w:r>
              <w:rPr>
                <w:sz w:val="22"/>
                <w:szCs w:val="22"/>
              </w:rPr>
              <w:t>Geplant ist in Kooperation mit Testzahlerfassung ein Flyer mit Argumenten für die PCR-Pooltestung, Kapazitäten dafür sind vorhanden (Modellrechnung), Kosten übersteigen nicht die Kosten für Antigen-Testung, Implementierung ist (mit Motivation und Willen) machbar</w:t>
            </w:r>
          </w:p>
          <w:p>
            <w:pPr>
              <w:pStyle w:val="Listenabsatz"/>
              <w:numPr>
                <w:ilvl w:val="0"/>
                <w:numId w:val="5"/>
              </w:numPr>
              <w:ind w:left="453" w:hanging="340"/>
              <w:rPr>
                <w:sz w:val="22"/>
                <w:szCs w:val="22"/>
              </w:rPr>
            </w:pPr>
            <w:r>
              <w:rPr>
                <w:sz w:val="22"/>
                <w:szCs w:val="22"/>
              </w:rPr>
              <w:t>Informationen und Hinweise dazu werden gern noch entgegengenommen</w:t>
            </w:r>
          </w:p>
          <w:p>
            <w:pPr>
              <w:pStyle w:val="Listenabsatz"/>
              <w:ind w:left="453"/>
              <w:rPr>
                <w:sz w:val="22"/>
                <w:szCs w:val="22"/>
              </w:rPr>
            </w:pPr>
          </w:p>
          <w:p>
            <w:pPr>
              <w:rPr>
                <w:b/>
                <w:sz w:val="22"/>
                <w:szCs w:val="22"/>
              </w:rPr>
            </w:pPr>
            <w:r>
              <w:rPr>
                <w:b/>
                <w:sz w:val="22"/>
                <w:szCs w:val="22"/>
              </w:rPr>
              <w:t>Diskussion</w:t>
            </w:r>
          </w:p>
          <w:p>
            <w:pPr>
              <w:pStyle w:val="Listenabsatz"/>
              <w:numPr>
                <w:ilvl w:val="0"/>
                <w:numId w:val="5"/>
              </w:numPr>
              <w:ind w:left="453" w:hanging="340"/>
              <w:rPr>
                <w:sz w:val="22"/>
                <w:szCs w:val="22"/>
              </w:rPr>
            </w:pPr>
            <w:r>
              <w:rPr>
                <w:sz w:val="22"/>
                <w:szCs w:val="22"/>
              </w:rPr>
              <w:t xml:space="preserve">Wie kann, ohne das Vertrauen in die Impfwirkung zu mindern, zur Testung auch vollständig Geimpfter aufgefordert werden? </w:t>
            </w:r>
          </w:p>
          <w:p>
            <w:pPr>
              <w:pStyle w:val="Listenabsatz"/>
              <w:numPr>
                <w:ilvl w:val="0"/>
                <w:numId w:val="5"/>
              </w:numPr>
              <w:ind w:left="453" w:hanging="340"/>
              <w:rPr>
                <w:sz w:val="22"/>
                <w:szCs w:val="22"/>
              </w:rPr>
            </w:pPr>
            <w:r>
              <w:rPr>
                <w:sz w:val="22"/>
                <w:szCs w:val="22"/>
              </w:rPr>
              <w:t>Für symptomatische Geimpfte gibt es bereits die Testempfehlung</w:t>
            </w:r>
          </w:p>
          <w:p>
            <w:pPr>
              <w:pStyle w:val="Listenabsatz"/>
              <w:numPr>
                <w:ilvl w:val="0"/>
                <w:numId w:val="5"/>
              </w:numPr>
              <w:ind w:left="453" w:hanging="340"/>
              <w:rPr>
                <w:sz w:val="22"/>
                <w:szCs w:val="22"/>
              </w:rPr>
            </w:pPr>
            <w:r>
              <w:rPr>
                <w:sz w:val="22"/>
                <w:szCs w:val="22"/>
              </w:rPr>
              <w:t>Wichtiger Anstoß, aber: Eine Testempfehlung auch für asymptomatische Geimpfte würde eine Anpassung des KoNa-Papiers nach sich ziehen, auch für den Zugang zu bestimmten Settings ist derzeit nicht Impfung plus Testung vorausgesetzt</w:t>
            </w:r>
          </w:p>
          <w:p>
            <w:pPr>
              <w:pStyle w:val="Listenabsatz"/>
              <w:numPr>
                <w:ilvl w:val="0"/>
                <w:numId w:val="5"/>
              </w:numPr>
              <w:ind w:left="453" w:hanging="340"/>
              <w:rPr>
                <w:sz w:val="22"/>
                <w:szCs w:val="22"/>
              </w:rPr>
            </w:pPr>
            <w:r>
              <w:rPr>
                <w:sz w:val="22"/>
                <w:szCs w:val="22"/>
              </w:rPr>
              <w:t xml:space="preserve">Sollten nicht zumindest geimpfte Kontaktpersonen, die nicht in Quarantäne gehen müssen, getestet werden? </w:t>
            </w:r>
          </w:p>
          <w:p>
            <w:pPr>
              <w:pStyle w:val="Listenabsatz"/>
              <w:numPr>
                <w:ilvl w:val="0"/>
                <w:numId w:val="5"/>
              </w:numPr>
              <w:ind w:left="453" w:hanging="340"/>
              <w:rPr>
                <w:sz w:val="22"/>
                <w:szCs w:val="22"/>
              </w:rPr>
            </w:pPr>
            <w:r>
              <w:rPr>
                <w:sz w:val="22"/>
                <w:szCs w:val="22"/>
              </w:rPr>
              <w:t>Ist eine Anpassung der KoNa-Empfehlungen bezüglich Delta (Quarantänezeiten) nötig?</w:t>
            </w:r>
          </w:p>
          <w:p>
            <w:pPr>
              <w:pStyle w:val="Listenabsatz"/>
              <w:numPr>
                <w:ilvl w:val="0"/>
                <w:numId w:val="5"/>
              </w:numPr>
              <w:ind w:left="453" w:hanging="340"/>
              <w:rPr>
                <w:sz w:val="22"/>
                <w:szCs w:val="22"/>
              </w:rPr>
            </w:pPr>
            <w:r>
              <w:rPr>
                <w:sz w:val="22"/>
                <w:szCs w:val="22"/>
              </w:rPr>
              <w:t xml:space="preserve">Hinweis aus AG-Diagnostik: Auf aktueller Datenbasis keine Evidenz für Quarantäneverkürzung, oder Änderung der Entlasskriterien, Daten zeigen bisher diesbezüglich keinen relevanten Unterschied zwischen Alpha und Delta </w:t>
            </w:r>
          </w:p>
          <w:p>
            <w:pPr>
              <w:pStyle w:val="Listenabsatz"/>
              <w:ind w:left="453"/>
              <w:rPr>
                <w:sz w:val="22"/>
                <w:szCs w:val="22"/>
              </w:rPr>
            </w:pPr>
          </w:p>
          <w:p>
            <w:pPr>
              <w:rPr>
                <w:i/>
                <w:sz w:val="22"/>
                <w:szCs w:val="22"/>
              </w:rPr>
            </w:pPr>
            <w:r>
              <w:rPr>
                <w:i/>
                <w:sz w:val="22"/>
                <w:szCs w:val="22"/>
              </w:rPr>
              <w:t xml:space="preserve">ToDo: Überlegung, inwiefern eine Überarbeitung des KoNa- Dokuments bzgl. Testung von geimpften Kontaktpersonen notwendig ist </w:t>
            </w:r>
          </w:p>
          <w:p>
            <w:pPr>
              <w:rPr>
                <w:i/>
                <w:sz w:val="22"/>
                <w:szCs w:val="22"/>
              </w:rPr>
            </w:pPr>
          </w:p>
          <w:p>
            <w:pPr>
              <w:pStyle w:val="Listenabsatz"/>
              <w:numPr>
                <w:ilvl w:val="0"/>
                <w:numId w:val="5"/>
              </w:numPr>
              <w:ind w:left="453" w:hanging="340"/>
              <w:rPr>
                <w:sz w:val="22"/>
                <w:szCs w:val="22"/>
              </w:rPr>
            </w:pPr>
            <w:r>
              <w:rPr>
                <w:sz w:val="22"/>
                <w:szCs w:val="22"/>
              </w:rPr>
              <w:t xml:space="preserve">Vorschlag, den Auftrag auf Meldedatengruppe auszuweiten </w:t>
            </w:r>
          </w:p>
          <w:p>
            <w:pPr>
              <w:pStyle w:val="Listenabsatz"/>
              <w:numPr>
                <w:ilvl w:val="0"/>
                <w:numId w:val="5"/>
              </w:numPr>
              <w:ind w:left="453" w:hanging="340"/>
              <w:rPr>
                <w:sz w:val="22"/>
                <w:szCs w:val="22"/>
              </w:rPr>
            </w:pPr>
            <w:r>
              <w:rPr>
                <w:sz w:val="22"/>
                <w:szCs w:val="22"/>
              </w:rPr>
              <w:t>Inkubationszeiten sind jedoch aus den Meldedaten schwer zu eruieren, da nur Erkrankungsbeginn, jedoch nicht Datum des Kontakts mit Quellfall erhoben wird</w:t>
            </w:r>
          </w:p>
          <w:p>
            <w:pPr>
              <w:pStyle w:val="Listenabsatz"/>
              <w:numPr>
                <w:ilvl w:val="0"/>
                <w:numId w:val="5"/>
              </w:numPr>
              <w:ind w:left="453" w:hanging="340"/>
              <w:rPr>
                <w:sz w:val="22"/>
                <w:szCs w:val="22"/>
              </w:rPr>
            </w:pPr>
            <w:r>
              <w:rPr>
                <w:sz w:val="22"/>
                <w:szCs w:val="22"/>
              </w:rPr>
              <w:t>Könnte eine Subgruppe mit bekanntem Kontaktdatum herausgefiltert werden?</w:t>
            </w:r>
          </w:p>
          <w:p>
            <w:pPr>
              <w:pStyle w:val="Listenabsatz"/>
              <w:ind w:left="453"/>
              <w:rPr>
                <w:sz w:val="22"/>
                <w:szCs w:val="22"/>
              </w:rPr>
            </w:pPr>
            <w:r>
              <w:rPr>
                <w:sz w:val="22"/>
                <w:szCs w:val="22"/>
              </w:rPr>
              <w:t xml:space="preserve"> </w:t>
            </w:r>
          </w:p>
          <w:p>
            <w:pPr>
              <w:rPr>
                <w:i/>
                <w:sz w:val="22"/>
                <w:szCs w:val="22"/>
              </w:rPr>
            </w:pPr>
            <w:r>
              <w:rPr>
                <w:i/>
                <w:sz w:val="22"/>
                <w:szCs w:val="22"/>
              </w:rPr>
              <w:t xml:space="preserve">ToDo: Klärung, inwiefern eine Information zur Inkubationszeit aus den Meldedaten zu entnehmen ist </w:t>
            </w:r>
          </w:p>
          <w:p>
            <w:pPr>
              <w:rPr>
                <w:i/>
                <w:sz w:val="22"/>
                <w:szCs w:val="22"/>
              </w:rPr>
            </w:pPr>
          </w:p>
          <w:p>
            <w:pPr>
              <w:pStyle w:val="Listenabsatz"/>
              <w:numPr>
                <w:ilvl w:val="0"/>
                <w:numId w:val="5"/>
              </w:numPr>
              <w:ind w:left="453" w:hanging="340"/>
              <w:rPr>
                <w:sz w:val="22"/>
                <w:szCs w:val="22"/>
              </w:rPr>
            </w:pPr>
            <w:r>
              <w:rPr>
                <w:sz w:val="22"/>
                <w:szCs w:val="22"/>
              </w:rPr>
              <w:t xml:space="preserve">Frage an die Modellierungsgruppe: Gibt es Kontaktdaten (nicht Mobilitätsdaten), die Unterschiede in den Kontakten für Ferien- und Schulzeiten zeigen? </w:t>
            </w:r>
          </w:p>
          <w:p>
            <w:pPr>
              <w:pStyle w:val="Listenabsatz"/>
              <w:numPr>
                <w:ilvl w:val="0"/>
                <w:numId w:val="5"/>
              </w:numPr>
              <w:ind w:left="453" w:hanging="340"/>
              <w:rPr>
                <w:sz w:val="22"/>
                <w:szCs w:val="22"/>
              </w:rPr>
            </w:pPr>
            <w:r>
              <w:rPr>
                <w:sz w:val="22"/>
                <w:szCs w:val="22"/>
              </w:rPr>
              <w:t>Ein „Kontaktindex“ wird verwendet, er zeigt die Anzahl von Kontakten auch in kleinräumigen Zellen, jedoch ohne Information, ob die Personen sich kennen, es ist unklar, ob daraus valide Aussagen gemacht werden können</w:t>
            </w:r>
          </w:p>
          <w:p>
            <w:pPr>
              <w:pStyle w:val="Listenabsatz"/>
              <w:numPr>
                <w:ilvl w:val="0"/>
                <w:numId w:val="5"/>
              </w:numPr>
              <w:ind w:left="453" w:hanging="340"/>
              <w:rPr>
                <w:sz w:val="22"/>
                <w:szCs w:val="22"/>
              </w:rPr>
            </w:pPr>
            <w:r>
              <w:rPr>
                <w:sz w:val="22"/>
                <w:szCs w:val="22"/>
              </w:rPr>
              <w:lastRenderedPageBreak/>
              <w:t>Mobilitätswerte unterscheiden sich in Ferien- und Schulzeiten, auch hier ist nicht bekannt, ob die Mobilität zu Unbekannten oder sich Kennenden stattfindet</w:t>
            </w:r>
          </w:p>
          <w:p>
            <w:pPr>
              <w:pStyle w:val="Listenabsatz"/>
              <w:numPr>
                <w:ilvl w:val="0"/>
                <w:numId w:val="5"/>
              </w:numPr>
              <w:ind w:left="453" w:hanging="340"/>
              <w:rPr>
                <w:sz w:val="22"/>
                <w:szCs w:val="22"/>
              </w:rPr>
            </w:pPr>
            <w:r>
              <w:rPr>
                <w:sz w:val="22"/>
                <w:szCs w:val="22"/>
              </w:rPr>
              <w:t>Frage: Wie ist die Haltung des RKI zum Genesenen-Status?</w:t>
            </w:r>
          </w:p>
          <w:p>
            <w:pPr>
              <w:pStyle w:val="Listenabsatz"/>
              <w:numPr>
                <w:ilvl w:val="0"/>
                <w:numId w:val="5"/>
              </w:numPr>
              <w:ind w:left="453" w:hanging="340"/>
              <w:rPr>
                <w:sz w:val="22"/>
                <w:szCs w:val="22"/>
              </w:rPr>
            </w:pPr>
            <w:r>
              <w:rPr>
                <w:sz w:val="22"/>
                <w:szCs w:val="22"/>
              </w:rPr>
              <w:t xml:space="preserve">Die Definition entsprechend der Ausnahmeverordnung (COVID-19– SchAusnahmV) gilt und dies sollte so oft wie möglich kommuniziert werden: </w:t>
            </w:r>
          </w:p>
          <w:p>
            <w:pPr>
              <w:pStyle w:val="Listenabsatz"/>
              <w:ind w:left="453"/>
              <w:rPr>
                <w:sz w:val="22"/>
                <w:szCs w:val="22"/>
              </w:rPr>
            </w:pPr>
            <w:r>
              <w:rPr>
                <w:sz w:val="22"/>
                <w:szCs w:val="22"/>
              </w:rPr>
              <w:t xml:space="preserve">„Eine genesene Person ist eine asymptomatische Person […] im Besitz eines Nachweises hinsichtlich des Vorliegens einer vorherigen Infektion mit dem Coronavirus SARS-CoV-2 in deutscher, englischer, französischer, italienischer oder spanischer Sprache in verkörperter oder digitaler Form, wenn die zugrundeliegende Testung durch eine Labordiagnostik mittels Nukleinsäurenachweis (PCR, PoC-PCR oder weitere Methoden der Nukleinsäureamplifikationstechnik) erfolgt ist und mindestens 28 Tage sowie maximal sechs Monate zurückliegt“ </w:t>
            </w:r>
          </w:p>
          <w:p>
            <w:pPr>
              <w:pStyle w:val="Listenabsatz"/>
              <w:numPr>
                <w:ilvl w:val="0"/>
                <w:numId w:val="5"/>
              </w:numPr>
              <w:ind w:left="453" w:hanging="340"/>
              <w:rPr>
                <w:sz w:val="22"/>
                <w:szCs w:val="22"/>
              </w:rPr>
            </w:pPr>
            <w:r>
              <w:rPr>
                <w:sz w:val="22"/>
                <w:szCs w:val="22"/>
              </w:rPr>
              <w:t xml:space="preserve">Zeitabhängigkeit sollte weiterhin betont werden, dafür liegen Daten vor, anamnestische Hinweise und AK-Nachweise reichen nicht aus </w:t>
            </w:r>
          </w:p>
          <w:p>
            <w:pPr>
              <w:pStyle w:val="Listenabsatz"/>
              <w:numPr>
                <w:ilvl w:val="0"/>
                <w:numId w:val="5"/>
              </w:numPr>
              <w:ind w:left="453" w:hanging="340"/>
              <w:rPr>
                <w:sz w:val="22"/>
                <w:szCs w:val="22"/>
              </w:rPr>
            </w:pPr>
            <w:r>
              <w:rPr>
                <w:sz w:val="22"/>
                <w:szCs w:val="22"/>
              </w:rPr>
              <w:t>Derzeitige STIKO-Empfehlung ermöglicht eine Impfung bereits 4 Wochen nach Ende der Symptomatik, empfiehlt jedoch „in der Regel 6 Monate nach der Infektion“.  Langfristig sollte der Genesenen-Status dadurch abgeschafft werden, dass frühzeitiger geimpft wird</w:t>
            </w:r>
          </w:p>
          <w:p>
            <w:pPr>
              <w:pStyle w:val="Listenabsatz"/>
              <w:numPr>
                <w:ilvl w:val="0"/>
                <w:numId w:val="5"/>
              </w:numPr>
              <w:ind w:left="453" w:hanging="340"/>
              <w:rPr>
                <w:sz w:val="22"/>
                <w:szCs w:val="22"/>
              </w:rPr>
            </w:pPr>
            <w:r>
              <w:rPr>
                <w:sz w:val="22"/>
                <w:szCs w:val="22"/>
              </w:rPr>
              <w:t xml:space="preserve">Dies würde auch eine Arztbesuch/PCR-Testung bei Symptomatik fördern, um den Vorteil einer vollständigen Impfung durch eine zeitnahe einmalige Impfung zu erlangen </w:t>
            </w:r>
          </w:p>
          <w:p>
            <w:pPr>
              <w:rPr>
                <w:sz w:val="22"/>
                <w:szCs w:val="22"/>
              </w:rPr>
            </w:pPr>
          </w:p>
          <w:p>
            <w:pPr>
              <w:rPr>
                <w:i/>
                <w:sz w:val="22"/>
                <w:szCs w:val="22"/>
              </w:rPr>
            </w:pPr>
            <w:r>
              <w:rPr>
                <w:i/>
                <w:sz w:val="22"/>
                <w:szCs w:val="22"/>
              </w:rPr>
              <w:t xml:space="preserve">ToDo: Einbringen des Themas „Empfehlung eines kürzeren Zeitabstands zwischen Infektion und einmaliger Impfung“ in die Diskussion der STIKO (bei Gelegenheit, ohne Deadline) </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BZgA</w:t>
            </w:r>
          </w:p>
          <w:p>
            <w:pPr>
              <w:rPr>
                <w:sz w:val="22"/>
                <w:szCs w:val="22"/>
              </w:rPr>
            </w:pPr>
            <w:r>
              <w:rPr>
                <w:sz w:val="22"/>
                <w:szCs w:val="22"/>
              </w:rPr>
              <w:t>(Ebrahimzadeh-Wetter)</w:t>
            </w:r>
          </w:p>
          <w:p>
            <w:pPr>
              <w:rPr>
                <w:sz w:val="22"/>
                <w:szCs w:val="22"/>
              </w:rPr>
            </w:pPr>
          </w:p>
          <w:p>
            <w:pPr>
              <w:rPr>
                <w:sz w:val="22"/>
                <w:szCs w:val="22"/>
              </w:rPr>
            </w:pPr>
          </w:p>
          <w:p>
            <w:pPr>
              <w:rPr>
                <w:sz w:val="22"/>
                <w:szCs w:val="22"/>
              </w:rPr>
            </w:pPr>
          </w:p>
          <w:p>
            <w:pPr>
              <w:rPr>
                <w:sz w:val="22"/>
                <w:szCs w:val="22"/>
              </w:rPr>
            </w:pPr>
            <w:r>
              <w:rPr>
                <w:sz w:val="22"/>
                <w:szCs w:val="22"/>
              </w:rPr>
              <w:t xml:space="preserve">Harder </w:t>
            </w:r>
          </w:p>
          <w:p>
            <w:pPr>
              <w:rPr>
                <w:sz w:val="22"/>
                <w:szCs w:val="22"/>
              </w:rPr>
            </w:pPr>
          </w:p>
          <w:p>
            <w:pPr>
              <w:rPr>
                <w:sz w:val="22"/>
                <w:szCs w:val="22"/>
              </w:rPr>
            </w:pPr>
          </w:p>
          <w:p>
            <w:pPr>
              <w:rPr>
                <w:sz w:val="22"/>
                <w:szCs w:val="22"/>
              </w:rPr>
            </w:pP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r>
              <w:rPr>
                <w:sz w:val="22"/>
                <w:szCs w:val="22"/>
              </w:rPr>
              <w:t>(Gubernath)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Kröger </w:t>
            </w:r>
          </w:p>
          <w:p>
            <w:pPr>
              <w:rPr>
                <w:sz w:val="22"/>
                <w:szCs w:val="22"/>
              </w:rPr>
            </w:pPr>
          </w:p>
          <w:p>
            <w:pPr>
              <w:rPr>
                <w:sz w:val="22"/>
                <w:szCs w:val="22"/>
              </w:rPr>
            </w:pPr>
          </w:p>
          <w:p>
            <w:pPr>
              <w:rPr>
                <w:sz w:val="22"/>
                <w:szCs w:val="22"/>
              </w:rPr>
            </w:pPr>
          </w:p>
          <w:p>
            <w:pPr>
              <w:rPr>
                <w:sz w:val="22"/>
                <w:szCs w:val="22"/>
              </w:rPr>
            </w:pPr>
            <w:r>
              <w:rPr>
                <w:sz w:val="22"/>
                <w:szCs w:val="22"/>
              </w:rPr>
              <w:t xml:space="preserve">FG 36 (Buda)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32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Gottwald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 33 (Harder) </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 xml:space="preserve">Nicht besprochen </w:t>
            </w:r>
          </w:p>
          <w:p>
            <w:pPr>
              <w:pStyle w:val="Listenabsatz"/>
              <w:ind w:left="907"/>
              <w:rPr>
                <w:sz w:val="22"/>
                <w:szCs w:val="22"/>
              </w:rPr>
            </w:pP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907"/>
              <w:rPr>
                <w:sz w:val="22"/>
                <w:szCs w:val="22"/>
              </w:rPr>
            </w:pPr>
          </w:p>
        </w:tc>
        <w:tc>
          <w:tcPr>
            <w:tcW w:w="1492" w:type="dxa"/>
          </w:tcPr>
          <w:p>
            <w:pPr>
              <w:rPr>
                <w:sz w:val="22"/>
                <w:szCs w:val="22"/>
              </w:rPr>
            </w:pPr>
          </w:p>
          <w:p>
            <w:pPr>
              <w:rPr>
                <w:sz w:val="22"/>
                <w:szCs w:val="22"/>
              </w:rPr>
            </w:pPr>
            <w:r>
              <w:rPr>
                <w:sz w:val="22"/>
                <w:szCs w:val="22"/>
              </w:rPr>
              <w:t xml:space="preserve">Alle </w:t>
            </w: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i/>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ZBS7 </w:t>
            </w:r>
          </w:p>
          <w:p>
            <w:pPr>
              <w:rPr>
                <w:sz w:val="22"/>
                <w:szCs w:val="22"/>
              </w:rPr>
            </w:pPr>
          </w:p>
        </w:tc>
      </w:tr>
      <w:tr>
        <w:tc>
          <w:tcPr>
            <w:tcW w:w="684" w:type="dxa"/>
          </w:tcPr>
          <w:p>
            <w:pPr>
              <w:rPr>
                <w:b/>
              </w:rPr>
            </w:pPr>
            <w:r>
              <w:rPr>
                <w:b/>
              </w:rPr>
              <w:lastRenderedPageBreak/>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FG37</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r>
              <w:rPr>
                <w:sz w:val="22"/>
                <w:szCs w:val="22"/>
              </w:rPr>
              <w:t>Keine vermerkt</w:t>
            </w: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Freitag, 20.08.2021, 11:00 Uhr, via Webex</w:t>
            </w:r>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12:09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B095C62"/>
    <w:multiLevelType w:val="hybridMultilevel"/>
    <w:tmpl w:val="312A76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C171B42"/>
    <w:multiLevelType w:val="hybridMultilevel"/>
    <w:tmpl w:val="CFF8DD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8"/>
  </w:num>
  <w:num w:numId="5">
    <w:abstractNumId w:val="8"/>
  </w:num>
  <w:num w:numId="6">
    <w:abstractNumId w:val="19"/>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0"/>
  </w:num>
  <w:num w:numId="15">
    <w:abstractNumId w:val="17"/>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S:\Wissdaten\RKI_nCoV-Lage\1.Lagemanagement\1.3.Besprechungen_TKs\1.Lage_AG\2021-08-18_Lage_AG\210818_SARS-CoV-2%20in%20ARS_Krisenstabssitzung_tE.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8-18_Lage_AG\Testzahlerfassung%20am%20RKI_2021-08-18_SB.pptx" TargetMode="External"/><Relationship Id="rId17" Type="http://schemas.openxmlformats.org/officeDocument/2006/relationships/hyperlink" Target="file:///S:\Wissdaten\RKI_nCoV-Lage\1.Lagemanagement\1.3.Besprechungen_TKs\1.Lage_AG\2021-08-18_Lage_AG\VOC_20210818.pptx" TargetMode="External"/><Relationship Id="rId2" Type="http://schemas.openxmlformats.org/officeDocument/2006/relationships/numbering" Target="numbering.xml"/><Relationship Id="rId16" Type="http://schemas.openxmlformats.org/officeDocument/2006/relationships/hyperlink" Target="file:///S:\Wissdaten\RKI_nCoV-Lage\1.Lagemanagement\1.3.Besprechungen_TKs\1.Lage_AG\2021-08-18_Lage_AG\2021-08-18_Intensivregister_SPoCK.ppt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8-18_Lage_AG\LageNational_2021-08-18_draft.pptx" TargetMode="External"/><Relationship Id="rId5" Type="http://schemas.openxmlformats.org/officeDocument/2006/relationships/webSettings" Target="webSettings.xml"/><Relationship Id="rId15" Type="http://schemas.openxmlformats.org/officeDocument/2006/relationships/hyperlink" Target="file:///S:\Wissdaten\RKI_nCoV-Lage\1.Lagemanagement\1.3.Besprechungen_TKs\1.Lage_AG\2021-08-18_Lage_AG\210818%20NRZ%20Influenzaviren%20Lage.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S:\Wissdaten\RKI_nCoV-Lage\1.Lagemanagement\1.3.Besprechungen_TKs\1.Lage_AG\2021-08-18_Lage_AG\syndrom-ARE-SARI-COVID_bis_KW32_2021_f&#252;r-Krisenstab.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EA143-95BF-4D96-9A0B-D21C8ED9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2265</Words>
  <Characters>14270</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von Berenberg-Gossler, Petra</cp:lastModifiedBy>
  <cp:revision>6</cp:revision>
  <cp:lastPrinted>2020-05-06T16:43:00Z</cp:lastPrinted>
  <dcterms:created xsi:type="dcterms:W3CDTF">2021-08-18T16:37:00Z</dcterms:created>
  <dcterms:modified xsi:type="dcterms:W3CDTF">2021-08-18T16:51:00Z</dcterms:modified>
</cp:coreProperties>
</file>