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01.09.2021,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spacing w:after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Barbara Biere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Viktoria Schönfeld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Barbara Hauer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Julia Schilling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Uwe Buchholz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 xml:space="preserve">Susanne Gottwald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Jamela Seedat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Heide </w:t>
      </w:r>
      <w:proofErr w:type="spellStart"/>
      <w:r>
        <w:rPr>
          <w:sz w:val="22"/>
        </w:rPr>
        <w:t>Ebrahimzadeh</w:t>
      </w:r>
      <w:proofErr w:type="spellEnd"/>
      <w:r>
        <w:rPr>
          <w:sz w:val="22"/>
        </w:rPr>
        <w:t>-Wetter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2"/>
              <w:numPr>
                <w:ilvl w:val="0"/>
                <w:numId w:val="0"/>
              </w:num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4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3.956.387 (+13.531), davon 92.223 (+23) Todesfälle </w:t>
            </w:r>
          </w:p>
          <w:p>
            <w:pPr>
              <w:pStyle w:val="Liste2"/>
            </w:pPr>
            <w:r>
              <w:t xml:space="preserve">7-Tage-Inzidenz:  75,7/100.000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54.297.654 (65,3%), mit vollständiger Impfung 50.431.730 (60,6%)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 xml:space="preserve">Unterschiedlicher Trend: Rückgang in NRW, Anstieg in Bremen, Saarland, Plateau auf hohem Level (50/100.000 </w:t>
            </w:r>
            <w:proofErr w:type="spellStart"/>
            <w:r>
              <w:t>Eiw</w:t>
            </w:r>
            <w:proofErr w:type="spellEnd"/>
            <w:r>
              <w:t>.) in Schleswig-Holstein, niedrig in Brandenburg, Meck-Pom, Sachsen, Sachsen-Anhalt.</w:t>
            </w:r>
          </w:p>
          <w:p>
            <w:pPr>
              <w:pStyle w:val="Liste3"/>
            </w:pPr>
            <w:r>
              <w:t>Geografische Verteilung: höchste Inzidenzen in NRW, Hamburg, Berlin, Hessen, Ba-</w:t>
            </w:r>
            <w:proofErr w:type="spellStart"/>
            <w:r>
              <w:t>Wü</w:t>
            </w:r>
            <w:proofErr w:type="spellEnd"/>
            <w:r>
              <w:t xml:space="preserve">, Bayern, </w:t>
            </w:r>
          </w:p>
          <w:p>
            <w:pPr>
              <w:pStyle w:val="Liste3"/>
            </w:pPr>
            <w:r>
              <w:t>Nach Kreis: SK Wuppertal (266,2), SK Rosenheim (199,7) die höchsten Inzidenzen</w:t>
            </w:r>
          </w:p>
          <w:p>
            <w:pPr>
              <w:pStyle w:val="Liste3"/>
            </w:pPr>
            <w:proofErr w:type="spellStart"/>
            <w:r>
              <w:t>Heatmap</w:t>
            </w:r>
            <w:proofErr w:type="spellEnd"/>
            <w:r>
              <w:t>: Höchste Inzidenz in Meldewoche 34 bei den 10-14 und 15-19-jährigen, aber alle Kinder -Altersgruppen betroffen und auch Anstieg bei den Älteren, daher sind auch vermehrt schwerere Verläufe zu erwarten</w:t>
            </w:r>
          </w:p>
          <w:p>
            <w:pPr>
              <w:pStyle w:val="Liste3"/>
            </w:pPr>
            <w:r>
              <w:t>Hospitalisierungsrate: Anstieg in allen Altersgruppen, zahlenmäßig höchster Anteil an Hospitalisierung bei den 35-49-Jährigen</w:t>
            </w:r>
          </w:p>
          <w:p>
            <w:pPr>
              <w:pStyle w:val="Liste3"/>
            </w:pPr>
            <w:r>
              <w:t xml:space="preserve">Importieret Fälle: 22%, Ursprungsländer: Türkei, Kosovo, Kroatien, Spanien, </w:t>
            </w:r>
            <w:proofErr w:type="spellStart"/>
            <w:r>
              <w:t>Nordmazedonien</w:t>
            </w:r>
            <w:proofErr w:type="spellEnd"/>
            <w:r>
              <w:t>, Griechenland, Italien, Frankreich, Marokko, Bulgarien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>Frage: Sind geringe Inzidenzen in Sachsen durch eine hohe Anzahl an Genesenen zu begründen?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 xml:space="preserve">Antwort: Es liegen keine Daten dazu vor und es sind keine </w:t>
            </w:r>
            <w:proofErr w:type="spellStart"/>
            <w:r>
              <w:t>Serostudien</w:t>
            </w:r>
            <w:proofErr w:type="spellEnd"/>
            <w:r>
              <w:t xml:space="preserve"> dazu bekannt. 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>Anregung: Es sollten vergleichende Daten von 7d-Inzidenzen mit der Hospitalisierungs-Inzidenz angeschaut werden. Es wurde dazu eine Deutschland-Karte der 7d-Hospitalisierungs-Inzidenz der COVID19-Fälle von Abt.3 Leitung gezeigt.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  <w:proofErr w:type="spellStart"/>
            <w:r>
              <w:rPr>
                <w:b/>
                <w:i/>
              </w:rPr>
              <w:t>ToDO</w:t>
            </w:r>
            <w:proofErr w:type="spellEnd"/>
            <w:r>
              <w:rPr>
                <w:b/>
                <w:i/>
              </w:rPr>
              <w:t xml:space="preserve"> zu Freitag</w:t>
            </w:r>
            <w:r>
              <w:t xml:space="preserve">: </w:t>
            </w:r>
          </w:p>
          <w:p>
            <w:pPr>
              <w:pStyle w:val="Liste3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Vergleichende Darstellung der 7d-Inzidenz und der 7d-Hospitalisierungsinzidenz der Bundesländer als geografische Verteilung und als </w:t>
            </w:r>
            <w:proofErr w:type="spellStart"/>
            <w:r>
              <w:rPr>
                <w:i/>
              </w:rPr>
              <w:t>Heatmap</w:t>
            </w:r>
            <w:proofErr w:type="spellEnd"/>
            <w:r>
              <w:rPr>
                <w:i/>
              </w:rPr>
              <w:t xml:space="preserve"> (Diercke, Buda, </w:t>
            </w:r>
            <w:proofErr w:type="spellStart"/>
            <w:r>
              <w:rPr>
                <w:i/>
              </w:rPr>
              <w:t>Hamouda</w:t>
            </w:r>
            <w:proofErr w:type="spellEnd"/>
            <w:r>
              <w:rPr>
                <w:i/>
              </w:rPr>
              <w:t>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3Zchn"/>
              </w:rPr>
              <w:t>Testkapazität und Testungen</w:t>
            </w:r>
            <w:r>
              <w:t xml:space="preserve"> </w:t>
            </w:r>
            <w:r>
              <w:rPr>
                <w:rStyle w:val="TagMiZchn"/>
                <w:bCs/>
              </w:rPr>
              <w:t xml:space="preserve">(nur mittwochs) </w:t>
            </w:r>
            <w:r>
              <w:rPr>
                <w:rStyle w:val="TagMiZchn"/>
                <w:b w:val="0"/>
                <w:bCs/>
                <w:i w:val="0"/>
                <w:color w:val="auto"/>
              </w:rPr>
              <w:t xml:space="preserve">Folien </w:t>
            </w:r>
            <w:hyperlink r:id="rId15" w:history="1">
              <w:r>
                <w:rPr>
                  <w:rStyle w:val="Hyperlink"/>
                  <w:bCs/>
                </w:rPr>
                <w:t>hi</w:t>
              </w:r>
              <w:r>
                <w:rPr>
                  <w:rStyle w:val="Hyperlink"/>
                  <w:bCs/>
                </w:rPr>
                <w:t>e</w:t>
              </w:r>
              <w:r>
                <w:rPr>
                  <w:rStyle w:val="Hyperlink"/>
                  <w:bCs/>
                </w:rPr>
                <w:t>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833.000 Testungen in KW 34,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(PA): 8,35, d.h. weiterhin Anstieg, jedoch ist die Zunahme nicht mehr so stark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Testzahl</w:t>
            </w:r>
            <w:proofErr w:type="spellEnd"/>
            <w:r>
              <w:rPr>
                <w:lang w:val="de-DE"/>
              </w:rPr>
              <w:t xml:space="preserve"> in NRW stark gestiegen, daher geht dort der PA runter, in BL, wo </w:t>
            </w:r>
            <w:proofErr w:type="spellStart"/>
            <w:r>
              <w:rPr>
                <w:lang w:val="de-DE"/>
              </w:rPr>
              <w:t>Testzahl</w:t>
            </w:r>
            <w:proofErr w:type="spellEnd"/>
            <w:r>
              <w:rPr>
                <w:lang w:val="de-DE"/>
              </w:rPr>
              <w:t xml:space="preserve"> stabil, steigt PA weiter an, z.B. Thüringen und Sachsen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Verteilung der PA auf Laborebene ergibt ein sehr heterogenes Bild</w:t>
            </w:r>
          </w:p>
          <w:p>
            <w:pPr>
              <w:pStyle w:val="Liste1"/>
            </w:pPr>
            <w:r>
              <w:rPr>
                <w:b/>
              </w:rPr>
              <w:t xml:space="preserve">ARS-Daten </w:t>
            </w:r>
            <w:r>
              <w:rPr>
                <w:rStyle w:val="TagMiZchn"/>
                <w:b w:val="0"/>
                <w:bCs/>
                <w:i w:val="0"/>
                <w:color w:val="auto"/>
              </w:rPr>
              <w:t xml:space="preserve">Folien </w:t>
            </w:r>
            <w:hyperlink r:id="rId16" w:history="1">
              <w:r>
                <w:rPr>
                  <w:rStyle w:val="Hyperlink"/>
                  <w:bCs/>
                </w:rPr>
                <w:t>hie</w:t>
              </w:r>
              <w:r>
                <w:rPr>
                  <w:rStyle w:val="Hyperlink"/>
                  <w:bCs/>
                </w:rPr>
                <w:t>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Es wurde mehr getestet, insbesondere in NRW, </w:t>
            </w:r>
            <w:r>
              <w:rPr>
                <w:lang w:val="de-DE"/>
              </w:rPr>
              <w:t xml:space="preserve">wo der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rückläufig ist</w:t>
            </w:r>
            <w:r>
              <w:rPr>
                <w:lang w:val="de-DE"/>
              </w:rPr>
              <w:t>, Berlin und Bremen wurden aus den Daten ausgeschlossen.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Testzahlen haben sich in der Altersgruppe der 5-14-Jährigen verdoppelt, das ist hauptsächlich auf Lolli-Testung in NRW zurück zu führen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Bei den 5-14-Jährign geht der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zurück, da die Anzahl der Tests/100.00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 ansteigt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Die Tests liegen z.T. 24h im Labor bis zur Verarbeitung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Altenheim- und Krankenhausausbrüche nehmen leicht zu</w:t>
            </w:r>
          </w:p>
          <w:p>
            <w:pPr>
              <w:pStyle w:val="Liste1"/>
            </w:pPr>
            <w:proofErr w:type="spellStart"/>
            <w:r>
              <w:rPr>
                <w:b/>
              </w:rPr>
              <w:t>Syndromische</w:t>
            </w:r>
            <w:proofErr w:type="spellEnd"/>
            <w:r>
              <w:rPr>
                <w:b/>
              </w:rPr>
              <w:t xml:space="preserve"> Surveillance</w:t>
            </w:r>
            <w:r>
              <w:rPr>
                <w:rStyle w:val="TagMiZchn"/>
              </w:rPr>
              <w:t xml:space="preserve"> (nur mittwochs)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  <w:r>
              <w:rPr>
                <w:rStyle w:val="TagMiZchn"/>
                <w:b w:val="0"/>
                <w:bCs/>
                <w:i w:val="0"/>
                <w:color w:val="auto"/>
              </w:rPr>
              <w:t xml:space="preserve">Folien </w:t>
            </w:r>
            <w:hyperlink r:id="rId17" w:history="1">
              <w:r>
                <w:rPr>
                  <w:rStyle w:val="Hyperlink"/>
                  <w:bCs/>
                </w:rPr>
                <w:t>hi</w:t>
              </w:r>
              <w:r>
                <w:rPr>
                  <w:rStyle w:val="Hyperlink"/>
                  <w:bCs/>
                </w:rPr>
                <w:t>e</w:t>
              </w:r>
              <w:r>
                <w:rPr>
                  <w:rStyle w:val="Hyperlink"/>
                  <w:bCs/>
                </w:rPr>
                <w:t>r</w:t>
              </w:r>
            </w:hyperlink>
          </w:p>
          <w:p>
            <w:pPr>
              <w:pStyle w:val="Liste2"/>
            </w:pPr>
            <w:proofErr w:type="spellStart"/>
            <w:r>
              <w:t>GrippeWeb</w:t>
            </w:r>
            <w:proofErr w:type="spellEnd"/>
            <w:r>
              <w:t xml:space="preserve">: </w:t>
            </w:r>
            <w:proofErr w:type="spellStart"/>
            <w:r>
              <w:t>Anstieg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Kindern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Konsultationsinzidenz steigt in allen Altersgruppen an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Altersgruppe 35-59 sind über dem saisonalen Niveau der Atemwegsinfektionen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COVID an SARI ist gestiegen (32%) und liegt bei knapp 50% COVID bei ICOSARI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Betroffen sind vor allem 35-59 und 60-79-Jährige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 Vergleich zu letztem Jahr, ist der Anstieg von COVID-SARI Fällen bereits früher zu verzeichnen</w:t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rPr>
                <w:b/>
              </w:rPr>
              <w:t>Virologische Surveillance</w:t>
            </w:r>
            <w:r>
              <w:t xml:space="preserve">, NRZ Influenza-Daten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rPr>
                <w:rStyle w:val="TagMiZchn"/>
                <w:b w:val="0"/>
                <w:bCs/>
                <w:i w:val="0"/>
                <w:color w:val="auto"/>
              </w:rPr>
              <w:t xml:space="preserve">Folien </w:t>
            </w:r>
            <w:hyperlink r:id="rId18" w:history="1">
              <w:r>
                <w:rPr>
                  <w:rStyle w:val="Hyperlink"/>
                  <w:bCs/>
                </w:rPr>
                <w:t>h</w:t>
              </w:r>
              <w:r>
                <w:rPr>
                  <w:rStyle w:val="Hyperlink"/>
                  <w:bCs/>
                </w:rPr>
                <w:t>i</w:t>
              </w:r>
              <w:r>
                <w:rPr>
                  <w:rStyle w:val="Hyperlink"/>
                  <w:bCs/>
                </w:rPr>
                <w:t>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104 Einsendungen mit einer Positivrate von 61%. Anteil SARS-CoV-2 bei 7%, 0% Influenza, geringer Anteil an endemischen Coronaviren und HMPV (1 Fall), hauptsächlich </w:t>
            </w:r>
            <w:proofErr w:type="spellStart"/>
            <w:r>
              <w:rPr>
                <w:lang w:val="de-DE"/>
              </w:rPr>
              <w:t>Rhinoviren</w:t>
            </w:r>
            <w:proofErr w:type="spellEnd"/>
            <w:r>
              <w:rPr>
                <w:lang w:val="de-DE"/>
              </w:rPr>
              <w:t xml:space="preserve"> und Parainfluenzaviren, RSV: 5%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b/>
              </w:rPr>
              <w:t>Zahlen zum DIVI-Intensivregister</w:t>
            </w:r>
            <w:r>
              <w:t xml:space="preserve"> </w:t>
            </w:r>
            <w:r>
              <w:rPr>
                <w:rStyle w:val="TagMiZchn"/>
                <w:bCs/>
              </w:rPr>
              <w:t>(nur mittwochs)</w:t>
            </w:r>
            <w:r>
              <w:rPr>
                <w:rStyle w:val="TagMiZchn"/>
                <w:bCs/>
                <w:i w:val="0"/>
              </w:rPr>
              <w:t xml:space="preserve"> </w:t>
            </w:r>
            <w:r>
              <w:rPr>
                <w:rStyle w:val="TagMiZchn"/>
                <w:b w:val="0"/>
                <w:bCs/>
                <w:i w:val="0"/>
                <w:color w:val="auto"/>
              </w:rPr>
              <w:t xml:space="preserve">Folien </w:t>
            </w:r>
            <w:hyperlink r:id="rId19" w:history="1">
              <w:r>
                <w:rPr>
                  <w:rStyle w:val="Hyperlink"/>
                  <w:bCs/>
                </w:rPr>
                <w:t>hi</w:t>
              </w:r>
              <w:r>
                <w:rPr>
                  <w:rStyle w:val="Hyperlink"/>
                  <w:bCs/>
                </w:rPr>
                <w:t>e</w:t>
              </w:r>
              <w:r>
                <w:rPr>
                  <w:rStyle w:val="Hyperlink"/>
                  <w:bCs/>
                </w:rPr>
                <w:t>r</w:t>
              </w:r>
            </w:hyperlink>
          </w:p>
          <w:p>
            <w:pPr>
              <w:pStyle w:val="Liste2"/>
            </w:pPr>
            <w:r>
              <w:t xml:space="preserve">1128 COVID19 </w:t>
            </w:r>
            <w:proofErr w:type="spellStart"/>
            <w:r>
              <w:t>Intensiv-Fälle</w:t>
            </w:r>
            <w:proofErr w:type="spellEnd"/>
            <w:r>
              <w:t xml:space="preserve"> (+321)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Innerhalb der letzten 2 Wochen hat sich die ITS Belegung verdoppelt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Starke Zunahme der Neuaufnahmen, 492 in den letzten 7d, ECMO Fälle steigen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BL: starker Anstieg im Nordwesten und Süden, in Hamburg und östliche BL niedriger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Altersstruktur: 65,1% &lt;60 Jahren, starker Anstieg bei den 40-69-Jährigen, in den letzten 2 Wochen auch Anstiege bei den 30-39-Jährigen und 70-79-Jährigen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20-Tage-Prognose: starker prognostischer Anstieg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VOC-Bericht </w:t>
            </w:r>
            <w:proofErr w:type="spellStart"/>
            <w:r>
              <w:rPr>
                <w:rStyle w:val="TagMiZchn"/>
                <w:b w:val="0"/>
                <w:bCs/>
                <w:i w:val="0"/>
                <w:color w:val="auto"/>
              </w:rPr>
              <w:t>Folien</w:t>
            </w:r>
            <w:proofErr w:type="spellEnd"/>
            <w:r>
              <w:rPr>
                <w:rStyle w:val="TagMiZchn"/>
                <w:b w:val="0"/>
                <w:bCs/>
                <w:i w:val="0"/>
                <w:color w:val="auto"/>
              </w:rPr>
              <w:t xml:space="preserve"> </w:t>
            </w:r>
            <w:hyperlink r:id="rId20" w:history="1">
              <w:proofErr w:type="spellStart"/>
              <w:r>
                <w:rPr>
                  <w:rStyle w:val="Hyperlink"/>
                  <w:bCs/>
                </w:rPr>
                <w:t>hi</w:t>
              </w:r>
              <w:r>
                <w:rPr>
                  <w:rStyle w:val="Hyperlink"/>
                  <w:bCs/>
                </w:rPr>
                <w:t>e</w:t>
              </w:r>
              <w:r>
                <w:rPr>
                  <w:rStyle w:val="Hyperlink"/>
                  <w:bCs/>
                </w:rPr>
                <w:t>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Delta Anteil leicht gestiegen und liegt bei 99,4%, andere VOC spielen kaum eine rolle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 xml:space="preserve">Anteil der </w:t>
            </w:r>
            <w:proofErr w:type="spellStart"/>
            <w:r>
              <w:rPr>
                <w:lang w:val="de-DE"/>
              </w:rPr>
              <w:t>Genomseq</w:t>
            </w:r>
            <w:proofErr w:type="spellEnd"/>
            <w:r>
              <w:rPr>
                <w:lang w:val="de-DE"/>
              </w:rPr>
              <w:t>. liegt bei 5-10%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Delta MOC (</w:t>
            </w:r>
            <w:proofErr w:type="spellStart"/>
            <w:r>
              <w:rPr>
                <w:lang w:val="de-DE"/>
              </w:rPr>
              <w:t>mutations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concern</w:t>
            </w:r>
            <w:proofErr w:type="spellEnd"/>
            <w:r>
              <w:rPr>
                <w:sz w:val="26"/>
                <w:lang w:val="de-DE"/>
              </w:rPr>
              <w:t>)</w:t>
            </w:r>
            <w:r>
              <w:rPr>
                <w:lang w:val="de-DE"/>
              </w:rPr>
              <w:t xml:space="preserve"> werden beobachtet, 100 Fälle seit April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Delta C.1.2 Variante seit KW23: 1 Fall in Deutschland, hauptsächlich in Südafrika, dort Anstieg (von 0,2 im Mai auf 2% im August)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Neue Variante: B1.621: Anteil in Deutschland liegt bei 0,3%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  <w:r>
              <w:rPr>
                <w:lang w:val="de-DE"/>
              </w:rPr>
              <w:t>Anmerkung Krisenstab: Es gibt ein Tool zur Ableitung einer Variantenspezifischen PCR von Herrn Hölzer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Hamouda</w:t>
            </w:r>
            <w:proofErr w:type="spellEnd"/>
            <w:r>
              <w:rPr>
                <w:sz w:val="22"/>
                <w:szCs w:val="22"/>
              </w:rPr>
              <w:t xml:space="preserve"> und Seifried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Eckmanns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Brunke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Fischer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Kröger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>Auf Freitag verschoben!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keine Anmerkung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 xml:space="preserve">Tweets zu ITS Anstieg, </w:t>
            </w:r>
            <w:proofErr w:type="spellStart"/>
            <w:r>
              <w:t>Heatmap</w:t>
            </w:r>
            <w:proofErr w:type="spellEnd"/>
            <w:r>
              <w:t>, eventuell Stratifizierung Geimpft/Ungeimpft (sonst nächste Woche)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(Degen)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  <w:rPr>
                <w:b w:val="0"/>
              </w:rPr>
            </w:pPr>
            <w:r>
              <w:rPr>
                <w:b w:val="0"/>
              </w:rPr>
              <w:t>Allgemein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 xml:space="preserve">Inzidenzen - getrennt </w:t>
            </w:r>
            <w:proofErr w:type="gramStart"/>
            <w:r>
              <w:t>nach geimpft</w:t>
            </w:r>
            <w:proofErr w:type="gramEnd"/>
            <w:r>
              <w:t xml:space="preserve"> und ungeimpft?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 xml:space="preserve">Vorstellung der Daten </w:t>
            </w:r>
            <w:hyperlink r:id="rId21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Datengrundlage: Nenner: symptomatische hospitalisierte Personen mit Angaben zum Impfstatus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 xml:space="preserve">Ergebnis: Inzidenz der ungeimpften symptomatischen, hospitalisierten Fälle pro 1 Mio. </w:t>
            </w:r>
            <w:proofErr w:type="spellStart"/>
            <w:r>
              <w:t>Einw</w:t>
            </w:r>
            <w:proofErr w:type="spellEnd"/>
            <w:r>
              <w:t>. ist um den Faktor 10 höher als die entsprechende Inzidenz geimpfter Fälle, sowohl bei den über als auch unter 60-Jährigen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Limitation: Jegliche Hospitalisierungen wurden einbezogen unabhängig von der Ursache, hoher Anteil fehlender Impfangaben (16%), ausstehende Nachmeldungen</w:t>
            </w:r>
          </w:p>
          <w:p>
            <w:r>
              <w:lastRenderedPageBreak/>
              <w:t>Diskussion: Tabelle im Wochenbericht hat eine andere Datenbasis, nämlich alle Hospitalisierungen, unabhängig von Impfinformation. Berechnungen sollten vereinheitlicht werden.</w:t>
            </w:r>
          </w:p>
          <w:p/>
          <w:p>
            <w:pPr>
              <w:rPr>
                <w:i/>
              </w:rPr>
            </w:pPr>
            <w:proofErr w:type="spellStart"/>
            <w:r>
              <w:rPr>
                <w:b/>
                <w:i/>
              </w:rPr>
              <w:t>ToDo</w:t>
            </w:r>
            <w:proofErr w:type="spellEnd"/>
            <w:r>
              <w:rPr>
                <w:b/>
                <w:i/>
              </w:rPr>
              <w:t>:</w:t>
            </w:r>
            <w:r>
              <w:rPr>
                <w:i/>
              </w:rPr>
              <w:t xml:space="preserve"> </w:t>
            </w:r>
          </w:p>
          <w:p>
            <w:pPr>
              <w:rPr>
                <w:i/>
              </w:rPr>
            </w:pPr>
            <w:r>
              <w:rPr>
                <w:i/>
              </w:rPr>
              <w:t>Vergleich der Unterschiede der beiden Berechnungsgrundlagen zur Hospitalisierungsrate und Entscheidung für eine Variante in Abstimmung mit FG32 und FG36 (Schönfeld, Harder)</w:t>
            </w:r>
          </w:p>
          <w:p>
            <w:pPr>
              <w:pStyle w:val="2"/>
              <w:rPr>
                <w:b w:val="0"/>
              </w:rPr>
            </w:pP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Da 2 G deutlich wirksamer ist als 3 G: wird das Einfluss auf unsere Empfehlungen geben?</w:t>
            </w:r>
          </w:p>
          <w:p>
            <w:pPr>
              <w:pStyle w:val="2"/>
              <w:ind w:left="360"/>
              <w:rPr>
                <w:b w:val="0"/>
              </w:rPr>
            </w:pPr>
            <w:r>
              <w:rPr>
                <w:b w:val="0"/>
              </w:rPr>
              <w:t>Diskussion: Unterscheidung rechtlich möglich, da Berliner Gericht Öffnung von Tanzclubs für 2G beschlossen hat. Auch BMG Krisenstab hält solch eine Unterscheidung für rechtssicher.</w:t>
            </w:r>
          </w:p>
          <w:p>
            <w:pPr>
              <w:pStyle w:val="2"/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</w:p>
          <w:p>
            <w:pPr>
              <w:pStyle w:val="2"/>
              <w:ind w:left="360"/>
              <w:rPr>
                <w:b w:val="0"/>
                <w:i/>
              </w:rPr>
            </w:pPr>
            <w:r>
              <w:rPr>
                <w:b w:val="0"/>
                <w:i/>
              </w:rPr>
              <w:t>Stufenkonzept hinsichtlich der Empfehlungsmöglichkeit für 2G überarbeiten (Rexroth)</w:t>
            </w:r>
          </w:p>
          <w:p>
            <w:pPr>
              <w:pStyle w:val="2"/>
              <w:rPr>
                <w:b w:val="0"/>
                <w:i/>
              </w:rPr>
            </w:pPr>
            <w:r>
              <w:rPr>
                <w:b w:val="0"/>
              </w:rPr>
              <w:t>RKI-intern</w:t>
            </w:r>
          </w:p>
          <w:p>
            <w:pPr>
              <w:pStyle w:val="Liste1"/>
              <w:numPr>
                <w:ilvl w:val="0"/>
                <w:numId w:val="11"/>
              </w:num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Schönfeld, Harder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Schaade</w:t>
            </w:r>
            <w:proofErr w:type="spellEnd"/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Kontaktpersonenmanagement:</w:t>
            </w:r>
          </w:p>
          <w:p>
            <w:pPr>
              <w:pStyle w:val="Liste3"/>
            </w:pPr>
            <w:r>
              <w:t>Umgang mit Kindern (</w:t>
            </w:r>
            <w:proofErr w:type="spellStart"/>
            <w:r>
              <w:t>Kona</w:t>
            </w:r>
            <w:proofErr w:type="spellEnd"/>
            <w:r>
              <w:t xml:space="preserve">, Schulen, s.u.) Dokument </w:t>
            </w:r>
            <w:hyperlink r:id="rId22" w:history="1">
              <w:r>
                <w:rPr>
                  <w:rStyle w:val="Hyperlink"/>
                </w:rPr>
                <w:t>hie</w:t>
              </w:r>
              <w:r>
                <w:rPr>
                  <w:rStyle w:val="Hyperlink"/>
                </w:rPr>
                <w:t>r</w:t>
              </w:r>
            </w:hyperlink>
          </w:p>
          <w:p>
            <w:pPr>
              <w:pStyle w:val="Liste3"/>
              <w:numPr>
                <w:ilvl w:val="0"/>
                <w:numId w:val="0"/>
              </w:numPr>
            </w:pPr>
            <w:r>
              <w:t>Vorstellung eines Papiers zum KPM in Schulen als Diskussionsgrundlage.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>Besprechung Tabelle im Dokument: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 xml:space="preserve">Berechnung mittels </w:t>
            </w:r>
            <w:r>
              <w:rPr>
                <w:highlight w:val="yellow"/>
              </w:rPr>
              <w:t xml:space="preserve">COVID19 </w:t>
            </w:r>
            <w:proofErr w:type="spellStart"/>
            <w:r>
              <w:rPr>
                <w:highlight w:val="yellow"/>
              </w:rPr>
              <w:t>Calculator</w:t>
            </w:r>
            <w:proofErr w:type="spellEnd"/>
            <w:r>
              <w:t>, keine Adjustierung für Kinder oder für die Deltavariante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>Nach Diskussion und Festlegung, dass keine extra Empfehlung für Schulen, sondern einheitliche Empfehlung ausgesprochen werden soll: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rPr>
                <w:u w:val="single"/>
              </w:rPr>
              <w:t>Quarantäne für Kontaktpersonen:</w:t>
            </w:r>
            <w:r>
              <w:t xml:space="preserve"> 10d ohne Testung oder alternativ eine Verkürzung auf 5-7d durch Testung mittels PCR oder hochwertigem Antigentest. Bei Testung: Beendigung der Quarantäne erst bei Vorliegen eines negativen Ergebnisses. </w:t>
            </w:r>
          </w:p>
          <w:p>
            <w:pPr>
              <w:pStyle w:val="Liste3"/>
              <w:numPr>
                <w:ilvl w:val="0"/>
                <w:numId w:val="10"/>
              </w:numPr>
            </w:pPr>
            <w:r>
              <w:t>Generelle Anpassung KPM, gleiches Dokument.</w:t>
            </w:r>
          </w:p>
          <w:p>
            <w:pPr>
              <w:pStyle w:val="Liste3"/>
              <w:numPr>
                <w:ilvl w:val="0"/>
                <w:numId w:val="10"/>
              </w:numPr>
            </w:pPr>
            <w:r>
              <w:t xml:space="preserve">Von den im Dokument genannten Punkten wurde zur Diskussion gestellt, ob Geimpften weiterhin empfohlen werden soll, ein </w:t>
            </w:r>
            <w:proofErr w:type="spellStart"/>
            <w:r>
              <w:t>Selbstmonitoring</w:t>
            </w:r>
            <w:proofErr w:type="spellEnd"/>
            <w:r>
              <w:t xml:space="preserve"> sowie eine Testung an Tag 5 nach Exposition durchzuführen. </w:t>
            </w:r>
          </w:p>
          <w:p>
            <w:pPr>
              <w:pStyle w:val="Liste3"/>
              <w:numPr>
                <w:ilvl w:val="0"/>
                <w:numId w:val="10"/>
              </w:numPr>
            </w:pPr>
            <w:r>
              <w:t>Ein Teil sprach sich dafür aus, insbesondere da es virologische Daten gäbt, die eine ähnlich hohe Viruslast bei Geimpften wie bei nicht-geimpften nahelegen. Andere meinten, dass jedoch epidemiologische Daten zur Übertragbarkeit durch Geimpfte fehlen würden.</w:t>
            </w:r>
          </w:p>
          <w:p>
            <w:pPr>
              <w:pStyle w:val="Liste3"/>
              <w:numPr>
                <w:ilvl w:val="0"/>
                <w:numId w:val="10"/>
              </w:numPr>
            </w:pPr>
            <w:r>
              <w:rPr>
                <w:u w:val="single"/>
              </w:rPr>
              <w:lastRenderedPageBreak/>
              <w:t xml:space="preserve">Entscheidung zur Empfehlung zum Umgang mit geimpften KP: </w:t>
            </w:r>
            <w:r>
              <w:t xml:space="preserve">Geimpften KP, die Kontakt zu vulnerablen Personengruppen haben, z.B. in Krankenhäusern, Altenheimen oder häuslicher Pflege, </w:t>
            </w:r>
            <w:bookmarkStart w:id="0" w:name="_GoBack"/>
            <w:bookmarkEnd w:id="0"/>
            <w:r>
              <w:t xml:space="preserve">wird ein </w:t>
            </w:r>
            <w:proofErr w:type="spellStart"/>
            <w:r>
              <w:t>Selbstmonitoring</w:t>
            </w:r>
            <w:proofErr w:type="spellEnd"/>
            <w:r>
              <w:t xml:space="preserve"> sowie eine Testung 5d nach Exposition empfohlen. 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Kröger, Buda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Impfstoffe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2"/>
            </w:pPr>
            <w:r>
              <w:t>Nicht berichtet</w:t>
            </w:r>
          </w:p>
          <w:p>
            <w:pPr>
              <w:pStyle w:val="2"/>
            </w:pPr>
            <w:r>
              <w:t>ZBS</w:t>
            </w:r>
          </w:p>
          <w:p>
            <w:pPr>
              <w:pStyle w:val="2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Freitag, 03.09.2021, 11:00 Uhr, via </w:t>
            </w:r>
            <w:proofErr w:type="spellStart"/>
            <w:r>
              <w:t>Webex</w:t>
            </w:r>
            <w:proofErr w:type="spellEnd"/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13:20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4CD"/>
    <w:multiLevelType w:val="hybridMultilevel"/>
    <w:tmpl w:val="6EDA1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2B0E6AEB"/>
    <w:multiLevelType w:val="hybridMultilevel"/>
    <w:tmpl w:val="25FCA9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7D3D5E"/>
    <w:multiLevelType w:val="hybridMultilevel"/>
    <w:tmpl w:val="15026E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5263F"/>
    <w:multiLevelType w:val="hybridMultilevel"/>
    <w:tmpl w:val="ECBEE3A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210901%20NRZ%20Influenzaviren%20Lage.pptx" TargetMode="External"/><Relationship Id="rId3" Type="http://schemas.openxmlformats.org/officeDocument/2006/relationships/styles" Target="styles.xml"/><Relationship Id="rId21" Type="http://schemas.openxmlformats.org/officeDocument/2006/relationships/hyperlink" Target="Diff_Inzidenz_Impfstatus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syndrom-ARE-SARI-COVID_bis_KW34_2021_f&#252;r-Krisenstab.ppt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210901_SARS-CoV-2%20in%20ARS_Krisenstabssitzung_tE.pptx" TargetMode="External"/><Relationship Id="rId20" Type="http://schemas.openxmlformats.org/officeDocument/2006/relationships/hyperlink" Target="VOC20210901_LageAG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Testzahlerfassung%20am%20RKI_2021-09-01_SB.pptx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2021-09-01_Intensivregister_SPoCK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LageNational_2021-09-01.pptx" TargetMode="External"/><Relationship Id="rId22" Type="http://schemas.openxmlformats.org/officeDocument/2006/relationships/hyperlink" Target="Vorschlag_Anpassung%20KPM_Schulen_31.08.2021_v4&#196;a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F7E55-36C4-4755-9A20-E3465C14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1347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3</cp:revision>
  <cp:lastPrinted>2020-05-06T16:43:00Z</cp:lastPrinted>
  <dcterms:created xsi:type="dcterms:W3CDTF">2021-09-01T19:21:00Z</dcterms:created>
  <dcterms:modified xsi:type="dcterms:W3CDTF">2021-09-01T19:44:00Z</dcterms:modified>
</cp:coreProperties>
</file>