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01.10.2021,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John Gubernath</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1"/>
          <w:numId w:val="3"/>
        </w:numPr>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Rhode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Andrea Rückle</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 xml:space="preserve">Folien </w:t>
            </w:r>
            <w:hyperlink r:id="rId14" w:history="1">
              <w:r>
                <w:rPr>
                  <w:rStyle w:val="Hyperlink"/>
                </w:rPr>
                <w:t>hier</w:t>
              </w:r>
            </w:hyperlink>
          </w:p>
          <w:p>
            <w:pPr>
              <w:pStyle w:val="Liste1"/>
            </w:pPr>
            <w:r>
              <w:t>Weltweit: Kumulativ ca. 232 Mio. Fälle, weiterhin sinkender Trend (-12% zur Vorwoche), CFR gleichbleibend (2,05%)</w:t>
            </w:r>
          </w:p>
          <w:p>
            <w:pPr>
              <w:pStyle w:val="Liste1"/>
            </w:pPr>
            <w:r>
              <w:t xml:space="preserve">Liste Top 10 Länder nach neuen Fällen (Datenstand: WHO, 29.09.2021): </w:t>
            </w:r>
          </w:p>
          <w:p>
            <w:pPr>
              <w:pStyle w:val="Liste2"/>
              <w:rPr>
                <w:lang w:val="de-DE"/>
              </w:rPr>
            </w:pPr>
            <w:r>
              <w:rPr>
                <w:lang w:val="de-DE"/>
              </w:rPr>
              <w:t>In 8/10 Ländern gibt es einen sinkenden Trend, in 2 einen Anstieg: UK, Russland</w:t>
            </w:r>
          </w:p>
          <w:p>
            <w:pPr>
              <w:pStyle w:val="Liste1"/>
            </w:pPr>
            <w:r>
              <w:t xml:space="preserve">Epikurve WHO Sitrep: </w:t>
            </w:r>
          </w:p>
          <w:p>
            <w:pPr>
              <w:pStyle w:val="Liste2"/>
              <w:rPr>
                <w:lang w:val="de-DE"/>
              </w:rPr>
            </w:pPr>
            <w:r>
              <w:rPr>
                <w:bCs/>
                <w:lang w:val="de-DE"/>
              </w:rPr>
              <w:t xml:space="preserve">Anzahl Fälle global rückgängig, </w:t>
            </w:r>
            <w:r>
              <w:rPr>
                <w:lang w:val="de-DE"/>
              </w:rPr>
              <w:t>in allen Regionen rückläufig</w:t>
            </w:r>
          </w:p>
          <w:p>
            <w:pPr>
              <w:pStyle w:val="Liste2"/>
              <w:rPr>
                <w:lang w:val="de-DE"/>
              </w:rPr>
            </w:pPr>
            <w:r>
              <w:rPr>
                <w:bCs/>
                <w:lang w:val="de-DE"/>
              </w:rPr>
              <w:t>Anzahl Todesfälle in allen Regionen zurückgegangen, jedoch steigt in</w:t>
            </w:r>
            <w:r>
              <w:rPr>
                <w:lang w:val="de-DE"/>
              </w:rPr>
              <w:t>: Afrika (+5%)</w:t>
            </w:r>
          </w:p>
          <w:p>
            <w:pPr>
              <w:pStyle w:val="Liste1"/>
            </w:pPr>
            <w:r>
              <w:t xml:space="preserve">Virusvarianten </w:t>
            </w:r>
          </w:p>
          <w:p>
            <w:pPr>
              <w:pStyle w:val="Liste3"/>
            </w:pPr>
            <w:r>
              <w:t>Aktuell keine Virusvariantengebiete ausgewiesen</w:t>
            </w:r>
          </w:p>
          <w:p>
            <w:pPr>
              <w:pStyle w:val="Liste3"/>
            </w:pPr>
            <w:r>
              <w:t>Delta neu nachgewiesen in: Ethiopien, Syrien</w:t>
            </w:r>
          </w:p>
          <w:p>
            <w:pPr>
              <w:pStyle w:val="Liste3"/>
              <w:rPr>
                <w:lang w:val="en-US"/>
              </w:rPr>
            </w:pPr>
            <w:r>
              <w:rPr>
                <w:lang w:val="en-US"/>
              </w:rPr>
              <w:t xml:space="preserve">USA neue Variantenklassifizierung: Variants being monitored (VBM) – „no imminent PH </w:t>
            </w:r>
            <w:proofErr w:type="gramStart"/>
            <w:r>
              <w:rPr>
                <w:lang w:val="en-US"/>
              </w:rPr>
              <w:t>risk“</w:t>
            </w:r>
            <w:proofErr w:type="gramEnd"/>
            <w:r>
              <w:rPr>
                <w:lang w:val="en-US"/>
              </w:rPr>
              <w:t xml:space="preserve"> </w:t>
            </w:r>
          </w:p>
          <w:p>
            <w:pPr>
              <w:rPr>
                <w:lang w:val="en-US"/>
              </w:rPr>
            </w:pPr>
          </w:p>
          <w:p>
            <w:pPr>
              <w:rPr>
                <w:b/>
              </w:rPr>
            </w:pPr>
            <w:r>
              <w:rPr>
                <w:b/>
              </w:rPr>
              <w:t>Diskussion:</w:t>
            </w:r>
          </w:p>
          <w:p>
            <w:pPr>
              <w:rPr>
                <w:b/>
              </w:rPr>
            </w:pPr>
          </w:p>
          <w:p>
            <w:pPr>
              <w:pStyle w:val="Liste1"/>
              <w:numPr>
                <w:ilvl w:val="0"/>
                <w:numId w:val="0"/>
              </w:numPr>
              <w:ind w:left="357" w:hanging="357"/>
            </w:pPr>
            <w:r>
              <w:t xml:space="preserve">Die häufig beschriebene Saisonalität in der SARS-CoV2 Pandemie lässt sich in Deutschland zwar erkennen, doch scheinen implementierte Maßnahmen, sowie deren Lockerung, die saisonalen Effekte zu überdecken. Eine Untersuchung der </w:t>
            </w:r>
            <w:commentRangeStart w:id="1"/>
            <w:r>
              <w:t>Saisonalität in unterschiedlichen Klimazonen</w:t>
            </w:r>
            <w:commentRangeEnd w:id="1"/>
            <w:r>
              <w:rPr>
                <w:rStyle w:val="Kommentarzeichen"/>
                <w:rFonts w:ascii="Scala Sans OT" w:hAnsi="Scala Sans OT"/>
                <w:lang w:eastAsia="de-DE"/>
              </w:rPr>
              <w:commentReference w:id="1"/>
            </w:r>
            <w:r>
              <w:t xml:space="preserve"> oder Hemisphären wäre interessant. Bei der Betrachtung solcher Effekte ist es wichtig Limitationen bzgl. der Datenqualität, unterschiedlicher Surveillancesysteme und deren Vergleichbarkeit, sowie kultureller Unterschiede zu beachten.</w:t>
            </w:r>
          </w:p>
          <w:p>
            <w:pPr>
              <w:pStyle w:val="ToDo"/>
            </w:pPr>
            <w:r>
              <w:t>ToDo: Entsprechende Modelle bzw. Studien identifizieren.</w:t>
            </w:r>
          </w:p>
          <w:p>
            <w:pPr>
              <w:pStyle w:val="Liste1"/>
              <w:numPr>
                <w:ilvl w:val="0"/>
                <w:numId w:val="0"/>
              </w:numPr>
              <w:ind w:left="357" w:hanging="357"/>
            </w:pPr>
            <w:r>
              <w:t>Unterschiede in der Schwere der Pandemie zeigen sich auch zwischen den Kontinenten aber auch v.a. zwischen Ländern mit unterschiedlichen BIP. So scheinen Länder des Globalen Nordens oft schwerer betroffen zu sein als Länder des Globalen Südens. Eine differenzierte Betrachtung wäre bei einer Untersuchung angebracht. Mehrere Faktoren können hier ursächlich sein, z.B. Datenqualität, kulturelle Aspekte oder auch Erfahrungswerte, sowie bestehende Systeme zum Management einer Epidemie / Pandemie</w:t>
            </w:r>
          </w:p>
          <w:p>
            <w:pPr>
              <w:pStyle w:val="ToDo"/>
            </w:pPr>
            <w:r>
              <w:t>ToDo: Konsultation WHO oder andere Stakeholder zur Einschätzung Aussagekraft Daten aus unterschiedlichen Regionen, aber auch zur unterschiedlichen Ausprägung des Infektionsgeschehens.</w:t>
            </w:r>
          </w:p>
          <w:p>
            <w:pPr>
              <w:pStyle w:val="Liste1"/>
              <w:numPr>
                <w:ilvl w:val="0"/>
                <w:numId w:val="0"/>
              </w:numPr>
              <w:ind w:left="357" w:hanging="357"/>
            </w:pPr>
          </w:p>
          <w:p>
            <w:pPr>
              <w:pStyle w:val="Liste3"/>
              <w:numPr>
                <w:ilvl w:val="0"/>
                <w:numId w:val="0"/>
              </w:numPr>
              <w:ind w:left="1193"/>
              <w:rPr>
                <w:highlight w:val="yellow"/>
              </w:rPr>
            </w:pPr>
          </w:p>
          <w:p>
            <w:pPr>
              <w:pStyle w:val="Liste3"/>
              <w:numPr>
                <w:ilvl w:val="0"/>
                <w:numId w:val="0"/>
              </w:numPr>
              <w:ind w:left="1193"/>
              <w:rPr>
                <w:highlight w:val="yellow"/>
              </w:rPr>
            </w:pPr>
          </w:p>
          <w:p>
            <w:pPr>
              <w:pStyle w:val="2"/>
            </w:pPr>
            <w:r>
              <w:lastRenderedPageBreak/>
              <w:t xml:space="preserve">National </w:t>
            </w:r>
          </w:p>
          <w:p>
            <w:pPr>
              <w:pStyle w:val="Liste1"/>
            </w:pPr>
            <w:r>
              <w:t xml:space="preserve">Fallzahlen, Todesfälle, Trend, Folien </w:t>
            </w:r>
            <w:hyperlink r:id="rId16" w:history="1">
              <w:r>
                <w:rPr>
                  <w:rStyle w:val="Hyperlink"/>
                </w:rPr>
                <w:t>hier</w:t>
              </w:r>
            </w:hyperlink>
          </w:p>
          <w:p>
            <w:pPr>
              <w:pStyle w:val="Liste2"/>
              <w:rPr>
                <w:lang w:val="de-DE"/>
              </w:rPr>
            </w:pPr>
            <w:r>
              <w:rPr>
                <w:lang w:val="de-DE"/>
              </w:rPr>
              <w:t xml:space="preserve">SurvNet übermittelt: SurvNet übermittelt: 4.237.619 (+10.118), davon 93.711 (+73) Todesfälle </w:t>
            </w:r>
          </w:p>
          <w:p>
            <w:pPr>
              <w:pStyle w:val="Liste2"/>
            </w:pPr>
            <w:r>
              <w:t>7-Tage-Inzidenz:  64,3/100.000 Einw.</w:t>
            </w:r>
          </w:p>
          <w:p>
            <w:pPr>
              <w:pStyle w:val="Liste2"/>
              <w:rPr>
                <w:lang w:val="de-DE"/>
              </w:rPr>
            </w:pPr>
            <w:r>
              <w:rPr>
                <w:lang w:val="de-DE"/>
              </w:rPr>
              <w:t>Impfmonitoring: Geimpfte mit 1. Dosis 56.541.315 (68,0%), mit vollständiger Impfung 53.564.630 (64,4%)</w:t>
            </w:r>
          </w:p>
          <w:p>
            <w:pPr>
              <w:pStyle w:val="Liste2"/>
              <w:rPr>
                <w:lang w:val="de-DE"/>
              </w:rPr>
            </w:pPr>
            <w:r>
              <w:rPr>
                <w:lang w:val="de-DE"/>
              </w:rPr>
              <w:t>Verlauf der 7-Tage-Inzidenz der Bundesländer:</w:t>
            </w:r>
          </w:p>
          <w:p>
            <w:pPr>
              <w:pStyle w:val="Liste3"/>
            </w:pPr>
            <w:r>
              <w:t>BY und BW leichter Trend nach oben; sehr großer Anstieg in Thüringen und MV</w:t>
            </w:r>
          </w:p>
          <w:p>
            <w:pPr>
              <w:pStyle w:val="Liste3"/>
            </w:pPr>
            <w:r>
              <w:t xml:space="preserve">Regional an </w:t>
            </w:r>
            <w:commentRangeStart w:id="3"/>
            <w:r>
              <w:t xml:space="preserve">Nordseeküste in MV </w:t>
            </w:r>
            <w:commentRangeEnd w:id="3"/>
            <w:r>
              <w:rPr>
                <w:rStyle w:val="Kommentarzeichen"/>
                <w:rFonts w:ascii="Scala Sans OT" w:hAnsi="Scala Sans OT"/>
                <w:lang w:eastAsia="de-DE"/>
              </w:rPr>
              <w:commentReference w:id="3"/>
            </w:r>
            <w:r>
              <w:t>Anstieg, Süden in D betroffen mit hohen 7-TI. Die höchsten 7-TI weiterhin in Traunstein und Pforzheim</w:t>
            </w:r>
          </w:p>
          <w:p>
            <w:pPr>
              <w:pStyle w:val="Liste3"/>
            </w:pPr>
            <w:r>
              <w:t>Nur noch 411 Kreise in D</w:t>
            </w:r>
          </w:p>
          <w:p>
            <w:pPr>
              <w:pStyle w:val="Liste3"/>
            </w:pPr>
            <w:r>
              <w:t>Anzahl der Kreise mit 7-TI &gt;25/100.000 EW: 375 (-3)</w:t>
            </w:r>
          </w:p>
          <w:p>
            <w:pPr>
              <w:pStyle w:val="Liste3"/>
            </w:pPr>
            <w:r>
              <w:t>Anzahl der Kreise mit 7-TI &gt;50/100.000 EW: 250 (+1)</w:t>
            </w:r>
          </w:p>
          <w:p>
            <w:pPr>
              <w:pStyle w:val="Liste3"/>
            </w:pPr>
            <w:r>
              <w:t>Anzahl der Kreise mit 7-TI &gt;100/100.000 EW: 44 (-1)</w:t>
            </w:r>
          </w:p>
          <w:p>
            <w:pPr>
              <w:pStyle w:val="Liste2"/>
            </w:pPr>
            <w:r>
              <w:t>Hospitalisierungsinzidenz in BL</w:t>
            </w:r>
          </w:p>
          <w:p>
            <w:pPr>
              <w:pStyle w:val="Liste3"/>
            </w:pPr>
            <w:r>
              <w:t>Bremen höchste HI, NRW relativ hoch</w:t>
            </w:r>
          </w:p>
          <w:p>
            <w:pPr>
              <w:pStyle w:val="Liste3"/>
            </w:pPr>
            <w:r>
              <w:t>Relative stabil über die Wochen</w:t>
            </w:r>
          </w:p>
          <w:p>
            <w:pPr>
              <w:pStyle w:val="Liste3"/>
            </w:pPr>
            <w:r>
              <w:t>HI gesamt: 1,65/100.00 EW</w:t>
            </w:r>
          </w:p>
          <w:p>
            <w:pPr>
              <w:pStyle w:val="Liste3"/>
            </w:pPr>
            <w:r>
              <w:t>HI ab 60 Jahre: 2,88/100.000 EW</w:t>
            </w:r>
          </w:p>
          <w:p>
            <w:pPr>
              <w:pStyle w:val="Liste2"/>
            </w:pPr>
            <w:r>
              <w:t>Intensivregister</w:t>
            </w:r>
          </w:p>
          <w:p>
            <w:pPr>
              <w:pStyle w:val="Liste3"/>
            </w:pPr>
            <w:r>
              <w:t>Leichter Rückgang der Fälle</w:t>
            </w:r>
          </w:p>
          <w:p>
            <w:pPr>
              <w:pStyle w:val="Liste2"/>
            </w:pPr>
            <w:r>
              <w:t>Sterbefallzahlen:</w:t>
            </w:r>
          </w:p>
          <w:p>
            <w:pPr>
              <w:pStyle w:val="Liste3"/>
            </w:pPr>
            <w:r>
              <w:t>Leichte Übersterblichkeit, welche nicht durch COVID-19 erklärbar ist</w:t>
            </w:r>
          </w:p>
          <w:p>
            <w:pPr>
              <w:pStyle w:val="Liste1"/>
              <w:numPr>
                <w:ilvl w:val="0"/>
                <w:numId w:val="0"/>
              </w:numPr>
              <w:ind w:left="473" w:hanging="360"/>
            </w:pPr>
          </w:p>
          <w:p>
            <w:pPr>
              <w:rPr>
                <w:b/>
              </w:rPr>
            </w:pPr>
            <w:r>
              <w:rPr>
                <w:b/>
              </w:rPr>
              <w:t>Diskussion:</w:t>
            </w:r>
          </w:p>
          <w:p>
            <w:pPr>
              <w:rPr>
                <w:b/>
              </w:rPr>
            </w:pPr>
          </w:p>
          <w:p>
            <w:pPr>
              <w:ind w:left="357" w:hanging="357"/>
              <w:rPr>
                <w:sz w:val="22"/>
              </w:rPr>
            </w:pPr>
            <w:r>
              <w:rPr>
                <w:sz w:val="22"/>
              </w:rPr>
              <w:t>Die Betrachtung der Fallzahlen und der Impfquote in den Bundesländern könnte teil differenzierter verlaufen. So hat Bremen eine hohe Impfquote, aber verzeichnet hohe Fallzahlen. Die könnte vllt. durch strukturelle Unterscheide in dem Bundesland liegen. Bremerhaven gehört noch zu Bremen hat aber eine niedrigere Impfquote und höhere Fallzahlen.</w:t>
            </w:r>
          </w:p>
          <w:p>
            <w:pPr>
              <w:ind w:left="357" w:hanging="357"/>
              <w:rPr>
                <w:sz w:val="22"/>
              </w:rPr>
            </w:pPr>
            <w:r>
              <w:rPr>
                <w:sz w:val="22"/>
              </w:rPr>
              <w:t>Trotz der weiterhin bestehenden pandemischen Lage, werden nicht alle Personen mit bestehender Symptomatik auf SARS-CoV-2 getestet. Durch gezielte Kommunikation sollte ein Bewusstsein für die Relevanz von Testergebnissen neu geschaffen werden.</w:t>
            </w:r>
          </w:p>
          <w:p>
            <w:pPr>
              <w:pStyle w:val="Liste3"/>
              <w:numPr>
                <w:ilvl w:val="0"/>
                <w:numId w:val="0"/>
              </w:numPr>
              <w:ind w:left="1193"/>
            </w:pPr>
          </w:p>
          <w:p>
            <w:pPr>
              <w:pStyle w:val="ToDo"/>
            </w:pPr>
            <w:r>
              <w:t xml:space="preserve">ToDo: Publikation zur epidemiologischen Relevanz des Testens in der COVID-19 Pandemie für das Ärzteblatt vorbereiten – Frau Mankertz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rPr>
          <w:trHeight w:val="190"/>
        </w:trP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lastRenderedPageBreak/>
              <w:t>4</w:t>
            </w:r>
          </w:p>
        </w:tc>
        <w:tc>
          <w:tcPr>
            <w:tcW w:w="6824" w:type="dxa"/>
          </w:tcPr>
          <w:p>
            <w:pPr>
              <w:pStyle w:val="1"/>
            </w:pPr>
            <w:r>
              <w:t>Aktuelle Risikobewertung</w:t>
            </w:r>
          </w:p>
          <w:p>
            <w:pPr>
              <w:pStyle w:val="Liste1"/>
            </w:pPr>
            <w:r>
              <w:t>Wurde am Freitag 24.09.2021 veröffentlicht</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Änderungen zu Informationen zu Schwangeren und Impfung, Merkblatt wird bald publiziert</w:t>
            </w:r>
          </w:p>
          <w:p>
            <w:pPr>
              <w:pStyle w:val="Liste1"/>
            </w:pPr>
            <w:r>
              <w:t>Informationen zu Auffrischungsimpfung bei Personen mit Immundeffizienz</w:t>
            </w:r>
          </w:p>
          <w:p>
            <w:pPr>
              <w:pStyle w:val="Liste1"/>
            </w:pPr>
            <w:r>
              <w:t>Informationsmaterial zu RNA Impfstoffen in der Vorbereitung</w:t>
            </w:r>
          </w:p>
          <w:p>
            <w:pPr>
              <w:pStyle w:val="Liste1"/>
            </w:pPr>
            <w:r>
              <w:t xml:space="preserve">Erstelltes Poster wird an nCoV Lage und Fr. Degen weitergeleitet </w:t>
            </w:r>
          </w:p>
          <w:p>
            <w:pPr>
              <w:pStyle w:val="2"/>
            </w:pPr>
            <w:r>
              <w:t>Presse</w:t>
            </w:r>
          </w:p>
          <w:p>
            <w:pPr>
              <w:pStyle w:val="Liste1"/>
            </w:pPr>
            <w:r>
              <w:t>Dienstag 05.10.21 findet eine Pressekonferenz zur Grippeschutzimpfung im Kontext der Pandemie statt</w:t>
            </w:r>
          </w:p>
          <w:p>
            <w:pPr>
              <w:pStyle w:val="2"/>
            </w:pPr>
            <w:r>
              <w:t>P1</w:t>
            </w:r>
          </w:p>
          <w:p>
            <w:pPr>
              <w:pStyle w:val="Liste1"/>
            </w:pPr>
            <w:r>
              <w:t xml:space="preserve">Der 2G/3G Flyer ist noch in der Bearbeitung und wird bald veröffentlicht, aber vorher wird noch um Rückmeldung dazu gebeten, Entwurf </w:t>
            </w:r>
            <w:hyperlink r:id="rId17" w:history="1">
              <w:r>
                <w:rPr>
                  <w:rStyle w:val="Hyperlink"/>
                </w:rPr>
                <w:t>hier</w:t>
              </w:r>
            </w:hyperlink>
          </w:p>
          <w:p>
            <w:pPr>
              <w:pStyle w:val="Liste1"/>
              <w:numPr>
                <w:ilvl w:val="0"/>
                <w:numId w:val="0"/>
              </w:numPr>
              <w:ind w:left="473"/>
              <w:rPr>
                <w:i/>
              </w:rPr>
            </w:pPr>
          </w:p>
        </w:tc>
        <w:tc>
          <w:tcPr>
            <w:tcW w:w="1463" w:type="dxa"/>
          </w:tcPr>
          <w:p>
            <w:pPr>
              <w:rPr>
                <w:sz w:val="22"/>
                <w:szCs w:val="22"/>
              </w:rPr>
            </w:pPr>
          </w:p>
          <w:p>
            <w:pPr>
              <w:rPr>
                <w:sz w:val="22"/>
                <w:szCs w:val="22"/>
              </w:rPr>
            </w:pPr>
          </w:p>
          <w:p>
            <w:pPr>
              <w:rPr>
                <w:sz w:val="22"/>
                <w:szCs w:val="22"/>
              </w:rPr>
            </w:pPr>
            <w:r>
              <w:rPr>
                <w:sz w:val="22"/>
                <w:szCs w:val="22"/>
              </w:rPr>
              <w:t xml:space="preserve">BZgA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 xml:space="preserve">Hospitalisierungsinzidenz – Nowcasting, </w:t>
            </w:r>
            <w:r>
              <w:rPr>
                <w:b w:val="0"/>
              </w:rPr>
              <w:t xml:space="preserve">Folien </w:t>
            </w:r>
            <w:hyperlink r:id="rId18" w:history="1">
              <w:r>
                <w:rPr>
                  <w:rStyle w:val="Hyperlink"/>
                  <w:b w:val="0"/>
                </w:rPr>
                <w:t>hier</w:t>
              </w:r>
            </w:hyperlink>
          </w:p>
          <w:p>
            <w:pPr>
              <w:pStyle w:val="Liste2"/>
              <w:rPr>
                <w:lang w:val="de-DE"/>
              </w:rPr>
            </w:pPr>
            <w:r>
              <w:rPr>
                <w:lang w:val="de-DE"/>
              </w:rPr>
              <w:t>Ziel: Korrektur für entstehende Verzögerungen zwischen Hospitalisierung eines COVID-19 Falles und dem Eingang dieser Information am RKI</w:t>
            </w:r>
          </w:p>
          <w:p>
            <w:pPr>
              <w:pStyle w:val="Liste2"/>
              <w:rPr>
                <w:lang w:val="de-DE"/>
              </w:rPr>
            </w:pPr>
            <w:r>
              <w:rPr>
                <w:lang w:val="de-DE"/>
              </w:rPr>
              <w:t xml:space="preserve">In der jetzigen Analyse wird das Meldedatum als Basis genutzt </w:t>
            </w:r>
          </w:p>
          <w:p>
            <w:pPr>
              <w:pStyle w:val="Liste2"/>
              <w:rPr>
                <w:lang w:val="de-DE"/>
              </w:rPr>
            </w:pPr>
            <w:r>
              <w:rPr>
                <w:lang w:val="de-DE"/>
              </w:rPr>
              <w:t>Ein Nowcasting der Hospitalisierungsinzidenz erscheint auf Ebene der Bundesländer machbar</w:t>
            </w:r>
          </w:p>
          <w:p>
            <w:pPr>
              <w:pStyle w:val="Liste2"/>
              <w:rPr>
                <w:lang w:val="de-DE"/>
              </w:rPr>
            </w:pPr>
            <w:r>
              <w:rPr>
                <w:lang w:val="de-DE"/>
              </w:rPr>
              <w:t>Zeitreihe der 7-Tages Hospitalisierungsinzidenz nach Meldedatum wird anhand des Meldeverzugs nach oben korrigiert</w:t>
            </w:r>
          </w:p>
          <w:p>
            <w:pPr>
              <w:pStyle w:val="Liste2"/>
              <w:rPr>
                <w:lang w:val="de-DE"/>
              </w:rPr>
            </w:pPr>
            <w:r>
              <w:rPr>
                <w:lang w:val="de-DE"/>
              </w:rPr>
              <w:t>Eine Aufteilung für die Altersgruppen unter 60 und 60+ machbar</w:t>
            </w:r>
          </w:p>
          <w:p>
            <w:pPr>
              <w:pStyle w:val="Liste2"/>
            </w:pPr>
            <w:r>
              <w:t xml:space="preserve">Hauptvorteile des Nowcastings: </w:t>
            </w:r>
          </w:p>
          <w:p>
            <w:pPr>
              <w:pStyle w:val="Liste3"/>
            </w:pPr>
            <w:r>
              <w:t>aktueller Trend wird sichtbar</w:t>
            </w:r>
          </w:p>
          <w:p>
            <w:pPr>
              <w:pStyle w:val="Liste3"/>
            </w:pPr>
            <w:r>
              <w:t>Größenordnung der Hospitalisierungsinzidenz wird richtig eingeschätzt</w:t>
            </w:r>
          </w:p>
          <w:p>
            <w:pPr>
              <w:pStyle w:val="Liste1"/>
              <w:numPr>
                <w:ilvl w:val="0"/>
                <w:numId w:val="0"/>
              </w:numPr>
              <w:ind w:left="473" w:hanging="360"/>
            </w:pPr>
          </w:p>
          <w:p>
            <w:pPr>
              <w:rPr>
                <w:b/>
              </w:rPr>
            </w:pPr>
            <w:r>
              <w:rPr>
                <w:b/>
              </w:rPr>
              <w:t>Diskussion:</w:t>
            </w:r>
          </w:p>
          <w:p>
            <w:pPr>
              <w:rPr>
                <w:b/>
              </w:rPr>
            </w:pPr>
          </w:p>
          <w:p>
            <w:pPr>
              <w:ind w:left="357" w:hanging="357"/>
              <w:rPr>
                <w:sz w:val="22"/>
              </w:rPr>
            </w:pPr>
            <w:r>
              <w:rPr>
                <w:sz w:val="22"/>
              </w:rPr>
              <w:t xml:space="preserve">In Hinblick auf die Limitation der tagesaktuellen Darstellung des Hospitalisierungsinzidenz auf Basis der Meldedaten, kann das Nowcasting eine Ergänzung sein, sodass diese Werte adäquat eingeordnet werden können. Wie das Nowcasting in Zukunft publiziert werden soll und welche Relevanz es für Entscheidungsträger haben wird, bleibt abzuwarten. Eine </w:t>
            </w:r>
            <w:r>
              <w:rPr>
                <w:sz w:val="22"/>
              </w:rPr>
              <w:lastRenderedPageBreak/>
              <w:t xml:space="preserve">entsprechende Diskussion soll in der AGI und mit dem BMG erfolgen. </w:t>
            </w:r>
          </w:p>
          <w:p>
            <w:pPr>
              <w:ind w:left="357" w:hanging="357"/>
              <w:rPr>
                <w:sz w:val="22"/>
              </w:rPr>
            </w:pPr>
            <w:r>
              <w:rPr>
                <w:sz w:val="22"/>
              </w:rPr>
              <w:t>Die Datenqualität (v.a. die Vollständigkeit der Datensätze) bleibt ein limitierender Faktor. Eine flächendeckende Implementierung und Anwendung von DEMIS auch in allen Kliniken könnte diese aber verbessern.</w:t>
            </w:r>
          </w:p>
          <w:p>
            <w:pPr>
              <w:ind w:left="357" w:hanging="357"/>
              <w:rPr>
                <w:sz w:val="22"/>
              </w:rPr>
            </w:pPr>
            <w:r>
              <w:rPr>
                <w:sz w:val="22"/>
              </w:rPr>
              <w:t>Es bestehen drei Optionen wie mit dem Nowcasting verblieben werden kann: 1) Fachpublikation oder 2) Publikation in regelmäßigen Abständen auf bundeseben ohne Implikation für Schwellenwerten 3) regelm. Berichterstattung auf Bundes- und Landesebene mit Anpassung der Schwellenwerte and das Nowcasting;</w:t>
            </w:r>
          </w:p>
          <w:p>
            <w:pPr>
              <w:ind w:left="357" w:hanging="357"/>
              <w:rPr>
                <w:sz w:val="22"/>
              </w:rPr>
            </w:pPr>
          </w:p>
          <w:p>
            <w:pPr>
              <w:pStyle w:val="ToDo"/>
            </w:pPr>
            <w:r>
              <w:t>ToDo: Bericht zum Nowcasting an das BMG verfassen. In der kommenden Woche soll diskutiert und abgestimmt werden wie das Nowcasting weiter genutzt wird. - Frau Diercke &amp; Herr an der Heiden (ID 4347_2)</w:t>
            </w:r>
          </w:p>
          <w:p>
            <w:pPr>
              <w:pStyle w:val="ToDo"/>
            </w:pPr>
            <w:r>
              <w:t xml:space="preserve"> </w:t>
            </w:r>
          </w:p>
        </w:tc>
        <w:tc>
          <w:tcPr>
            <w:tcW w:w="1463" w:type="dxa"/>
          </w:tcPr>
          <w:p>
            <w:pPr>
              <w:rPr>
                <w:sz w:val="22"/>
                <w:szCs w:val="22"/>
              </w:rPr>
            </w:pPr>
          </w:p>
          <w:p>
            <w:pPr>
              <w:rPr>
                <w:sz w:val="22"/>
                <w:szCs w:val="22"/>
              </w:rPr>
            </w:pPr>
          </w:p>
          <w:p>
            <w:pPr>
              <w:rPr>
                <w:sz w:val="22"/>
                <w:szCs w:val="22"/>
              </w:rPr>
            </w:pPr>
            <w:r>
              <w:rPr>
                <w:sz w:val="22"/>
                <w:szCs w:val="22"/>
              </w:rPr>
              <w:t>Hr. an der Heiden</w:t>
            </w:r>
          </w:p>
          <w:p>
            <w:pPr>
              <w:rPr>
                <w:sz w:val="22"/>
                <w:szCs w:val="22"/>
              </w:rPr>
            </w:pPr>
          </w:p>
          <w:p>
            <w:pPr>
              <w:rPr>
                <w:sz w:val="22"/>
                <w:szCs w:val="22"/>
              </w:rPr>
            </w:pPr>
          </w:p>
          <w:p>
            <w:pPr>
              <w:rPr>
                <w:sz w:val="22"/>
                <w:szCs w:val="22"/>
                <w:lang w:val="en-GB"/>
              </w:rPr>
            </w:pP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Keine</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tc>
      </w:tr>
      <w:tr>
        <w:trPr>
          <w:trHeight w:val="961"/>
        </w:trP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FG33 </w:t>
            </w: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727 Proben, davon:</w:t>
            </w:r>
          </w:p>
          <w:p>
            <w:pPr>
              <w:pStyle w:val="Liste2"/>
            </w:pPr>
            <w:r>
              <w:t>20 SARS-CoV-2</w:t>
            </w:r>
          </w:p>
          <w:p>
            <w:pPr>
              <w:pStyle w:val="Liste2"/>
            </w:pPr>
            <w:r>
              <w:t>264 Rhinovirus</w:t>
            </w:r>
          </w:p>
          <w:p>
            <w:pPr>
              <w:pStyle w:val="Liste2"/>
            </w:pPr>
            <w:r>
              <w:t>181 Parainfluenzavirus, überwiegend PIV3</w:t>
            </w:r>
          </w:p>
          <w:p>
            <w:pPr>
              <w:pStyle w:val="Liste2"/>
            </w:pPr>
            <w:r>
              <w:rPr>
                <w:lang w:val="de-DE"/>
              </w:rPr>
              <w:t xml:space="preserve">48 saisonale (endemische) Coronaviren </w:t>
            </w:r>
          </w:p>
          <w:p>
            <w:pPr>
              <w:pStyle w:val="Liste2"/>
            </w:pPr>
            <w:r>
              <w:t>3 Humanes Metapneumovirus</w:t>
            </w:r>
          </w:p>
          <w:p>
            <w:pPr>
              <w:pStyle w:val="Liste2"/>
            </w:pPr>
            <w:r>
              <w:t>1 Influenzavirus</w:t>
            </w:r>
          </w:p>
          <w:p>
            <w:pPr>
              <w:pStyle w:val="Liste2"/>
            </w:pPr>
            <w:r>
              <w:t>117 RSV</w:t>
            </w:r>
          </w:p>
          <w:p>
            <w:pPr>
              <w:pStyle w:val="2"/>
            </w:pPr>
            <w:r>
              <w:t>ZBS1</w:t>
            </w:r>
          </w:p>
          <w:p>
            <w:pPr>
              <w:pStyle w:val="Liste1"/>
            </w:pPr>
            <w:r>
              <w:t>278 Einsendungen, 124 positiv (44,6%)</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Isolierungsdauer – Ist eine Reduktion auf 10 d vertretbar?</w:t>
            </w:r>
            <w:r>
              <w:br/>
              <w:t xml:space="preserve">Stand nach Diskussion in der AG-Diagnostik 28.09.21, siehe </w:t>
            </w:r>
            <w:hyperlink r:id="rId19" w:history="1">
              <w:r>
                <w:rPr>
                  <w:rStyle w:val="Hyperlink"/>
                </w:rPr>
                <w:t>Folien</w:t>
              </w:r>
            </w:hyperlink>
          </w:p>
          <w:p>
            <w:pPr>
              <w:pStyle w:val="Liste1"/>
            </w:pPr>
          </w:p>
          <w:p>
            <w:pPr>
              <w:rPr>
                <w:b/>
              </w:rPr>
            </w:pPr>
            <w:r>
              <w:rPr>
                <w:b/>
              </w:rPr>
              <w:t>Diskussion:</w:t>
            </w:r>
          </w:p>
          <w:p>
            <w:pPr>
              <w:ind w:left="357" w:hanging="357"/>
              <w:rPr>
                <w:sz w:val="22"/>
              </w:rPr>
            </w:pPr>
            <w:r>
              <w:rPr>
                <w:sz w:val="22"/>
              </w:rPr>
              <w:t xml:space="preserve">Isolation und Quarantäne sollten differenziert betrachtet werden. Dementsprechend sollte auch eine Anpassung der Dauer </w:t>
            </w:r>
            <w:r>
              <w:rPr>
                <w:sz w:val="22"/>
              </w:rPr>
              <w:lastRenderedPageBreak/>
              <w:t>differenziert erfolgen. Eine klare Empfehlung konnte noch nicht ausgesprochen werden. Eine abschließende Testung nach dem 14-Tage Zeitraum fällt in den allermeisten Fällen negativ aus. Daher ist es fraglich ob diese Testung verpflichtend durchgeführt werden muss. Alternative Empfehlungen wären denkbar, sollten aber einfach und verständlich kommunizierbar sein.</w:t>
            </w:r>
          </w:p>
          <w:p>
            <w:pPr>
              <w:pStyle w:val="ToDo"/>
            </w:pPr>
            <w:r>
              <w:t>ToDo: Evidenz um eine Entscheidung treffen zu können soll gesammelt und kommenden Mittwoch vorgestellt werden. Eine Diskussion über eine entsprechende Anpassung wird dann geführt.  (ID 4384)</w:t>
            </w:r>
          </w:p>
        </w:tc>
        <w:tc>
          <w:tcPr>
            <w:tcW w:w="1463" w:type="dxa"/>
          </w:tcPr>
          <w:p>
            <w:pPr>
              <w:rPr>
                <w:sz w:val="22"/>
                <w:szCs w:val="22"/>
              </w:rPr>
            </w:pPr>
          </w:p>
          <w:p>
            <w:pPr>
              <w:rPr>
                <w:sz w:val="22"/>
                <w:szCs w:val="22"/>
              </w:rPr>
            </w:pP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 xml:space="preserve">Neue FAQ zur HI wurden veröffentlicht. </w:t>
            </w:r>
          </w:p>
          <w:p>
            <w:pPr>
              <w:pStyle w:val="Liste1"/>
            </w:pPr>
            <w:r>
              <w:t>Schreiben zur Verbesserung der Meldepflicht soll bald geteilt werden.</w:t>
            </w:r>
          </w:p>
          <w:p>
            <w:pPr>
              <w:pStyle w:val="Liste1"/>
            </w:pPr>
            <w:r>
              <w:t>Gestern bei dem Acute Events Meeting zur Syndromischen Surveillance berichtet. Positives Feedback von WHO Seite</w:t>
            </w:r>
          </w:p>
          <w:p>
            <w:pPr>
              <w:pStyle w:val="ToDo"/>
            </w:pPr>
            <w:r>
              <w:t>ToDo: Neue FAQ ggf. über Presse und Twitter teilen. (ID 4347_1)</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Ruhigere Lage in der IK</w:t>
            </w:r>
          </w:p>
          <w:p>
            <w:pPr>
              <w:pStyle w:val="Liste1"/>
            </w:pPr>
            <w:r>
              <w:t>Immer noch schwer die Schichten zu besetzen</w:t>
            </w:r>
          </w:p>
          <w:p>
            <w:pPr>
              <w:pStyle w:val="Liste1"/>
            </w:pPr>
            <w:r>
              <w:t>Diskussion über den Umfang der Aufgaben im Lagezentrum sollte erfolgen.</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kommende Woche Vorstellung einer Studie zu Long-COVID bei Kindern</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Nächste Sitzung: Mittwoch, 06.10.2021,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highlight w:val="yellow"/>
        </w:rPr>
      </w:pPr>
      <w:r>
        <w:rPr>
          <w:b/>
        </w:rPr>
        <w:t>Ende: 13:06 Uhr</w:t>
      </w:r>
    </w:p>
    <w:p>
      <w:pPr>
        <w:rPr>
          <w:b/>
        </w:rPr>
      </w:pP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k, Christina" w:date="2021-10-04T08:21:00Z" w:initials="CF">
    <w:p>
      <w:pPr>
        <w:pStyle w:val="Kommentartext"/>
      </w:pPr>
      <w:r>
        <w:rPr>
          <w:rStyle w:val="Kommentarzeichen"/>
        </w:rPr>
        <w:annotationRef/>
      </w:r>
      <w:r>
        <w:t>Häufigkeit des Aufenthaltes in klimatisierten Innenräumen und die (Filter-)Qualität dieser scheint beachtenswert – je nach Klima hält man sich im Sommer z.T. häufiger in (klimatisierten) Innenräumen auf, als im Winter. Beispiele:</w:t>
      </w:r>
    </w:p>
    <w:p>
      <w:pPr>
        <w:pStyle w:val="Kommentartext"/>
        <w:numPr>
          <w:ilvl w:val="0"/>
          <w:numId w:val="50"/>
        </w:numPr>
      </w:pPr>
      <w:r>
        <w:t xml:space="preserve"> Singapur: äquatorial und wohlhabend, Wetter ganzjährig schwül-heiß, ganzjährig bis auf klassische Außenberufe sehr viel Aufenthalt in klimatisierten Räumen bei allen Altersgruppen inkl. in Schulen, unterschiedliche Qualitäten der Anlagen; </w:t>
      </w:r>
    </w:p>
    <w:p>
      <w:pPr>
        <w:pStyle w:val="Kommentartext"/>
        <w:numPr>
          <w:ilvl w:val="0"/>
          <w:numId w:val="50"/>
        </w:numPr>
      </w:pPr>
      <w:r>
        <w:t xml:space="preserve"> Nigeria: tropisch und nicht so wohlhabend, Klimaanlagen vor allem in Großstädten und Bürogebäuden/Hotels etc, reduzierte Belüftung von Gebäuden wegen starker Regenfälle und hoher Mückenbelastung, Senioren und Kinder wenig in klimatisierten Räumen, </w:t>
      </w:r>
      <w:r>
        <w:t>Großteil der Bevölkerung ohne Klimaanlagen-Exposition</w:t>
      </w:r>
      <w:r>
        <w:t>;</w:t>
      </w:r>
    </w:p>
    <w:p>
      <w:pPr>
        <w:pStyle w:val="Kommentartext"/>
        <w:numPr>
          <w:ilvl w:val="0"/>
          <w:numId w:val="50"/>
        </w:numPr>
      </w:pPr>
      <w:r>
        <w:t xml:space="preserve"> Sierra Leone: tropisch, weitgehend wie Nigeria und gleiche Breite aber sehr arm, selbst weite Teile der Städte nicht elektrifiziert, fast keine Klimaanlagen, selbst in den Städten nur in int. Hotels</w:t>
      </w:r>
    </w:p>
    <w:p>
      <w:pPr>
        <w:pStyle w:val="Kommentartext"/>
        <w:numPr>
          <w:ilvl w:val="0"/>
          <w:numId w:val="50"/>
        </w:numPr>
      </w:pPr>
      <w:r>
        <w:t>Südstaaten der USA: (im Südosten feucht-)heiße Sommer</w:t>
      </w:r>
      <w:r>
        <w:t xml:space="preserve"> und wohlhabend (aber auf dem Land und in Teilen der Städte auch sehr arm)</w:t>
      </w:r>
      <w:r>
        <w:t>, viele Klimaanlagen, nicht nur in den Städten und für alle Altergruppen, aber häufig alte und schlecht gewartete Anlagen;</w:t>
      </w:r>
    </w:p>
    <w:p>
      <w:pPr>
        <w:pStyle w:val="Kommentartext"/>
        <w:numPr>
          <w:ilvl w:val="0"/>
          <w:numId w:val="50"/>
        </w:numPr>
      </w:pPr>
      <w:r>
        <w:t xml:space="preserve"> Ägypten: relativ kurze sehr heiße Saison im Sommer und in der Fläche nicht wohlhabend, Klimaanlagen vor allem in Großstädten und Bürogebäuden/Hotels</w:t>
      </w:r>
      <w:bookmarkStart w:id="2" w:name="_GoBack"/>
      <w:bookmarkEnd w:id="2"/>
      <w:r>
        <w:t>, auch in Städten Wohnungen meist gut natürlich belüftet (Nachkühle, wenig Gefahr für Bauwerke durch Regenwasser, wenig Mückenbelastung), Großteil der Bevölkerung ohne Klimaanlagen-Exposition</w:t>
      </w:r>
    </w:p>
  </w:comment>
  <w:comment w:id="3" w:author="Frank, Christina" w:date="2021-10-04T08:20:00Z" w:initials="CF">
    <w:p>
      <w:pPr>
        <w:pStyle w:val="Kommentartext"/>
      </w:pPr>
      <w:r>
        <w:rPr>
          <w:rStyle w:val="Kommentarzeichen"/>
        </w:rPr>
        <w:annotationRef/>
      </w:r>
      <w:r>
        <w:t>Ostseeküste?</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3577BC"/>
    <w:multiLevelType w:val="hybridMultilevel"/>
    <w:tmpl w:val="6652DF20"/>
    <w:lvl w:ilvl="0" w:tplc="A20885E6">
      <w:numFmt w:val="bullet"/>
      <w:lvlText w:val="-"/>
      <w:lvlJc w:val="left"/>
      <w:pPr>
        <w:ind w:left="720" w:hanging="360"/>
      </w:pPr>
      <w:rPr>
        <w:rFonts w:ascii="Scala Sans OT" w:eastAsiaTheme="minorHAnsi" w:hAnsi="Scala Sans O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F6345A"/>
    <w:multiLevelType w:val="hybridMultilevel"/>
    <w:tmpl w:val="4E5EF592"/>
    <w:lvl w:ilvl="0" w:tplc="984C00E2">
      <w:start w:val="1"/>
      <w:numFmt w:val="bullet"/>
      <w:lvlText w:val="•"/>
      <w:lvlJc w:val="left"/>
      <w:pPr>
        <w:tabs>
          <w:tab w:val="num" w:pos="720"/>
        </w:tabs>
        <w:ind w:left="720" w:hanging="360"/>
      </w:pPr>
      <w:rPr>
        <w:rFonts w:ascii="Arial" w:hAnsi="Arial" w:hint="default"/>
      </w:rPr>
    </w:lvl>
    <w:lvl w:ilvl="1" w:tplc="19F29C5A">
      <w:start w:val="27"/>
      <w:numFmt w:val="bullet"/>
      <w:lvlText w:val=""/>
      <w:lvlJc w:val="left"/>
      <w:pPr>
        <w:tabs>
          <w:tab w:val="num" w:pos="1440"/>
        </w:tabs>
        <w:ind w:left="1440" w:hanging="360"/>
      </w:pPr>
      <w:rPr>
        <w:rFonts w:ascii="Wingdings" w:hAnsi="Wingdings" w:hint="default"/>
      </w:rPr>
    </w:lvl>
    <w:lvl w:ilvl="2" w:tplc="D818C5CA" w:tentative="1">
      <w:start w:val="1"/>
      <w:numFmt w:val="bullet"/>
      <w:lvlText w:val="•"/>
      <w:lvlJc w:val="left"/>
      <w:pPr>
        <w:tabs>
          <w:tab w:val="num" w:pos="2160"/>
        </w:tabs>
        <w:ind w:left="2160" w:hanging="360"/>
      </w:pPr>
      <w:rPr>
        <w:rFonts w:ascii="Arial" w:hAnsi="Arial" w:hint="default"/>
      </w:rPr>
    </w:lvl>
    <w:lvl w:ilvl="3" w:tplc="50D09DC2" w:tentative="1">
      <w:start w:val="1"/>
      <w:numFmt w:val="bullet"/>
      <w:lvlText w:val="•"/>
      <w:lvlJc w:val="left"/>
      <w:pPr>
        <w:tabs>
          <w:tab w:val="num" w:pos="2880"/>
        </w:tabs>
        <w:ind w:left="2880" w:hanging="360"/>
      </w:pPr>
      <w:rPr>
        <w:rFonts w:ascii="Arial" w:hAnsi="Arial" w:hint="default"/>
      </w:rPr>
    </w:lvl>
    <w:lvl w:ilvl="4" w:tplc="C9B25C3A" w:tentative="1">
      <w:start w:val="1"/>
      <w:numFmt w:val="bullet"/>
      <w:lvlText w:val="•"/>
      <w:lvlJc w:val="left"/>
      <w:pPr>
        <w:tabs>
          <w:tab w:val="num" w:pos="3600"/>
        </w:tabs>
        <w:ind w:left="3600" w:hanging="360"/>
      </w:pPr>
      <w:rPr>
        <w:rFonts w:ascii="Arial" w:hAnsi="Arial" w:hint="default"/>
      </w:rPr>
    </w:lvl>
    <w:lvl w:ilvl="5" w:tplc="A4DE6DB6" w:tentative="1">
      <w:start w:val="1"/>
      <w:numFmt w:val="bullet"/>
      <w:lvlText w:val="•"/>
      <w:lvlJc w:val="left"/>
      <w:pPr>
        <w:tabs>
          <w:tab w:val="num" w:pos="4320"/>
        </w:tabs>
        <w:ind w:left="4320" w:hanging="360"/>
      </w:pPr>
      <w:rPr>
        <w:rFonts w:ascii="Arial" w:hAnsi="Arial" w:hint="default"/>
      </w:rPr>
    </w:lvl>
    <w:lvl w:ilvl="6" w:tplc="4E44E1BC" w:tentative="1">
      <w:start w:val="1"/>
      <w:numFmt w:val="bullet"/>
      <w:lvlText w:val="•"/>
      <w:lvlJc w:val="left"/>
      <w:pPr>
        <w:tabs>
          <w:tab w:val="num" w:pos="5040"/>
        </w:tabs>
        <w:ind w:left="5040" w:hanging="360"/>
      </w:pPr>
      <w:rPr>
        <w:rFonts w:ascii="Arial" w:hAnsi="Arial" w:hint="default"/>
      </w:rPr>
    </w:lvl>
    <w:lvl w:ilvl="7" w:tplc="8438D68C" w:tentative="1">
      <w:start w:val="1"/>
      <w:numFmt w:val="bullet"/>
      <w:lvlText w:val="•"/>
      <w:lvlJc w:val="left"/>
      <w:pPr>
        <w:tabs>
          <w:tab w:val="num" w:pos="5760"/>
        </w:tabs>
        <w:ind w:left="5760" w:hanging="360"/>
      </w:pPr>
      <w:rPr>
        <w:rFonts w:ascii="Arial" w:hAnsi="Arial" w:hint="default"/>
      </w:rPr>
    </w:lvl>
    <w:lvl w:ilvl="8" w:tplc="63B0C8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AF677D"/>
    <w:multiLevelType w:val="hybridMultilevel"/>
    <w:tmpl w:val="D606310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0"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4" w15:restartNumberingAfterBreak="0">
    <w:nsid w:val="6BEC1B6B"/>
    <w:multiLevelType w:val="hybridMultilevel"/>
    <w:tmpl w:val="24F8BBF4"/>
    <w:lvl w:ilvl="0" w:tplc="2578EC24">
      <w:start w:val="1"/>
      <w:numFmt w:val="bullet"/>
      <w:lvlText w:val="•"/>
      <w:lvlJc w:val="left"/>
      <w:pPr>
        <w:tabs>
          <w:tab w:val="num" w:pos="720"/>
        </w:tabs>
        <w:ind w:left="720" w:hanging="360"/>
      </w:pPr>
      <w:rPr>
        <w:rFonts w:ascii="Arial" w:hAnsi="Arial" w:hint="default"/>
      </w:rPr>
    </w:lvl>
    <w:lvl w:ilvl="1" w:tplc="DD8CE410" w:tentative="1">
      <w:start w:val="1"/>
      <w:numFmt w:val="bullet"/>
      <w:lvlText w:val="•"/>
      <w:lvlJc w:val="left"/>
      <w:pPr>
        <w:tabs>
          <w:tab w:val="num" w:pos="1440"/>
        </w:tabs>
        <w:ind w:left="1440" w:hanging="360"/>
      </w:pPr>
      <w:rPr>
        <w:rFonts w:ascii="Arial" w:hAnsi="Arial" w:hint="default"/>
      </w:rPr>
    </w:lvl>
    <w:lvl w:ilvl="2" w:tplc="FC84E6B4" w:tentative="1">
      <w:start w:val="1"/>
      <w:numFmt w:val="bullet"/>
      <w:lvlText w:val="•"/>
      <w:lvlJc w:val="left"/>
      <w:pPr>
        <w:tabs>
          <w:tab w:val="num" w:pos="2160"/>
        </w:tabs>
        <w:ind w:left="2160" w:hanging="360"/>
      </w:pPr>
      <w:rPr>
        <w:rFonts w:ascii="Arial" w:hAnsi="Arial" w:hint="default"/>
      </w:rPr>
    </w:lvl>
    <w:lvl w:ilvl="3" w:tplc="46E88A66" w:tentative="1">
      <w:start w:val="1"/>
      <w:numFmt w:val="bullet"/>
      <w:lvlText w:val="•"/>
      <w:lvlJc w:val="left"/>
      <w:pPr>
        <w:tabs>
          <w:tab w:val="num" w:pos="2880"/>
        </w:tabs>
        <w:ind w:left="2880" w:hanging="360"/>
      </w:pPr>
      <w:rPr>
        <w:rFonts w:ascii="Arial" w:hAnsi="Arial" w:hint="default"/>
      </w:rPr>
    </w:lvl>
    <w:lvl w:ilvl="4" w:tplc="0622BE40" w:tentative="1">
      <w:start w:val="1"/>
      <w:numFmt w:val="bullet"/>
      <w:lvlText w:val="•"/>
      <w:lvlJc w:val="left"/>
      <w:pPr>
        <w:tabs>
          <w:tab w:val="num" w:pos="3600"/>
        </w:tabs>
        <w:ind w:left="3600" w:hanging="360"/>
      </w:pPr>
      <w:rPr>
        <w:rFonts w:ascii="Arial" w:hAnsi="Arial" w:hint="default"/>
      </w:rPr>
    </w:lvl>
    <w:lvl w:ilvl="5" w:tplc="0E4A72AA" w:tentative="1">
      <w:start w:val="1"/>
      <w:numFmt w:val="bullet"/>
      <w:lvlText w:val="•"/>
      <w:lvlJc w:val="left"/>
      <w:pPr>
        <w:tabs>
          <w:tab w:val="num" w:pos="4320"/>
        </w:tabs>
        <w:ind w:left="4320" w:hanging="360"/>
      </w:pPr>
      <w:rPr>
        <w:rFonts w:ascii="Arial" w:hAnsi="Arial" w:hint="default"/>
      </w:rPr>
    </w:lvl>
    <w:lvl w:ilvl="6" w:tplc="7ED65268" w:tentative="1">
      <w:start w:val="1"/>
      <w:numFmt w:val="bullet"/>
      <w:lvlText w:val="•"/>
      <w:lvlJc w:val="left"/>
      <w:pPr>
        <w:tabs>
          <w:tab w:val="num" w:pos="5040"/>
        </w:tabs>
        <w:ind w:left="5040" w:hanging="360"/>
      </w:pPr>
      <w:rPr>
        <w:rFonts w:ascii="Arial" w:hAnsi="Arial" w:hint="default"/>
      </w:rPr>
    </w:lvl>
    <w:lvl w:ilvl="7" w:tplc="AF469984" w:tentative="1">
      <w:start w:val="1"/>
      <w:numFmt w:val="bullet"/>
      <w:lvlText w:val="•"/>
      <w:lvlJc w:val="left"/>
      <w:pPr>
        <w:tabs>
          <w:tab w:val="num" w:pos="5760"/>
        </w:tabs>
        <w:ind w:left="5760" w:hanging="360"/>
      </w:pPr>
      <w:rPr>
        <w:rFonts w:ascii="Arial" w:hAnsi="Arial" w:hint="default"/>
      </w:rPr>
    </w:lvl>
    <w:lvl w:ilvl="8" w:tplc="CD74566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9" w15:restartNumberingAfterBreak="0">
    <w:nsid w:val="7B914574"/>
    <w:multiLevelType w:val="hybridMultilevel"/>
    <w:tmpl w:val="6CF423F6"/>
    <w:lvl w:ilvl="0" w:tplc="D7F454FE">
      <w:start w:val="1"/>
      <w:numFmt w:val="bullet"/>
      <w:lvlText w:val="•"/>
      <w:lvlJc w:val="left"/>
      <w:pPr>
        <w:tabs>
          <w:tab w:val="num" w:pos="720"/>
        </w:tabs>
        <w:ind w:left="720" w:hanging="360"/>
      </w:pPr>
      <w:rPr>
        <w:rFonts w:ascii="Arial" w:hAnsi="Arial" w:hint="default"/>
      </w:rPr>
    </w:lvl>
    <w:lvl w:ilvl="1" w:tplc="269C8D70" w:tentative="1">
      <w:start w:val="1"/>
      <w:numFmt w:val="bullet"/>
      <w:lvlText w:val="•"/>
      <w:lvlJc w:val="left"/>
      <w:pPr>
        <w:tabs>
          <w:tab w:val="num" w:pos="1440"/>
        </w:tabs>
        <w:ind w:left="1440" w:hanging="360"/>
      </w:pPr>
      <w:rPr>
        <w:rFonts w:ascii="Arial" w:hAnsi="Arial" w:hint="default"/>
      </w:rPr>
    </w:lvl>
    <w:lvl w:ilvl="2" w:tplc="659EB348" w:tentative="1">
      <w:start w:val="1"/>
      <w:numFmt w:val="bullet"/>
      <w:lvlText w:val="•"/>
      <w:lvlJc w:val="left"/>
      <w:pPr>
        <w:tabs>
          <w:tab w:val="num" w:pos="2160"/>
        </w:tabs>
        <w:ind w:left="2160" w:hanging="360"/>
      </w:pPr>
      <w:rPr>
        <w:rFonts w:ascii="Arial" w:hAnsi="Arial" w:hint="default"/>
      </w:rPr>
    </w:lvl>
    <w:lvl w:ilvl="3" w:tplc="529470C0" w:tentative="1">
      <w:start w:val="1"/>
      <w:numFmt w:val="bullet"/>
      <w:lvlText w:val="•"/>
      <w:lvlJc w:val="left"/>
      <w:pPr>
        <w:tabs>
          <w:tab w:val="num" w:pos="2880"/>
        </w:tabs>
        <w:ind w:left="2880" w:hanging="360"/>
      </w:pPr>
      <w:rPr>
        <w:rFonts w:ascii="Arial" w:hAnsi="Arial" w:hint="default"/>
      </w:rPr>
    </w:lvl>
    <w:lvl w:ilvl="4" w:tplc="0E9E0E3A" w:tentative="1">
      <w:start w:val="1"/>
      <w:numFmt w:val="bullet"/>
      <w:lvlText w:val="•"/>
      <w:lvlJc w:val="left"/>
      <w:pPr>
        <w:tabs>
          <w:tab w:val="num" w:pos="3600"/>
        </w:tabs>
        <w:ind w:left="3600" w:hanging="360"/>
      </w:pPr>
      <w:rPr>
        <w:rFonts w:ascii="Arial" w:hAnsi="Arial" w:hint="default"/>
      </w:rPr>
    </w:lvl>
    <w:lvl w:ilvl="5" w:tplc="19148750" w:tentative="1">
      <w:start w:val="1"/>
      <w:numFmt w:val="bullet"/>
      <w:lvlText w:val="•"/>
      <w:lvlJc w:val="left"/>
      <w:pPr>
        <w:tabs>
          <w:tab w:val="num" w:pos="4320"/>
        </w:tabs>
        <w:ind w:left="4320" w:hanging="360"/>
      </w:pPr>
      <w:rPr>
        <w:rFonts w:ascii="Arial" w:hAnsi="Arial" w:hint="default"/>
      </w:rPr>
    </w:lvl>
    <w:lvl w:ilvl="6" w:tplc="89D8A9CE" w:tentative="1">
      <w:start w:val="1"/>
      <w:numFmt w:val="bullet"/>
      <w:lvlText w:val="•"/>
      <w:lvlJc w:val="left"/>
      <w:pPr>
        <w:tabs>
          <w:tab w:val="num" w:pos="5040"/>
        </w:tabs>
        <w:ind w:left="5040" w:hanging="360"/>
      </w:pPr>
      <w:rPr>
        <w:rFonts w:ascii="Arial" w:hAnsi="Arial" w:hint="default"/>
      </w:rPr>
    </w:lvl>
    <w:lvl w:ilvl="7" w:tplc="BA783BB2" w:tentative="1">
      <w:start w:val="1"/>
      <w:numFmt w:val="bullet"/>
      <w:lvlText w:val="•"/>
      <w:lvlJc w:val="left"/>
      <w:pPr>
        <w:tabs>
          <w:tab w:val="num" w:pos="5760"/>
        </w:tabs>
        <w:ind w:left="5760" w:hanging="360"/>
      </w:pPr>
      <w:rPr>
        <w:rFonts w:ascii="Arial" w:hAnsi="Arial" w:hint="default"/>
      </w:rPr>
    </w:lvl>
    <w:lvl w:ilvl="8" w:tplc="86DAEF9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6"/>
  </w:num>
  <w:num w:numId="2">
    <w:abstractNumId w:val="4"/>
  </w:num>
  <w:num w:numId="3">
    <w:abstractNumId w:val="3"/>
  </w:num>
  <w:num w:numId="4">
    <w:abstractNumId w:val="24"/>
  </w:num>
  <w:num w:numId="5">
    <w:abstractNumId w:val="10"/>
  </w:num>
  <w:num w:numId="6">
    <w:abstractNumId w:val="25"/>
  </w:num>
  <w:num w:numId="7">
    <w:abstractNumId w:val="31"/>
  </w:num>
  <w:num w:numId="8">
    <w:abstractNumId w:val="19"/>
  </w:num>
  <w:num w:numId="9">
    <w:abstractNumId w:val="6"/>
  </w:num>
  <w:num w:numId="10">
    <w:abstractNumId w:val="37"/>
  </w:num>
  <w:num w:numId="11">
    <w:abstractNumId w:val="30"/>
  </w:num>
  <w:num w:numId="12">
    <w:abstractNumId w:val="21"/>
  </w:num>
  <w:num w:numId="13">
    <w:abstractNumId w:val="18"/>
  </w:num>
  <w:num w:numId="14">
    <w:abstractNumId w:val="26"/>
  </w:num>
  <w:num w:numId="15">
    <w:abstractNumId w:val="23"/>
  </w:num>
  <w:num w:numId="16">
    <w:abstractNumId w:val="0"/>
  </w:num>
  <w:num w:numId="17">
    <w:abstractNumId w:val="17"/>
  </w:num>
  <w:num w:numId="18">
    <w:abstractNumId w:val="35"/>
  </w:num>
  <w:num w:numId="19">
    <w:abstractNumId w:val="14"/>
  </w:num>
  <w:num w:numId="20">
    <w:abstractNumId w:val="32"/>
  </w:num>
  <w:num w:numId="21">
    <w:abstractNumId w:val="9"/>
  </w:num>
  <w:num w:numId="22">
    <w:abstractNumId w:val="11"/>
  </w:num>
  <w:num w:numId="23">
    <w:abstractNumId w:val="2"/>
  </w:num>
  <w:num w:numId="24">
    <w:abstractNumId w:val="27"/>
  </w:num>
  <w:num w:numId="25">
    <w:abstractNumId w:val="20"/>
  </w:num>
  <w:num w:numId="26">
    <w:abstractNumId w:val="1"/>
  </w:num>
  <w:num w:numId="27">
    <w:abstractNumId w:val="29"/>
  </w:num>
  <w:num w:numId="28">
    <w:abstractNumId w:val="36"/>
  </w:num>
  <w:num w:numId="29">
    <w:abstractNumId w:val="19"/>
  </w:num>
  <w:num w:numId="30">
    <w:abstractNumId w:val="19"/>
  </w:num>
  <w:num w:numId="31">
    <w:abstractNumId w:val="33"/>
  </w:num>
  <w:num w:numId="32">
    <w:abstractNumId w:val="28"/>
  </w:num>
  <w:num w:numId="33">
    <w:abstractNumId w:val="19"/>
  </w:num>
  <w:num w:numId="34">
    <w:abstractNumId w:val="19"/>
  </w:num>
  <w:num w:numId="35">
    <w:abstractNumId w:val="19"/>
  </w:num>
  <w:num w:numId="36">
    <w:abstractNumId w:val="8"/>
  </w:num>
  <w:num w:numId="37">
    <w:abstractNumId w:val="7"/>
  </w:num>
  <w:num w:numId="38">
    <w:abstractNumId w:val="8"/>
  </w:num>
  <w:num w:numId="39">
    <w:abstractNumId w:val="19"/>
  </w:num>
  <w:num w:numId="40">
    <w:abstractNumId w:val="22"/>
  </w:num>
  <w:num w:numId="41">
    <w:abstractNumId w:val="10"/>
  </w:num>
  <w:num w:numId="42">
    <w:abstractNumId w:val="8"/>
  </w:num>
  <w:num w:numId="43">
    <w:abstractNumId w:val="38"/>
  </w:num>
  <w:num w:numId="44">
    <w:abstractNumId w:val="13"/>
  </w:num>
  <w:num w:numId="45">
    <w:abstractNumId w:val="40"/>
  </w:num>
  <w:num w:numId="46">
    <w:abstractNumId w:val="34"/>
  </w:num>
  <w:num w:numId="47">
    <w:abstractNumId w:val="39"/>
  </w:num>
  <w:num w:numId="48">
    <w:abstractNumId w:val="12"/>
  </w:num>
  <w:num w:numId="49">
    <w:abstractNumId w:val="15"/>
  </w:num>
  <w:num w:numId="50">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Christina">
    <w15:presenceInfo w15:providerId="None" w15:userId="Frank, Ch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KeinLeerraum">
    <w:name w:val="No Spacing"/>
    <w:uiPriority w:val="1"/>
    <w:qFormat/>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6396">
      <w:bodyDiv w:val="1"/>
      <w:marLeft w:val="0"/>
      <w:marRight w:val="0"/>
      <w:marTop w:val="0"/>
      <w:marBottom w:val="0"/>
      <w:divBdr>
        <w:top w:val="none" w:sz="0" w:space="0" w:color="auto"/>
        <w:left w:val="none" w:sz="0" w:space="0" w:color="auto"/>
        <w:bottom w:val="none" w:sz="0" w:space="0" w:color="auto"/>
        <w:right w:val="none" w:sz="0" w:space="0" w:color="auto"/>
      </w:divBdr>
      <w:divsChild>
        <w:div w:id="1889879888">
          <w:marLeft w:val="547"/>
          <w:marRight w:val="0"/>
          <w:marTop w:val="0"/>
          <w:marBottom w:val="0"/>
          <w:divBdr>
            <w:top w:val="none" w:sz="0" w:space="0" w:color="auto"/>
            <w:left w:val="none" w:sz="0" w:space="0" w:color="auto"/>
            <w:bottom w:val="none" w:sz="0" w:space="0" w:color="auto"/>
            <w:right w:val="none" w:sz="0" w:space="0" w:color="auto"/>
          </w:divBdr>
        </w:div>
        <w:div w:id="1889953543">
          <w:marLeft w:val="547"/>
          <w:marRight w:val="0"/>
          <w:marTop w:val="0"/>
          <w:marBottom w:val="0"/>
          <w:divBdr>
            <w:top w:val="none" w:sz="0" w:space="0" w:color="auto"/>
            <w:left w:val="none" w:sz="0" w:space="0" w:color="auto"/>
            <w:bottom w:val="none" w:sz="0" w:space="0" w:color="auto"/>
            <w:right w:val="none" w:sz="0" w:space="0" w:color="auto"/>
          </w:divBdr>
        </w:div>
        <w:div w:id="540047579">
          <w:marLeft w:val="547"/>
          <w:marRight w:val="0"/>
          <w:marTop w:val="0"/>
          <w:marBottom w:val="0"/>
          <w:divBdr>
            <w:top w:val="none" w:sz="0" w:space="0" w:color="auto"/>
            <w:left w:val="none" w:sz="0" w:space="0" w:color="auto"/>
            <w:bottom w:val="none" w:sz="0" w:space="0" w:color="auto"/>
            <w:right w:val="none" w:sz="0" w:space="0" w:color="auto"/>
          </w:divBdr>
        </w:div>
      </w:divsChild>
    </w:div>
    <w:div w:id="152647646">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60493026">
      <w:bodyDiv w:val="1"/>
      <w:marLeft w:val="0"/>
      <w:marRight w:val="0"/>
      <w:marTop w:val="0"/>
      <w:marBottom w:val="0"/>
      <w:divBdr>
        <w:top w:val="none" w:sz="0" w:space="0" w:color="auto"/>
        <w:left w:val="none" w:sz="0" w:space="0" w:color="auto"/>
        <w:bottom w:val="none" w:sz="0" w:space="0" w:color="auto"/>
        <w:right w:val="none" w:sz="0" w:space="0" w:color="auto"/>
      </w:divBdr>
      <w:divsChild>
        <w:div w:id="182592459">
          <w:marLeft w:val="446"/>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096155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60005992">
      <w:bodyDiv w:val="1"/>
      <w:marLeft w:val="0"/>
      <w:marRight w:val="0"/>
      <w:marTop w:val="0"/>
      <w:marBottom w:val="0"/>
      <w:divBdr>
        <w:top w:val="none" w:sz="0" w:space="0" w:color="auto"/>
        <w:left w:val="none" w:sz="0" w:space="0" w:color="auto"/>
        <w:bottom w:val="none" w:sz="0" w:space="0" w:color="auto"/>
        <w:right w:val="none" w:sz="0" w:space="0" w:color="auto"/>
      </w:divBdr>
      <w:divsChild>
        <w:div w:id="1259829784">
          <w:marLeft w:val="547"/>
          <w:marRight w:val="0"/>
          <w:marTop w:val="86"/>
          <w:marBottom w:val="0"/>
          <w:divBdr>
            <w:top w:val="none" w:sz="0" w:space="0" w:color="auto"/>
            <w:left w:val="none" w:sz="0" w:space="0" w:color="auto"/>
            <w:bottom w:val="none" w:sz="0" w:space="0" w:color="auto"/>
            <w:right w:val="none" w:sz="0" w:space="0" w:color="auto"/>
          </w:divBdr>
        </w:div>
        <w:div w:id="522324182">
          <w:marLeft w:val="547"/>
          <w:marRight w:val="0"/>
          <w:marTop w:val="86"/>
          <w:marBottom w:val="0"/>
          <w:divBdr>
            <w:top w:val="none" w:sz="0" w:space="0" w:color="auto"/>
            <w:left w:val="none" w:sz="0" w:space="0" w:color="auto"/>
            <w:bottom w:val="none" w:sz="0" w:space="0" w:color="auto"/>
            <w:right w:val="none" w:sz="0" w:space="0" w:color="auto"/>
          </w:divBdr>
        </w:div>
        <w:div w:id="201409835">
          <w:marLeft w:val="547"/>
          <w:marRight w:val="0"/>
          <w:marTop w:val="86"/>
          <w:marBottom w:val="0"/>
          <w:divBdr>
            <w:top w:val="none" w:sz="0" w:space="0" w:color="auto"/>
            <w:left w:val="none" w:sz="0" w:space="0" w:color="auto"/>
            <w:bottom w:val="none" w:sz="0" w:space="0" w:color="auto"/>
            <w:right w:val="none" w:sz="0" w:space="0" w:color="auto"/>
          </w:divBdr>
        </w:div>
        <w:div w:id="458382015">
          <w:marLeft w:val="547"/>
          <w:marRight w:val="0"/>
          <w:marTop w:val="86"/>
          <w:marBottom w:val="0"/>
          <w:divBdr>
            <w:top w:val="none" w:sz="0" w:space="0" w:color="auto"/>
            <w:left w:val="none" w:sz="0" w:space="0" w:color="auto"/>
            <w:bottom w:val="none" w:sz="0" w:space="0" w:color="auto"/>
            <w:right w:val="none" w:sz="0" w:space="0" w:color="auto"/>
          </w:divBdr>
        </w:div>
        <w:div w:id="2003660045">
          <w:marLeft w:val="1166"/>
          <w:marRight w:val="0"/>
          <w:marTop w:val="86"/>
          <w:marBottom w:val="0"/>
          <w:divBdr>
            <w:top w:val="none" w:sz="0" w:space="0" w:color="auto"/>
            <w:left w:val="none" w:sz="0" w:space="0" w:color="auto"/>
            <w:bottom w:val="none" w:sz="0" w:space="0" w:color="auto"/>
            <w:right w:val="none" w:sz="0" w:space="0" w:color="auto"/>
          </w:divBdr>
        </w:div>
        <w:div w:id="1017653443">
          <w:marLeft w:val="1166"/>
          <w:marRight w:val="0"/>
          <w:marTop w:val="86"/>
          <w:marBottom w:val="0"/>
          <w:divBdr>
            <w:top w:val="none" w:sz="0" w:space="0" w:color="auto"/>
            <w:left w:val="none" w:sz="0" w:space="0" w:color="auto"/>
            <w:bottom w:val="none" w:sz="0" w:space="0" w:color="auto"/>
            <w:right w:val="none" w:sz="0" w:space="0" w:color="auto"/>
          </w:divBdr>
        </w:div>
      </w:divsChild>
    </w:div>
    <w:div w:id="1171456910">
      <w:bodyDiv w:val="1"/>
      <w:marLeft w:val="0"/>
      <w:marRight w:val="0"/>
      <w:marTop w:val="0"/>
      <w:marBottom w:val="0"/>
      <w:divBdr>
        <w:top w:val="none" w:sz="0" w:space="0" w:color="auto"/>
        <w:left w:val="none" w:sz="0" w:space="0" w:color="auto"/>
        <w:bottom w:val="none" w:sz="0" w:space="0" w:color="auto"/>
        <w:right w:val="none" w:sz="0" w:space="0" w:color="auto"/>
      </w:divBdr>
    </w:div>
    <w:div w:id="123813006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1933314964">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10-01_Lage_AG\NC_HospInz_2021-10-01_adHM.ppt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10-01_Lage_AG\2G3G_Flyer_3009_v1.pdf"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0-01_Lage_AG\LageNational_2021-10-01_draft.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10-01_Lage_AG\&#220;berlegungen%20zur%20Dauer%20der%20Isolierung%20SARS-CoV-2.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0-01_Lage_AG\COVID-19_internat.%20Lage_2021-10-01.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774CC-F73C-467D-BEB7-23244E43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1387</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Frank, Christina</cp:lastModifiedBy>
  <cp:revision>36</cp:revision>
  <cp:lastPrinted>2020-05-06T16:43:00Z</cp:lastPrinted>
  <dcterms:created xsi:type="dcterms:W3CDTF">2021-05-05T09:19:00Z</dcterms:created>
  <dcterms:modified xsi:type="dcterms:W3CDTF">2021-10-04T06:58:00Z</dcterms:modified>
</cp:coreProperties>
</file>