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06.10.2021,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Annette </w:t>
      </w:r>
      <w:proofErr w:type="spellStart"/>
      <w:r>
        <w:rPr>
          <w:sz w:val="22"/>
          <w:szCs w:val="22"/>
        </w:rPr>
        <w:t>Mankertz</w:t>
      </w:r>
      <w:proofErr w:type="spellEnd"/>
    </w:p>
    <w:p>
      <w:pPr>
        <w:pStyle w:val="Listenabsatz"/>
        <w:spacing w:after="0" w:line="233" w:lineRule="auto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Ralf </w:t>
      </w:r>
      <w:proofErr w:type="spellStart"/>
      <w:r>
        <w:rPr>
          <w:sz w:val="22"/>
          <w:szCs w:val="22"/>
        </w:rPr>
        <w:t>Dürrwald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rFonts w:cs="Helvetica"/>
          <w:color w:val="333333"/>
          <w:sz w:val="22"/>
          <w:szCs w:val="22"/>
          <w:shd w:val="clear" w:color="auto" w:fill="FFFFFF"/>
        </w:rPr>
        <w:t xml:space="preserve">Agata </w:t>
      </w:r>
      <w:proofErr w:type="spellStart"/>
      <w:r>
        <w:rPr>
          <w:rFonts w:cs="Helvetica"/>
          <w:color w:val="333333"/>
          <w:sz w:val="22"/>
          <w:szCs w:val="22"/>
          <w:shd w:val="clear" w:color="auto" w:fill="FFFFFF"/>
        </w:rPr>
        <w:t>Mikolajewska</w:t>
      </w:r>
      <w:proofErr w:type="spellEnd"/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Susanne Gottwald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</w:t>
      </w:r>
      <w:proofErr w:type="spellStart"/>
      <w:r>
        <w:rPr>
          <w:sz w:val="22"/>
          <w:szCs w:val="22"/>
        </w:rPr>
        <w:t>Wenchel</w:t>
      </w:r>
      <w:proofErr w:type="spellEnd"/>
      <w:r>
        <w:rPr>
          <w:sz w:val="22"/>
          <w:szCs w:val="22"/>
        </w:rPr>
        <w:t xml:space="preserve">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Jasmin </w:t>
      </w:r>
      <w:proofErr w:type="spellStart"/>
      <w:r>
        <w:rPr>
          <w:sz w:val="22"/>
          <w:szCs w:val="22"/>
        </w:rPr>
        <w:t>Benser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4.271.734 (+11.547), davon 93.959 (+76) Todesfälle </w:t>
            </w:r>
          </w:p>
          <w:p>
            <w:pPr>
              <w:pStyle w:val="Liste2"/>
            </w:pPr>
            <w:r>
              <w:t xml:space="preserve">7-Tage-Inzidenz:  62,3/100.000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56.769.068 (68,3%), mit vollständiger Impfung 53.907.281 (64,8%)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NRW: sinkend; Thüringen, Sachsen und Meck-Pom: leichter Anstieg, insgesamt wenig Änderung zur Vorwoche (Plateau)</w:t>
            </w:r>
          </w:p>
          <w:p>
            <w:pPr>
              <w:pStyle w:val="Liste3"/>
            </w:pPr>
            <w:r>
              <w:t>Geografische Verteilung: Süden ist stärker betroffen, Top 5 LK bleiben konstant</w:t>
            </w:r>
          </w:p>
          <w:p>
            <w:pPr>
              <w:pStyle w:val="Liste3"/>
            </w:pPr>
            <w:proofErr w:type="spellStart"/>
            <w:r>
              <w:t>HeatMap</w:t>
            </w:r>
            <w:proofErr w:type="spellEnd"/>
            <w:r>
              <w:t>: leichter Anstieg in den älteren Altersgruppen, Plateau bei den Jüngeren</w:t>
            </w:r>
          </w:p>
          <w:p>
            <w:pPr>
              <w:pStyle w:val="Liste3"/>
            </w:pPr>
            <w:r>
              <w:t>Hospitalisierungsraten korrelieren mit den Fallzahlen/ Inzidenzen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  <w:b w:val="0"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Cs/>
              </w:rPr>
              <w:t xml:space="preserve">(nur mittwochs) </w:t>
            </w:r>
            <w:hyperlink r:id="rId15" w:history="1">
              <w:r>
                <w:rPr>
                  <w:rStyle w:val="Hyperlink"/>
                  <w:bCs/>
                </w:rPr>
                <w:t>Folien hier</w:t>
              </w:r>
            </w:hyperlink>
          </w:p>
          <w:p>
            <w:pPr>
              <w:pStyle w:val="Liste2"/>
            </w:pPr>
            <w:r>
              <w:t xml:space="preserve">900.000 </w:t>
            </w:r>
            <w:proofErr w:type="spellStart"/>
            <w:r>
              <w:t>Testungen</w:t>
            </w:r>
            <w:proofErr w:type="spellEnd"/>
            <w:r>
              <w:t xml:space="preserve">, </w:t>
            </w:r>
            <w:proofErr w:type="spellStart"/>
            <w:r>
              <w:t>Positivenanteil</w:t>
            </w:r>
            <w:proofErr w:type="spellEnd"/>
            <w:r>
              <w:t>: 6,6%</w:t>
            </w:r>
          </w:p>
          <w:p>
            <w:pPr>
              <w:pStyle w:val="Liste2"/>
            </w:pPr>
            <w:proofErr w:type="spellStart"/>
            <w:r>
              <w:t>Laborauslastung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gering</w:t>
            </w:r>
            <w:proofErr w:type="spellEnd"/>
          </w:p>
          <w:p>
            <w:pPr>
              <w:pStyle w:val="Liste1"/>
            </w:pPr>
            <w:r>
              <w:t xml:space="preserve">ARS-Daten </w:t>
            </w:r>
            <w:hyperlink r:id="rId16" w:history="1">
              <w:r>
                <w:rPr>
                  <w:rStyle w:val="Hyperlink"/>
                  <w:bCs/>
                </w:rPr>
                <w:t>Folien 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ist stabil in den meisten BL; BaWü und Bayern testen weniger als im Vorjahr; Verzögerung zwischen Probennahme und Testung hat sich wieder stark reduziert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Testung nach Alter: Jüngere Altersgruppen (0-4; 5-14) werden nun mehr getestet als im Vorjahr, Mittlere </w:t>
            </w:r>
            <w:proofErr w:type="spellStart"/>
            <w:r>
              <w:rPr>
                <w:lang w:val="de-DE"/>
              </w:rPr>
              <w:t>Altersgurppe</w:t>
            </w:r>
            <w:proofErr w:type="spellEnd"/>
            <w:r>
              <w:rPr>
                <w:lang w:val="de-DE"/>
              </w:rPr>
              <w:t xml:space="preserve"> (15-34) weniger als im letzten Jahr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Positivenrate</w:t>
            </w:r>
            <w:proofErr w:type="spellEnd"/>
            <w:r>
              <w:rPr>
                <w:lang w:val="de-DE"/>
              </w:rPr>
              <w:t xml:space="preserve"> nach Alter: 0-4 J: &lt;5%, 5-14 J: &gt;10%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Geschlechterverteilung: mehr männliche Kinder werden getestet, das beeinflusst die </w:t>
            </w:r>
            <w:proofErr w:type="spellStart"/>
            <w:r>
              <w:rPr>
                <w:lang w:val="de-DE"/>
              </w:rPr>
              <w:t>Positivenrate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Arztpraxen testen nur noch 50% vom letzten Jahr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Ausbrüche nehmen leicht zu: Medizinische Einrichtungen: Median 4 und Altenheime: Median 16</w:t>
            </w: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  <w:hyperlink r:id="rId17" w:history="1">
              <w:r>
                <w:rPr>
                  <w:rStyle w:val="Hyperlink"/>
                  <w:bCs/>
                </w:rPr>
                <w:t>Folien 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GrippeWeb</w:t>
            </w:r>
            <w:proofErr w:type="spellEnd"/>
            <w:r>
              <w:rPr>
                <w:lang w:val="de-DE"/>
              </w:rPr>
              <w:t xml:space="preserve"> (Daten nur von KW38): auffälliger Anstieg bei 0-</w:t>
            </w:r>
            <w:proofErr w:type="gramStart"/>
            <w:r>
              <w:rPr>
                <w:lang w:val="de-DE"/>
              </w:rPr>
              <w:t>4 Jährigen</w:t>
            </w:r>
            <w:proofErr w:type="gram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AG Influenza: Anstieg in allen Altersgruppen, aber besonders bei 0-4 J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Festlegung aufgrund der Fallzahlen: ab 35 KW RSV Saison (65% RSV)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Bei 35-59 J 65% COVID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ICOSARI: 18% COVID an SARI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Intensiv: 35% COVID an SARI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Auffällig: seit KW34 COVID auch bei 0-4 J (ohne RSV Beteiligung).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Ausbrüche: Kita: Rückgang seit Mitte September, aber 61% der Ausbrüche nur mit Beteiligung von Kindern (0-5 J); Schule: Anstieg seit August 80% der Ausbrüche mit Beteiligung von Kindern (6-14 J)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t xml:space="preserve">Virologische Surveillance, NRZ Influenza-Daten </w:t>
            </w:r>
            <w:r>
              <w:rPr>
                <w:rStyle w:val="TagMiZchn"/>
              </w:rPr>
              <w:t>(nur mittwochs)</w:t>
            </w:r>
            <w:r>
              <w:rPr>
                <w:rStyle w:val="TagMiZchn"/>
                <w:i w:val="0"/>
              </w:rPr>
              <w:t xml:space="preserve"> </w:t>
            </w:r>
            <w:r>
              <w:rPr>
                <w:rStyle w:val="TagMiZchn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hyperlink r:id="rId18" w:history="1">
              <w:r>
                <w:rPr>
                  <w:rStyle w:val="Hyperlink"/>
                  <w:lang w:val="de-DE"/>
                </w:rPr>
                <w:t>Folien 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150-200 Proben in KW 38/39, &gt;50% der Einsendungen betreffen 0-4 J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Zeitlich verschobenes saisonales Verhalten der Viren, am häufigsten </w:t>
            </w:r>
            <w:proofErr w:type="spellStart"/>
            <w:r>
              <w:rPr>
                <w:lang w:val="de-DE"/>
              </w:rPr>
              <w:t>Rhinoviren</w:t>
            </w:r>
            <w:proofErr w:type="spellEnd"/>
            <w:r>
              <w:rPr>
                <w:lang w:val="de-DE"/>
              </w:rPr>
              <w:t>, gefolgt von p-Influenzaviren und SARS-CoV-2. Kaum Influenza Nachweise, möglicherweise aufgrund der NPI.</w:t>
            </w:r>
          </w:p>
          <w:p>
            <w:pPr>
              <w:pStyle w:val="Liste2"/>
              <w:numPr>
                <w:ilvl w:val="0"/>
                <w:numId w:val="8"/>
              </w:numPr>
              <w:ind w:hanging="523"/>
              <w:rPr>
                <w:lang w:val="de-DE"/>
              </w:rPr>
            </w:pPr>
            <w:r>
              <w:rPr>
                <w:lang w:val="de-DE"/>
              </w:rPr>
              <w:t xml:space="preserve">VOC Bericht </w:t>
            </w:r>
            <w:hyperlink r:id="rId19" w:history="1">
              <w:proofErr w:type="spellStart"/>
              <w:r>
                <w:rPr>
                  <w:rStyle w:val="Hyperlink"/>
                  <w:bCs/>
                </w:rPr>
                <w:t>Folien</w:t>
              </w:r>
              <w:proofErr w:type="spellEnd"/>
              <w:r>
                <w:rPr>
                  <w:rStyle w:val="Hyperlink"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bCs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 xml:space="preserve">Entwicklung setzt sich fort, 99,4% Deltavariante und auch bei VOI keine Änderung, Anteil SARS-CoV-2 bei </w:t>
            </w:r>
            <w:proofErr w:type="spellStart"/>
            <w:r>
              <w:rPr>
                <w:lang w:val="de-DE"/>
              </w:rPr>
              <w:t>Genomseq</w:t>
            </w:r>
            <w:proofErr w:type="spellEnd"/>
            <w:r>
              <w:rPr>
                <w:lang w:val="de-DE"/>
              </w:rPr>
              <w:t xml:space="preserve"> bei 5%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Verlauf: Situation wird weiterhin durch Deltavariante bestimmt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t xml:space="preserve">Zahlen zum DIVI-Intensivregister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2"/>
              <w:rPr>
                <w:b/>
              </w:rPr>
            </w:pPr>
            <w:proofErr w:type="spellStart"/>
            <w:r>
              <w:rPr>
                <w:b/>
              </w:rPr>
              <w:t>nicht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berichtet</w:t>
            </w:r>
            <w:proofErr w:type="spellEnd"/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b/>
              </w:rPr>
            </w:pPr>
          </w:p>
          <w:p>
            <w:pPr>
              <w:pStyle w:val="Liste2"/>
              <w:numPr>
                <w:ilvl w:val="0"/>
                <w:numId w:val="8"/>
              </w:numPr>
              <w:ind w:hanging="665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Vorstellung einer Studie zu Post-COVID </w:t>
            </w:r>
            <w:r>
              <w:rPr>
                <w:lang w:val="de-DE"/>
              </w:rPr>
              <w:t xml:space="preserve">Folien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HYPERLINK "RKI_Folien_GKV_LongCOVID_20211006.pptx"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rStyle w:val="Hyperlink"/>
                <w:lang w:val="de-DE"/>
              </w:rPr>
              <w:t>hier</w:t>
            </w:r>
            <w:r>
              <w:rPr>
                <w:lang w:val="de-DE"/>
              </w:rPr>
              <w:fldChar w:fldCharType="end"/>
            </w:r>
            <w:bookmarkStart w:id="1" w:name="_GoBack"/>
            <w:bookmarkEnd w:id="1"/>
          </w:p>
          <w:p>
            <w:pPr>
              <w:pStyle w:val="Liste2"/>
              <w:numPr>
                <w:ilvl w:val="0"/>
                <w:numId w:val="15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Die Ergebnisse einer Studie basierend auf Daten von Krankenkassenabrechnungen wurden vorgestellt</w:t>
            </w:r>
          </w:p>
          <w:p>
            <w:pPr>
              <w:pStyle w:val="Liste2"/>
              <w:numPr>
                <w:ilvl w:val="0"/>
                <w:numId w:val="15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Vorgehensweise: </w:t>
            </w:r>
            <w:r>
              <w:rPr>
                <w:lang w:val="de-DE"/>
              </w:rPr>
              <w:t xml:space="preserve">Alle Personen mit einer bestätigten SARS-CoV-2 Diagnose bildeten die Studienpopulation, die restlichen Patienten bildeten die Vergleichsgruppe (bereinigt um Komorbiditäten); Als Post-COVID wurden alle neu hinzugekommenen Diagnosen im übernächsten Quartal aufgefasst; Die Post-COVID Symptome wurden in Diagnose-Gruppen zusammengefasst; Long-COVID konnte nicht erfasst werden, da der minimal erfassbare Zeitraum ein Quartal war </w:t>
            </w:r>
          </w:p>
          <w:p>
            <w:pPr>
              <w:pStyle w:val="Liste2"/>
              <w:numPr>
                <w:ilvl w:val="0"/>
                <w:numId w:val="15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Fazit: </w:t>
            </w:r>
            <w:r>
              <w:rPr>
                <w:lang w:val="de-DE"/>
              </w:rPr>
              <w:t>Post-COVID tritt bei Personen mit einer vorhergehenden SARS-CoV-2 Infektion häufiger auf als bei nicht infizierten; Kinder sind absolut gesehen wenig betroffen, aber relativ gesehen ist auch bei infizierten Kindern der Post-COVID Anteil im Vergleich zu nicht infizierten Kindern deutlich erhöht. Die Inzidenz von Post-COVID bei Erwachsenen beträgt 500/100.000 Personenjahre. Die Inzidenz von Post-COVID bei Kindern beträgt 300/100.000 Personenjahre.</w:t>
            </w:r>
          </w:p>
          <w:p>
            <w:pPr>
              <w:pStyle w:val="Liste2"/>
              <w:numPr>
                <w:ilvl w:val="0"/>
                <w:numId w:val="15"/>
              </w:numPr>
              <w:rPr>
                <w:b/>
                <w:lang w:val="de-DE"/>
              </w:rPr>
            </w:pPr>
            <w:r>
              <w:rPr>
                <w:lang w:val="de-DE"/>
              </w:rPr>
              <w:t xml:space="preserve">Als Stärke der Studie wurde genannt, dass man auf eindeutige Diagnosen zugreifen konnte, als Schwäche wurde der </w:t>
            </w:r>
            <w:proofErr w:type="spellStart"/>
            <w:r>
              <w:rPr>
                <w:lang w:val="de-DE"/>
              </w:rPr>
              <w:t>Detection</w:t>
            </w:r>
            <w:proofErr w:type="spellEnd"/>
            <w:r>
              <w:rPr>
                <w:lang w:val="de-DE"/>
              </w:rPr>
              <w:t xml:space="preserve"> Bias genannt, den man nun versucht, in weiteren Analysen, z.B. durch die Hinzunahme von Kontrollgruppen mit einer anderen Erkrankung (z.B. Influenza) zu minimieren</w:t>
            </w:r>
          </w:p>
          <w:p>
            <w:pPr>
              <w:pStyle w:val="Liste2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Die Ergebnisse werden demnächst auch der STIKO vorgestellt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(Diercke)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Eckmanns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Tolksdorf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Style w:val="highlight"/>
                <w:sz w:val="22"/>
                <w:szCs w:val="22"/>
              </w:rPr>
              <w:t>Scheid</w:t>
            </w:r>
            <w:r>
              <w:rPr>
                <w:sz w:val="22"/>
                <w:szCs w:val="22"/>
              </w:rPr>
              <w:t>t-</w:t>
            </w:r>
            <w:r>
              <w:rPr>
                <w:rStyle w:val="highlight"/>
                <w:sz w:val="22"/>
                <w:szCs w:val="22"/>
              </w:rPr>
              <w:t>Nave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Aktuelle Version Folien </w:t>
            </w:r>
            <w:hyperlink r:id="rId20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Kleine Änderungen, vor allem hinsichtlich der Berücksichtigung von Faktoren, die das Gesundheitssystem zusätzlich belasten könnten, z.B. Influenza.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t xml:space="preserve">: </w:t>
            </w:r>
            <w:r>
              <w:rPr>
                <w:i/>
              </w:rPr>
              <w:t>Am Freitag veröffentlichen (Rexroth)</w:t>
            </w:r>
            <w:r>
              <w:rPr>
                <w:i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Workshop zur Hospitalisierungsinzidenz fällt aus</w:t>
            </w:r>
          </w:p>
          <w:p>
            <w:pPr>
              <w:pStyle w:val="Liste1"/>
            </w:pPr>
            <w:r>
              <w:t>Bundespressekonferenz von gestern auf heute verschoben</w:t>
            </w:r>
          </w:p>
          <w:p>
            <w:pPr>
              <w:pStyle w:val="Liste1"/>
            </w:pPr>
            <w:r>
              <w:t>Abfrage von Themen für den morgigen Tweet: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Hinweis auf Testung von Geimpften mit Atemwegsinfektionen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COVIMO Studie ist abgeschlossen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Retweet von 2G/3G Flyer zu gegebener Zeit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 xml:space="preserve">2G/3G Flyer finalisiert </w:t>
            </w:r>
          </w:p>
          <w:p>
            <w:pPr>
              <w:pStyle w:val="Liste1"/>
              <w:rPr>
                <w:i/>
              </w:rPr>
            </w:pPr>
            <w:r>
              <w:t>Wird veröffentlicht und getweetet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</w:rPr>
            </w:pPr>
            <w:r>
              <w:rPr>
                <w:b/>
              </w:rPr>
              <w:t>Abt. 3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BMG-geförderten Projektes hat Flyer entworfenen, der die Durchführung und Logistik von Lolli-Pool-PCRs in Kitas und Grundschulen für Sorgeberechtigte und Betreuungspersonal erklärt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 xml:space="preserve">Flyer </w:t>
            </w:r>
            <w:hyperlink r:id="rId21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Übersetzung in andere Sprachen geplant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t xml:space="preserve">: </w:t>
            </w:r>
          </w:p>
          <w:p>
            <w:pPr>
              <w:pStyle w:val="Liste1"/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Hinweis auf Testung von Geimpften mit Atemwegsinfektionen in den Wochenbericht aufnehmen (Rexroth)</w:t>
            </w:r>
          </w:p>
          <w:p>
            <w:pPr>
              <w:pStyle w:val="Liste1"/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Veröffentlichung des Flyers im Deutschen und Übersetzung in Auftrag geben (Seifried)</w:t>
            </w:r>
            <w:r>
              <w:rPr>
                <w:i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(</w:t>
            </w:r>
            <w:proofErr w:type="spellStart"/>
            <w:r>
              <w:rPr>
                <w:sz w:val="22"/>
                <w:szCs w:val="22"/>
              </w:rPr>
              <w:t>Benser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Wenchel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lastRenderedPageBreak/>
              <w:t>Bericht zur fachlichen Einordnung der Hospitalisierungsinzidenz – finale Abstimmung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Bericht </w:t>
            </w:r>
            <w:hyperlink r:id="rId2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Die Abbildung soll nicht als </w:t>
            </w:r>
            <w:proofErr w:type="spellStart"/>
            <w:r>
              <w:t>Nowcasting</w:t>
            </w:r>
            <w:proofErr w:type="spellEnd"/>
            <w:r>
              <w:t xml:space="preserve"> bezeichnet werden, sondern als „Abschätzung der zu erwartenden Nachmeldung“, da es keinen R Wert enthält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Vorschlag: Bundesweite Grafik im Wochenbericht und Auswertung auf Bundeslandebene für die Länder</w:t>
            </w:r>
          </w:p>
          <w:p>
            <w:pPr>
              <w:pStyle w:val="Listenabsatz"/>
            </w:pP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: </w:t>
            </w:r>
          </w:p>
          <w:p>
            <w:pPr>
              <w:pStyle w:val="Liste1"/>
              <w:numPr>
                <w:ilvl w:val="0"/>
                <w:numId w:val="13"/>
              </w:numPr>
              <w:rPr>
                <w:i/>
              </w:rPr>
            </w:pPr>
            <w:r>
              <w:rPr>
                <w:i/>
              </w:rPr>
              <w:t xml:space="preserve">Bericht an das BMG schicken mit dem Hinweis, dass bei Zustimmung eine Aufnahme in den kommenden Wochenbericht geplant ist (Diercke, </w:t>
            </w:r>
            <w:proofErr w:type="spellStart"/>
            <w:r>
              <w:rPr>
                <w:i/>
              </w:rPr>
              <w:t>Hamouda</w:t>
            </w:r>
            <w:proofErr w:type="spellEnd"/>
            <w:r>
              <w:rPr>
                <w:i/>
              </w:rPr>
              <w:t xml:space="preserve">, Matthias </w:t>
            </w:r>
            <w:proofErr w:type="gramStart"/>
            <w:r>
              <w:rPr>
                <w:i/>
              </w:rPr>
              <w:t>an der Heiden</w:t>
            </w:r>
            <w:proofErr w:type="gramEnd"/>
            <w:r>
              <w:rPr>
                <w:i/>
              </w:rPr>
              <w:t>)</w:t>
            </w:r>
          </w:p>
          <w:p>
            <w:pPr>
              <w:pStyle w:val="Liste1"/>
              <w:numPr>
                <w:ilvl w:val="0"/>
                <w:numId w:val="13"/>
              </w:numPr>
              <w:rPr>
                <w:i/>
              </w:rPr>
            </w:pPr>
            <w:r>
              <w:rPr>
                <w:i/>
              </w:rPr>
              <w:t xml:space="preserve">Workshop für Journalisten zum Thema </w:t>
            </w:r>
            <w:proofErr w:type="spellStart"/>
            <w:r>
              <w:rPr>
                <w:i/>
              </w:rPr>
              <w:t>Nowcasting</w:t>
            </w:r>
            <w:proofErr w:type="spellEnd"/>
            <w:r>
              <w:rPr>
                <w:i/>
              </w:rPr>
              <w:t xml:space="preserve">, da BMG Workshop abgesagt wurde (Diercke, </w:t>
            </w:r>
            <w:proofErr w:type="spellStart"/>
            <w:r>
              <w:rPr>
                <w:i/>
              </w:rPr>
              <w:t>Hamouda</w:t>
            </w:r>
            <w:proofErr w:type="spellEnd"/>
            <w:r>
              <w:rPr>
                <w:i/>
              </w:rPr>
              <w:t>, Matthias an der Heiden)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Diercke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rPr>
                <w:lang w:val="de-DE"/>
              </w:rP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Änderung der </w:t>
            </w:r>
            <w:proofErr w:type="spellStart"/>
            <w:r>
              <w:rPr>
                <w:b w:val="0"/>
              </w:rPr>
              <w:t>Entisolierungskriterien</w:t>
            </w:r>
            <w:proofErr w:type="spellEnd"/>
            <w:r>
              <w:rPr>
                <w:b w:val="0"/>
              </w:rPr>
              <w:t xml:space="preserve"> Folien </w:t>
            </w:r>
            <w:hyperlink r:id="rId23" w:history="1">
              <w:r>
                <w:rPr>
                  <w:rStyle w:val="Hyperlink"/>
                  <w:b w:val="0"/>
                </w:rPr>
                <w:t>hier</w:t>
              </w:r>
            </w:hyperlink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 xml:space="preserve">Es wurden Ergebnisse vorgestellt, die mit Hilfe des </w:t>
            </w:r>
            <w:proofErr w:type="spellStart"/>
            <w:r>
              <w:rPr>
                <w:b w:val="0"/>
              </w:rPr>
              <w:t>CovidStrategyCalculators</w:t>
            </w:r>
            <w:proofErr w:type="spellEnd"/>
            <w:r>
              <w:rPr>
                <w:b w:val="0"/>
              </w:rPr>
              <w:t xml:space="preserve"> bestimmt wurden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 xml:space="preserve">Virusdaten entsprechen dem Wildtyp, </w:t>
            </w:r>
            <w:proofErr w:type="spellStart"/>
            <w:r>
              <w:rPr>
                <w:b w:val="0"/>
              </w:rPr>
              <w:t>Viruskinetiken</w:t>
            </w:r>
            <w:proofErr w:type="spellEnd"/>
            <w:r>
              <w:rPr>
                <w:b w:val="0"/>
              </w:rPr>
              <w:t xml:space="preserve"> von Delta/ non-Delta sind sehr ähnlich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>Ergebnisse gelten nur für Ungeimpfte, keine Modellierung der Ausscheidungskinetik von Geimpften möglich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>Ergebnis: eine kürzere Isolierungsdauer als 10d ist nicht sinnvoll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>14d Isolierung ohne Testung oder 10d mit PCR Testung haben ähnliches relatives Risiko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 xml:space="preserve">Vorschlag für zukünftige Strategie: </w:t>
            </w:r>
          </w:p>
          <w:p>
            <w:pPr>
              <w:pStyle w:val="3"/>
              <w:numPr>
                <w:ilvl w:val="0"/>
                <w:numId w:val="14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Geimpfte + Ungeimpfte gleich behandeln</w:t>
            </w:r>
          </w:p>
          <w:p>
            <w:pPr>
              <w:pStyle w:val="3"/>
              <w:numPr>
                <w:ilvl w:val="0"/>
                <w:numId w:val="14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14d ohne Testung oder 10d mit PCR Testung im ambulanten Setting</w:t>
            </w:r>
          </w:p>
          <w:p>
            <w:pPr>
              <w:pStyle w:val="3"/>
              <w:numPr>
                <w:ilvl w:val="0"/>
                <w:numId w:val="14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14d mit PCR Testung im klinischen Setting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ToDo</w:t>
            </w:r>
            <w:proofErr w:type="spellEnd"/>
            <w:r>
              <w:rPr>
                <w:b w:val="0"/>
              </w:rPr>
              <w:t>: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rPr>
                <w:b w:val="0"/>
                <w:i/>
              </w:rPr>
            </w:pPr>
            <w:r>
              <w:rPr>
                <w:b w:val="0"/>
                <w:i/>
              </w:rPr>
              <w:t>Am Freitag nochmal abschließend diskutieren (die beiden letzten Folien, d.h. Überblick relatives Risiko und Überblick P(</w:t>
            </w:r>
            <w:proofErr w:type="spellStart"/>
            <w:r>
              <w:rPr>
                <w:b w:val="0"/>
                <w:i/>
              </w:rPr>
              <w:t>inf</w:t>
            </w:r>
            <w:proofErr w:type="spellEnd"/>
            <w:r>
              <w:rPr>
                <w:b w:val="0"/>
                <w:i/>
              </w:rPr>
              <w:t>) als Diskussionsgrundlage mitbringen) (Oh)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ind w:left="107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ZBS7 (Oh)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Freitag, 08.10.2021,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38F"/>
    <w:multiLevelType w:val="hybridMultilevel"/>
    <w:tmpl w:val="2AD6D18E"/>
    <w:lvl w:ilvl="0" w:tplc="EB12AC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22F7"/>
    <w:multiLevelType w:val="hybridMultilevel"/>
    <w:tmpl w:val="30E05508"/>
    <w:lvl w:ilvl="0" w:tplc="F724A64C">
      <w:start w:val="1"/>
      <w:numFmt w:val="decimal"/>
      <w:lvlText w:val="%1."/>
      <w:lvlJc w:val="left"/>
      <w:pPr>
        <w:ind w:left="47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3496DC7"/>
    <w:multiLevelType w:val="hybridMultilevel"/>
    <w:tmpl w:val="92B6B54C"/>
    <w:lvl w:ilvl="0" w:tplc="04070003">
      <w:start w:val="1"/>
      <w:numFmt w:val="bullet"/>
      <w:lvlText w:val="o"/>
      <w:lvlJc w:val="left"/>
      <w:pPr>
        <w:ind w:left="91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6" w15:restartNumberingAfterBreak="0">
    <w:nsid w:val="2476713A"/>
    <w:multiLevelType w:val="hybridMultilevel"/>
    <w:tmpl w:val="6B145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923E4"/>
    <w:multiLevelType w:val="hybridMultilevel"/>
    <w:tmpl w:val="4A503E84"/>
    <w:lvl w:ilvl="0" w:tplc="0407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3F2A"/>
    <w:multiLevelType w:val="hybridMultilevel"/>
    <w:tmpl w:val="F67A4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93B77"/>
    <w:multiLevelType w:val="hybridMultilevel"/>
    <w:tmpl w:val="051C5132"/>
    <w:lvl w:ilvl="0" w:tplc="0407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7BE5593C"/>
    <w:multiLevelType w:val="hybridMultilevel"/>
    <w:tmpl w:val="65DC2632"/>
    <w:lvl w:ilvl="0" w:tplc="3536BF2A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14"/>
  </w:num>
  <w:num w:numId="11">
    <w:abstractNumId w:val="3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C:\Users\BanerjiS\AppData\Local\Microsoft\Windows\INetCache\Content.Outlook\8I84SBE6\211006%20NRZ%20Influenzaviren%20Lage.ppt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BanerjiS\AppData\Local\Microsoft\Windows\INetCache\Content.Outlook\8I84SBE6\211004_Flyer_Lollitest_korrig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C:\Users\BanerjiS\AppData\Local\Microsoft\Windows\INetCache\Content.Outlook\8I84SBE6\syndrom-ARE-SARI-COVID_bis_KW39_2021_f&#252;r-Krisenstab.ppt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file:///C:\Users\BanerjiS\AppData\Local\Microsoft\Windows\INetCache\Content.Outlook\8I84SBE6\211006_SARS-CoV-2%20in%20ARS_Krisenstabssitzung-korr.pptx" TargetMode="External"/><Relationship Id="rId20" Type="http://schemas.openxmlformats.org/officeDocument/2006/relationships/hyperlink" Target="file:///C:\Users\BanerjiS\AppData\Local\Microsoft\Windows\INetCache\Content.Outlook\8I84SBE6\Risikobewertung-zu-COVID_2021-10-06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BanerjiS\AppData\Local\Microsoft\Windows\INetCache\Content.Outlook\8I84SBE6\Testzahlerfassung%20am%20RKI_2021-10-06_SB.pptx" TargetMode="External"/><Relationship Id="rId23" Type="http://schemas.openxmlformats.org/officeDocument/2006/relationships/hyperlink" Target="file:///C:\Users\BanerjiS\AppData\Local\Microsoft\Windows\INetCache\Content.Outlook\8I84SBE6\Isolierungsdauer_6Oct21_final_krisenstab-2.pptx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C:\Users\BanerjiS\AppData\Local\Microsoft\Windows\INetCache\Content.Outlook\8I84SBE6\VOC20211006_LageAG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BanerjiS\AppData\Local\Microsoft\Windows\INetCache\Content.Outlook\8I84SBE6\LageNational_2021-10-06.pptx" TargetMode="External"/><Relationship Id="rId22" Type="http://schemas.openxmlformats.org/officeDocument/2006/relationships/hyperlink" Target="file:///C:\Users\BanerjiS\AppData\Local\Microsoft\Windows\INetCache\Content.Outlook\8I84SBE6\Bericht_Hospitalisierungsinzidenz_2021-10-05_Entwurf_adHM_wh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8A3E9-6E73-4268-A32D-54C4F210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1408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3</cp:revision>
  <cp:lastPrinted>2020-05-06T16:43:00Z</cp:lastPrinted>
  <dcterms:created xsi:type="dcterms:W3CDTF">2021-10-06T18:04:00Z</dcterms:created>
  <dcterms:modified xsi:type="dcterms:W3CDTF">2021-10-06T19:04:00Z</dcterms:modified>
</cp:coreProperties>
</file>