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08.10.2021,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lastRenderedPageBreak/>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 xml:space="preserve">Mardjan </w:t>
      </w:r>
      <w:proofErr w:type="spellStart"/>
      <w:r>
        <w:rPr>
          <w:sz w:val="22"/>
          <w:szCs w:val="22"/>
        </w:rPr>
        <w:t>Arvand</w:t>
      </w:r>
      <w:proofErr w:type="spellEnd"/>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1"/>
          <w:numId w:val="2"/>
        </w:numPr>
        <w:spacing w:after="0"/>
        <w:contextualSpacing w:val="0"/>
        <w:rPr>
          <w:sz w:val="22"/>
          <w:szCs w:val="22"/>
        </w:rPr>
      </w:pPr>
      <w:r>
        <w:rPr>
          <w:sz w:val="22"/>
          <w:szCs w:val="22"/>
        </w:rPr>
        <w:t>Max von Kleist</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Claudia </w:t>
      </w:r>
      <w:proofErr w:type="spellStart"/>
      <w:r>
        <w:rPr>
          <w:sz w:val="22"/>
          <w:szCs w:val="22"/>
        </w:rPr>
        <w:t>Siffcyk</w:t>
      </w:r>
      <w:proofErr w:type="spellEnd"/>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Rhode</w:t>
      </w:r>
    </w:p>
    <w:p>
      <w:pPr>
        <w:pStyle w:val="Listenabsatz"/>
        <w:numPr>
          <w:ilvl w:val="1"/>
          <w:numId w:val="2"/>
        </w:numPr>
        <w:spacing w:after="0"/>
        <w:contextualSpacing w:val="0"/>
        <w:rPr>
          <w:rStyle w:val="highlight"/>
          <w:sz w:val="22"/>
          <w:szCs w:val="22"/>
        </w:rPr>
      </w:pPr>
      <w:bookmarkStart w:id="1" w:name="_Hlk84597236"/>
      <w:r>
        <w:rPr>
          <w:rStyle w:val="highlight"/>
          <w:sz w:val="22"/>
          <w:szCs w:val="22"/>
        </w:rPr>
        <w:t>Carlos Correa-Martinez</w:t>
      </w:r>
    </w:p>
    <w:bookmarkEnd w:id="1"/>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r>
              <w:rPr>
                <w:b/>
                <w:sz w:val="22"/>
                <w:szCs w:val="22"/>
              </w:rPr>
              <w:t xml:space="preserve"> </w:t>
            </w:r>
          </w:p>
          <w:p>
            <w:pPr>
              <w:pStyle w:val="Liste1"/>
            </w:pPr>
            <w:r>
              <w:t xml:space="preserve">Folien </w:t>
            </w:r>
            <w:hyperlink r:id="rId11" w:history="1">
              <w:r>
                <w:rPr>
                  <w:rStyle w:val="Hyperlink"/>
                </w:rPr>
                <w:t>hier</w:t>
              </w:r>
            </w:hyperlink>
          </w:p>
          <w:p>
            <w:pPr>
              <w:pStyle w:val="Liste1"/>
            </w:pPr>
            <w:r>
              <w:t>Weltweit:</w:t>
            </w:r>
          </w:p>
          <w:p>
            <w:pPr>
              <w:pStyle w:val="Liste2"/>
            </w:pPr>
            <w:proofErr w:type="spellStart"/>
            <w:r>
              <w:t>Datenstand</w:t>
            </w:r>
            <w:proofErr w:type="spellEnd"/>
            <w:r>
              <w:t>: WHO, 07.10.2021</w:t>
            </w:r>
          </w:p>
          <w:p>
            <w:pPr>
              <w:pStyle w:val="Liste2"/>
              <w:rPr>
                <w:lang w:val="de-DE"/>
              </w:rPr>
            </w:pPr>
            <w:r>
              <w:rPr>
                <w:lang w:val="de-DE"/>
              </w:rPr>
              <w:t>Fälle: 236.132.082 (-7% im Vergleich zu Vorwoche)</w:t>
            </w:r>
          </w:p>
          <w:p>
            <w:pPr>
              <w:pStyle w:val="Liste2"/>
            </w:pPr>
            <w:proofErr w:type="spellStart"/>
            <w:r>
              <w:t>Todesfälle</w:t>
            </w:r>
            <w:proofErr w:type="spellEnd"/>
            <w:r>
              <w:t xml:space="preserve">: 4.822.472 </w:t>
            </w:r>
            <w:proofErr w:type="spellStart"/>
            <w:r>
              <w:t>Todesfälle</w:t>
            </w:r>
            <w:proofErr w:type="spellEnd"/>
            <w:r>
              <w:t xml:space="preserve"> (CFR: 2,05%)</w:t>
            </w:r>
            <w:proofErr w:type="spellStart"/>
          </w:p>
          <w:p>
            <w:pPr>
              <w:pStyle w:val="Liste1"/>
            </w:pPr>
            <w:proofErr w:type="spellEnd"/>
            <w:r>
              <w:t xml:space="preserve">Liste Top 10 Länder nach neuen Fällen: </w:t>
            </w:r>
          </w:p>
          <w:p>
            <w:pPr>
              <w:pStyle w:val="Liste2"/>
              <w:rPr>
                <w:lang w:val="de-DE"/>
              </w:rPr>
            </w:pPr>
            <w:r>
              <w:rPr>
                <w:lang w:val="de-DE"/>
              </w:rPr>
              <w:t>Wenig Änderungen in der Reihenfolge</w:t>
            </w:r>
          </w:p>
          <w:p>
            <w:pPr>
              <w:pStyle w:val="Liste2"/>
              <w:rPr>
                <w:lang w:val="de-DE"/>
              </w:rPr>
            </w:pPr>
            <w:r>
              <w:rPr>
                <w:lang w:val="de-DE"/>
              </w:rPr>
              <w:t>Aufwärtstrend in der Türkei und der Russischen Föderation</w:t>
            </w:r>
          </w:p>
          <w:p>
            <w:pPr>
              <w:pStyle w:val="Liste2"/>
              <w:rPr>
                <w:lang w:val="de-DE"/>
              </w:rPr>
            </w:pPr>
            <w:r>
              <w:rPr>
                <w:b/>
                <w:lang w:val="de-DE"/>
              </w:rPr>
              <w:t>Neu:</w:t>
            </w:r>
            <w:r>
              <w:rPr>
                <w:lang w:val="de-DE"/>
              </w:rPr>
              <w:t xml:space="preserve"> Rumänien mit stark ansteigendem Trend (+40%); Einstufung als Hochrisikogebiet</w:t>
            </w:r>
          </w:p>
          <w:p>
            <w:pPr>
              <w:pStyle w:val="Liste1"/>
            </w:pPr>
            <w:r>
              <w:t xml:space="preserve">WHO </w:t>
            </w:r>
            <w:proofErr w:type="spellStart"/>
            <w:r>
              <w:t>SitRep</w:t>
            </w:r>
            <w:proofErr w:type="spellEnd"/>
          </w:p>
          <w:p>
            <w:pPr>
              <w:pStyle w:val="Liste2"/>
              <w:rPr>
                <w:lang w:val="de-DE"/>
              </w:rPr>
            </w:pPr>
            <w:r>
              <w:rPr>
                <w:lang w:val="de-DE"/>
              </w:rPr>
              <w:t>allen Regionen rückläufig bis auf Europa (+5%)</w:t>
            </w:r>
            <w:r>
              <w:rPr>
                <w:rFonts w:eastAsiaTheme="minorEastAsia" w:hAnsi="Calibri"/>
                <w:b/>
                <w:bCs/>
                <w:color w:val="000000" w:themeColor="text1"/>
                <w:kern w:val="24"/>
                <w:sz w:val="36"/>
                <w:szCs w:val="36"/>
                <w:lang w:val="de-DE" w:eastAsia="de-DE"/>
              </w:rPr>
              <w:t xml:space="preserve"> </w:t>
            </w:r>
          </w:p>
          <w:p>
            <w:pPr>
              <w:pStyle w:val="Liste2"/>
              <w:rPr>
                <w:lang w:val="de-DE"/>
              </w:rPr>
            </w:pPr>
            <w:r>
              <w:rPr>
                <w:bCs/>
                <w:lang w:val="de-DE"/>
              </w:rPr>
              <w:t>Anzahl Todesfälle in allen Regionen zurückgegangen, jedoch steigt in</w:t>
            </w:r>
            <w:r>
              <w:rPr>
                <w:lang w:val="de-DE"/>
              </w:rPr>
              <w:t>: Europa (+2%)</w:t>
            </w:r>
          </w:p>
          <w:p>
            <w:pPr>
              <w:pStyle w:val="Liste1"/>
            </w:pPr>
            <w:r>
              <w:t>VOC / VOI:</w:t>
            </w:r>
          </w:p>
          <w:p>
            <w:pPr>
              <w:pStyle w:val="Liste2"/>
            </w:pPr>
            <w:r>
              <w:t xml:space="preserve">Neu nachgewiesen </w:t>
            </w:r>
          </w:p>
          <w:p>
            <w:pPr>
              <w:pStyle w:val="Liste3"/>
            </w:pPr>
            <w:r>
              <w:t>Alpha: Zimbabwe, Madagaskar</w:t>
            </w:r>
          </w:p>
          <w:p>
            <w:pPr>
              <w:pStyle w:val="Liste3"/>
            </w:pPr>
            <w:r>
              <w:t>Beta:  Sierra Leone, Liberia, Benin</w:t>
            </w:r>
          </w:p>
          <w:p>
            <w:pPr>
              <w:pStyle w:val="Liste3"/>
            </w:pPr>
            <w:r>
              <w:t>Gamma: Ghana, Togo, Benin</w:t>
            </w:r>
          </w:p>
          <w:p>
            <w:pPr>
              <w:pStyle w:val="Liste3"/>
            </w:pPr>
            <w:r>
              <w:t xml:space="preserve">Delta: Benin, Gabun, Kamerun, Mali, Burkina Faso </w:t>
            </w:r>
          </w:p>
          <w:p>
            <w:pPr>
              <w:pStyle w:val="2"/>
            </w:pPr>
            <w:r>
              <w:t xml:space="preserve">National </w:t>
            </w:r>
          </w:p>
          <w:p>
            <w:pPr>
              <w:pStyle w:val="Liste1"/>
            </w:pPr>
            <w:r>
              <w:t xml:space="preserve">Fallzahlen, Todesfälle, Trend, Folien </w:t>
            </w:r>
            <w:hyperlink r:id="rId12" w:history="1">
              <w:r>
                <w:rPr>
                  <w:rStyle w:val="Hyperlink"/>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4.293.807 (+10.429), davon 94.113 (+86) Todesfälle </w:t>
            </w:r>
          </w:p>
          <w:p>
            <w:pPr>
              <w:pStyle w:val="Liste2"/>
            </w:pPr>
            <w:r>
              <w:t xml:space="preserve">7-Tage-Inzidenz:  63,8/100.000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56.846.361 (68,4%), mit vollständiger Impfung 54.038.360 (65,0%)</w:t>
            </w:r>
          </w:p>
          <w:p>
            <w:pPr>
              <w:pStyle w:val="Liste2"/>
              <w:rPr>
                <w:lang w:val="de-DE"/>
              </w:rPr>
            </w:pPr>
            <w:r>
              <w:rPr>
                <w:lang w:val="de-DE"/>
              </w:rPr>
              <w:t>Verlauf der 7-Tage-Inzidenz der Bundesländer:</w:t>
            </w:r>
          </w:p>
          <w:p>
            <w:pPr>
              <w:pStyle w:val="Liste3"/>
            </w:pPr>
            <w:r>
              <w:t xml:space="preserve">2 BL Anstieg (Sachsen, Thüringen) </w:t>
            </w:r>
          </w:p>
          <w:p>
            <w:pPr>
              <w:pStyle w:val="Liste3"/>
            </w:pPr>
            <w:r>
              <w:t>V.a. südliche Länder am stärksten betroffen</w:t>
            </w:r>
          </w:p>
          <w:p>
            <w:pPr>
              <w:pStyle w:val="Liste3"/>
            </w:pPr>
            <w:r>
              <w:t>SH und SL am niedrigsten</w:t>
            </w:r>
          </w:p>
          <w:p>
            <w:pPr>
              <w:pStyle w:val="Liste3"/>
            </w:pPr>
            <w:r>
              <w:t>Anzahl Kreise mit 7-TI &gt;25/100.000 EW: 375/411 (+2)</w:t>
            </w:r>
          </w:p>
          <w:p>
            <w:pPr>
              <w:pStyle w:val="Liste3"/>
            </w:pPr>
            <w:r>
              <w:t>Anzahl Kreise mit 7-TI &gt;50/100.000 EW: 247/411 (+5)</w:t>
            </w:r>
          </w:p>
          <w:p>
            <w:pPr>
              <w:pStyle w:val="Liste3"/>
            </w:pPr>
            <w:r>
              <w:t>Anzahl Kreise mit 7-TI &gt;100/100.000 EW: 359/411 (+14)</w:t>
            </w:r>
          </w:p>
          <w:p>
            <w:pPr>
              <w:pStyle w:val="Liste3"/>
            </w:pPr>
            <w:r>
              <w:t>5 Kreise mit 7-TI &gt;200/100.000 EW,</w:t>
            </w:r>
          </w:p>
          <w:p>
            <w:pPr>
              <w:pStyle w:val="Liste3"/>
            </w:pPr>
            <w:r>
              <w:t xml:space="preserve">Trendbericht heute relativ stabil über die Wochen. </w:t>
            </w:r>
          </w:p>
          <w:p>
            <w:pPr>
              <w:pStyle w:val="Liste2"/>
            </w:pPr>
            <w:proofErr w:type="spellStart"/>
            <w:r>
              <w:t>Keine</w:t>
            </w:r>
            <w:proofErr w:type="spellEnd"/>
            <w:r>
              <w:t xml:space="preserve"> </w:t>
            </w:r>
            <w:proofErr w:type="spellStart"/>
            <w:r>
              <w:t>deutliche</w:t>
            </w:r>
            <w:proofErr w:type="spellEnd"/>
            <w:r>
              <w:t xml:space="preserve"> </w:t>
            </w:r>
            <w:proofErr w:type="spellStart"/>
            <w:r>
              <w:t>Übersterblichkeit</w:t>
            </w:r>
            <w:proofErr w:type="spellEnd"/>
            <w:r>
              <w:t xml:space="preserve"> </w:t>
            </w:r>
            <w:proofErr w:type="spellStart"/>
            <w:r>
              <w:t>erkennbar</w:t>
            </w:r>
            <w:proofErr w:type="spellEnd"/>
            <w:r>
              <w:rPr>
                <w:lang w:val="de-DE"/>
              </w:rPr>
              <w:br/>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r>
              <w:rPr>
                <w:sz w:val="22"/>
                <w:szCs w:val="22"/>
              </w:rPr>
              <w:br/>
            </w:r>
          </w:p>
        </w:tc>
      </w:tr>
      <w:tr>
        <w:tc>
          <w:tcPr>
            <w:tcW w:w="684" w:type="dxa"/>
          </w:tcPr>
          <w:p>
            <w:pPr>
              <w:rPr>
                <w:b/>
              </w:rPr>
            </w:pPr>
            <w:r>
              <w:rPr>
                <w:b/>
              </w:rPr>
              <w:t>3</w:t>
            </w:r>
          </w:p>
        </w:tc>
        <w:tc>
          <w:tcPr>
            <w:tcW w:w="6824" w:type="dxa"/>
          </w:tcPr>
          <w:p>
            <w:pPr>
              <w:spacing w:line="276" w:lineRule="auto"/>
              <w:rPr>
                <w:b/>
                <w:sz w:val="28"/>
              </w:rPr>
            </w:pPr>
            <w:r>
              <w:rPr>
                <w:rStyle w:val="1Zchn"/>
              </w:rPr>
              <w:t>Update digitale Projekte</w:t>
            </w:r>
            <w:r>
              <w:rPr>
                <w:b/>
                <w:sz w:val="28"/>
              </w:rPr>
              <w:t xml:space="preserve"> </w:t>
            </w:r>
          </w:p>
          <w:p>
            <w:pPr>
              <w:pStyle w:val="Liste1"/>
              <w:rPr>
                <w:b/>
                <w:i/>
                <w:color w:val="C2D69B" w:themeColor="accent3" w:themeTint="99"/>
              </w:rPr>
            </w:pPr>
            <w:r>
              <w:t>(nicht berichtet)</w:t>
            </w:r>
          </w:p>
        </w:tc>
        <w:tc>
          <w:tcPr>
            <w:tcW w:w="1463"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Rückmeldung zur aktuellen Einschätzung erhalten</w:t>
            </w:r>
          </w:p>
          <w:p>
            <w:pPr>
              <w:pStyle w:val="Liste1"/>
            </w:pPr>
            <w:r>
              <w:t>Eine gekürzte Version ist in Arbeit (4 Seiten statt 6 Seiten). Ein entsprechender Entwurf wird zirkuliert und soll kommenden Mittwoch verabschiedet werden.</w:t>
            </w:r>
          </w:p>
          <w:p>
            <w:pPr>
              <w:pStyle w:val="Liste1"/>
              <w:numPr>
                <w:ilvl w:val="0"/>
                <w:numId w:val="0"/>
              </w:numPr>
              <w:ind w:left="473" w:hanging="360"/>
            </w:pPr>
          </w:p>
          <w:p>
            <w:pPr>
              <w:pStyle w:val="ToDo"/>
            </w:pPr>
            <w:proofErr w:type="spellStart"/>
            <w:r>
              <w:rPr>
                <w:b/>
              </w:rPr>
              <w:t>ToDo</w:t>
            </w:r>
            <w:proofErr w:type="spellEnd"/>
            <w:r>
              <w:rPr>
                <w:b/>
              </w:rPr>
              <w:t>:</w:t>
            </w:r>
            <w:r>
              <w:t xml:space="preserve"> Fachliche Einschätzung des Entwurfs von weiteren FG und Verabschiedung am Mittwoch 13.10.2021.</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1"/>
            </w:pPr>
            <w:r>
              <w:t>Eine Untererfassung der Fälle ist möglich aber eine komplette Verzerrung der Lage ist nicht erwartbar. Dies wäre eher realistisch sobald die Kostenübernahme der Tests ausläuft, was jedoch erst noch ansteht.</w:t>
            </w:r>
          </w:p>
          <w:p>
            <w:pPr>
              <w:pStyle w:val="Liste1"/>
            </w:pPr>
            <w:r>
              <w:t xml:space="preserve">Insgesamt wird über mehrere Indikatoren hinweg ein ähnlicher Trend beschrieben, daher ist davon auszugehen, dass die genutzten </w:t>
            </w:r>
            <w:proofErr w:type="spellStart"/>
            <w:r>
              <w:t>Surveillanceinstrumente</w:t>
            </w:r>
            <w:proofErr w:type="spellEnd"/>
            <w:r>
              <w:t xml:space="preserve"> funktionieren und die aktuelle Einschätzung anhand der generierten Daten daher adäquat ist.</w:t>
            </w:r>
          </w:p>
          <w:p>
            <w:pPr>
              <w:pStyle w:val="Liste1"/>
            </w:pPr>
            <w:r>
              <w:t>Ein weiterer Rückgang ist eher nicht wahrscheinlich und ein Anstieg ist zu erwarten, v.a. unter Berücksichtigung der Saisonalität, steigender Mobilität, und vergleichbarer Signale bei anderen resp. Erkrankungen.</w:t>
            </w:r>
          </w:p>
          <w:p>
            <w:pPr>
              <w:pStyle w:val="Liste1"/>
            </w:pPr>
            <w:r>
              <w:t xml:space="preserve">Die Vermittlung der aktuellen Situation / Lage und die Umsetzung in Politik scheinen auseinander zu driften </w:t>
            </w:r>
          </w:p>
          <w:p>
            <w:pPr>
              <w:pStyle w:val="Liste1"/>
            </w:pPr>
            <w:r>
              <w:t>Sollten sich die durch das RKI veröffentlichten Einschätzungen, Prognosen und Modellierungen nicht bewahrheiten wird sich das RKI diesbezüglich rechtfertigen müssen. Dies wird eine kommunikative Herausforderung.</w:t>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 xml:space="preserve">Daten der </w:t>
            </w:r>
            <w:proofErr w:type="spellStart"/>
            <w:r>
              <w:t>CoSiD</w:t>
            </w:r>
            <w:proofErr w:type="spellEnd"/>
            <w:r>
              <w:t>-</w:t>
            </w:r>
            <w:r>
              <w:rPr>
                <w:rStyle w:val="Hervorhebung"/>
                <w:i w:val="0"/>
              </w:rPr>
              <w:t>Befragung</w:t>
            </w:r>
            <w:r>
              <w:t xml:space="preserve"> wurden veröffentlicht, mehr </w:t>
            </w:r>
            <w:hyperlink r:id="rId13" w:history="1">
              <w:r>
                <w:rPr>
                  <w:rStyle w:val="Hyperlink"/>
                </w:rPr>
                <w:t>hier</w:t>
              </w:r>
            </w:hyperlink>
            <w:r>
              <w:t xml:space="preserve">. Gründe für Nicht-Impfung wurden primär untersucht und eine Impfquote unter der Befragten wurde ebenfalls ermittelt, war jedoch nicht der Fokus der Studie. Anhand der Befragungen ist eine höhere Impfquote zu erwarten (19% der Befragten waren nicht geimpft). Dieses Ergebnis ist jedoch durch einen maßgeblichen </w:t>
            </w:r>
            <w:proofErr w:type="spellStart"/>
            <w:r>
              <w:t>Selection</w:t>
            </w:r>
            <w:proofErr w:type="spellEnd"/>
            <w:r>
              <w:t xml:space="preserve"> Bias beeinflusst. </w:t>
            </w:r>
          </w:p>
          <w:p>
            <w:pPr>
              <w:pStyle w:val="Liste1"/>
            </w:pPr>
            <w:r>
              <w:t xml:space="preserve">Die Mehrheit der Probanden ist erreichbar für Informationen zu Impfungen. Gründe für eine Nicht-Impfung waren mangelndes Vertrauen in die Entwicklung des Impfstoffes, ein niedriges Vertrauensniveau gegenüber den staatlichen Institutionen, die Wahrnehmung, dass COVID-19 eine milde Erkrankung sei und das Risiko einer Erkrankung niedrig ist. </w:t>
            </w:r>
          </w:p>
          <w:p>
            <w:pPr>
              <w:pStyle w:val="Liste1"/>
            </w:pPr>
            <w:r>
              <w:t xml:space="preserve">Wie können die bisher nicht Geimpften erreicht werden? Impfaktionswoche sollte verlängert werden, sodass Gelegenheitsprobleme vermindert werden. Die 6% die sich definitiv nicht impfen lassen wollen, werden vermutlich nicht erreicht werden können. Daher wird ein Fokus auf die gelegt, die sich potentiell noch zur Impfung bewegen lassen. Die Kommunikation über Impfungen könnte vermehrt über einen Dialog erfolgen und weniger über staatliche Institutionen. </w:t>
            </w:r>
          </w:p>
          <w:p>
            <w:pPr>
              <w:pStyle w:val="Liste1"/>
            </w:pPr>
            <w:r>
              <w:t>Eine weitere Herausforderung stellt die niedrigschwellige Aufarbeitung von Informationsmaterialien zur Schutzimpfung dar. Teils fällt es Personen schwer bestehenden Informationsmaterial zu verstehen.</w:t>
            </w:r>
          </w:p>
          <w:p>
            <w:pPr>
              <w:pStyle w:val="Liste1"/>
              <w:numPr>
                <w:ilvl w:val="0"/>
                <w:numId w:val="0"/>
              </w:numPr>
              <w:ind w:left="473"/>
            </w:pPr>
          </w:p>
          <w:p>
            <w:pPr>
              <w:rPr>
                <w:b/>
              </w:rPr>
            </w:pPr>
            <w:r>
              <w:rPr>
                <w:b/>
              </w:rPr>
              <w:t>Diskussion:</w:t>
            </w:r>
          </w:p>
          <w:p>
            <w:pPr>
              <w:pStyle w:val="Liste1"/>
            </w:pPr>
            <w:r>
              <w:t xml:space="preserve">Die Veröffentlichung Unterschiedlicher Angaben zum selben Themen (z.B. Impfquoten) unter Referenz unterschiedlicher Datenquellen (Registerdaten, andere Erhebungen, Befragungen) mit unterschiedlicher Datenqualität ist eine Herausforderung, da dies in der Öffentlichkeit </w:t>
            </w:r>
            <w:proofErr w:type="spellStart"/>
            <w:r>
              <w:t>teils</w:t>
            </w:r>
            <w:proofErr w:type="spellEnd"/>
            <w:r>
              <w:t xml:space="preserve"> schwer verständlich ist. Daher sollte darauf geachtete werden Transparenz und Verständlichkeit zu wahren.</w:t>
            </w:r>
          </w:p>
          <w:p>
            <w:pPr>
              <w:pStyle w:val="Liste1"/>
            </w:pPr>
            <w:r>
              <w:t>Die Bezugsgruppe bei der Darstellung der Impfquote sollte klar und deutlich kommuniziert werden. Der Unterschied der in den Proportionen ist groß und kann zu Missverständnissen führen (Impfquote 60% auf die Gesamtbevölkerung und ca. 80% auf alle Erwachsenen).</w:t>
            </w:r>
          </w:p>
          <w:p>
            <w:pPr>
              <w:pStyle w:val="Liste1"/>
            </w:pPr>
            <w:r>
              <w:t>Im Wochenbericht sollte die Darstellung ggf. angepasst werden oder auf die unterschiedlichen Datenquellen hingewiesen werden. Anpassungen für den kommenden Wochenbericht können bist spätestens Dienstag d. 12.10.2021 angemeldet werden.</w:t>
            </w:r>
          </w:p>
          <w:p>
            <w:pPr>
              <w:pStyle w:val="ToDo"/>
            </w:pPr>
            <w:proofErr w:type="spellStart"/>
            <w:r>
              <w:rPr>
                <w:b/>
              </w:rPr>
              <w:t>ToDo</w:t>
            </w:r>
            <w:proofErr w:type="spellEnd"/>
            <w:r>
              <w:rPr>
                <w:b/>
              </w:rPr>
              <w:t>:</w:t>
            </w:r>
            <w:r>
              <w:t xml:space="preserve"> Kommunikation über die unterschiedlichen Datenquellen und Auswertungen soll diskutiert werden. Presse und P1 diskutieren Möglichkeiten zur entsprechenden Darstellung in unterschiedlichen Medien (z.B. Twitter).</w:t>
            </w:r>
          </w:p>
          <w:p>
            <w:pPr>
              <w:pStyle w:val="2"/>
            </w:pPr>
            <w:r>
              <w:t>Presse</w:t>
            </w:r>
          </w:p>
          <w:p>
            <w:pPr>
              <w:pStyle w:val="Liste1"/>
            </w:pPr>
            <w:r>
              <w:t>(nicht berichtet)</w:t>
            </w:r>
          </w:p>
          <w:p>
            <w:pPr>
              <w:pStyle w:val="2"/>
            </w:pPr>
            <w:r>
              <w:t>P1</w:t>
            </w:r>
          </w:p>
          <w:p>
            <w:pPr>
              <w:pStyle w:val="Liste1"/>
              <w:rPr>
                <w:i/>
              </w:rPr>
            </w:pPr>
            <w:r>
              <w:t>Vergangene Woche wurde über PK und COVIMO getwittert</w:t>
            </w:r>
          </w:p>
          <w:p>
            <w:pPr>
              <w:pStyle w:val="Liste1"/>
              <w:rPr>
                <w:i/>
              </w:rPr>
            </w:pPr>
            <w:r>
              <w:t>2G/3G Flyer wurde veröffentlicht</w:t>
            </w:r>
            <w:r>
              <w:br/>
            </w:r>
          </w:p>
        </w:tc>
        <w:tc>
          <w:tcPr>
            <w:tcW w:w="1463" w:type="dxa"/>
          </w:tcPr>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 xml:space="preserve">Es wurden unterschiedliche Szenarien bzgl. der Isolierungsdauer und abschließender Testung (mit PCR oder Antigen Test) vorgestellt, mehr </w:t>
            </w:r>
            <w:hyperlink r:id="rId14" w:history="1">
              <w:r>
                <w:rPr>
                  <w:rStyle w:val="Hyperlink"/>
                </w:rPr>
                <w:t>h</w:t>
              </w:r>
              <w:r>
                <w:rPr>
                  <w:rStyle w:val="Hyperlink"/>
                </w:rPr>
                <w:t>i</w:t>
              </w:r>
              <w:r>
                <w:rPr>
                  <w:rStyle w:val="Hyperlink"/>
                </w:rPr>
                <w:t>er</w:t>
              </w:r>
            </w:hyperlink>
            <w:r>
              <w:t>.</w:t>
            </w:r>
            <w:bookmarkStart w:id="2" w:name="_GoBack"/>
            <w:bookmarkEnd w:id="2"/>
          </w:p>
          <w:p>
            <w:pPr>
              <w:pStyle w:val="Liste1"/>
            </w:pPr>
            <w:r>
              <w:t xml:space="preserve">Das verbleibende Risiko für Folgefälle kann erheblich ab einer Isolierungsdauer von 10 Tagen verringert werden. Eine abschließende Testung kann dieses noch weiter senken. </w:t>
            </w:r>
          </w:p>
          <w:p>
            <w:pPr>
              <w:pStyle w:val="Liste1"/>
            </w:pPr>
            <w:r>
              <w:t>Die bisher verwendete Strategie von 14 Tage Isolierung + Abschlusstestung zeigen das niedrigste Restrisiko für Folgefälle (0.01%-0.04%; 0,4-2 Fälle statt 4000 Fälle).</w:t>
            </w:r>
          </w:p>
          <w:p>
            <w:pPr>
              <w:pStyle w:val="Liste1"/>
            </w:pPr>
            <w:r>
              <w:t>Auch eine Isolationsdauer von 14 Tagen ohne Testung (RR: 0.06%; 2 Fälle), Isolationsdauer von 10 Tage ohne Testung (RR: 2,1%; 84 Fälle) und mit PCR Testung (RR: 0,4%; 17 Fälle) zeigen ein verringertes Risiko für Folgefälle</w:t>
            </w:r>
          </w:p>
          <w:p>
            <w:pPr>
              <w:pStyle w:val="Liste1"/>
            </w:pPr>
            <w:r>
              <w:t>Eine abschließende Entscheidung für eine angepasste Empfehlung (auch differenziert nach Settings) konnte nicht getroffen werden. Die Mehrheit des Plenums ist für eine Vertagung, sodass die aktuellen Empfehlungen weiter bestehen bleiben.</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lang w:val="en-GB"/>
              </w:rPr>
            </w:pP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(keine)</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p>
          <w:p>
            <w:pPr>
              <w:pStyle w:val="Liste1"/>
            </w:pPr>
            <w:r>
              <w:t>Seit gestern im Stellungnahmeverfahren: Booster-Auffrischungsimpfung und die Empfehlung des Janssen Impfstoffs</w:t>
            </w:r>
          </w:p>
          <w:p>
            <w:pPr>
              <w:pStyle w:val="Liste1"/>
            </w:pPr>
            <w:r>
              <w:t>Die Wirksamkeit des Janssen Impfstoff liegt nach aktueller Einschätzung eher bei 30% und für auf schwere Verläufe eher bei 60%; ähnliches Bild aus anderen Ländern. Daher ist es fraglich ob eine Grundimmunisierung wirklich nach nur einer Dosis gegeben ist, oder ein Booster mit einem anderen Impfstoff angebracht ist.</w:t>
            </w:r>
          </w:p>
          <w:p>
            <w:pPr>
              <w:pStyle w:val="Liste1"/>
            </w:pPr>
            <w:r>
              <w:t>Empfehlung zu Auffrischungsimpfung ist im Entwurf: Alle Personen ab 70 und med. Personal mit Patkontakt, und alle Bewohnerinnen sowie Personal in entsprechenden Einrichtungen</w:t>
            </w:r>
          </w:p>
          <w:p>
            <w:pPr>
              <w:pStyle w:val="Liste1"/>
            </w:pPr>
            <w:r>
              <w:t>Evidenz in Bezug was die Schutzwirkung einer Infektion angeht wird derzeitig gesichtet. Bisherige Annahme sind 6 Monate, dies soll erneut geprüft werden, auch vor dem Hintergrund der DELTA-Variante.</w:t>
            </w:r>
          </w:p>
          <w:p>
            <w:pPr>
              <w:pStyle w:val="Liste1"/>
            </w:pPr>
            <w:r>
              <w:t xml:space="preserve">Gestern fand ein Treffen zwischen STIKO, PEI, BMG statt. Thema wat die Aussetzung von dem </w:t>
            </w:r>
            <w:proofErr w:type="spellStart"/>
            <w:r>
              <w:t>Moderna</w:t>
            </w:r>
            <w:proofErr w:type="spellEnd"/>
            <w:r>
              <w:t xml:space="preserve"> Impfstoff in skandinavischen Ländern.  Grund dafür war eine erhöhte Anzahl an Myokarditis Fällen v.a. unter jungen Menschen. Das Risiko war 4-mal höher beim </w:t>
            </w:r>
            <w:proofErr w:type="spellStart"/>
            <w:r>
              <w:t>Moderna</w:t>
            </w:r>
            <w:proofErr w:type="spellEnd"/>
            <w:r>
              <w:t xml:space="preserve"> als beim </w:t>
            </w:r>
            <w:proofErr w:type="spellStart"/>
            <w:r>
              <w:t>Biontech</w:t>
            </w:r>
            <w:proofErr w:type="spellEnd"/>
            <w:r>
              <w:t xml:space="preserve"> Impfstoff. In Deutschland gibt es noch wenig entsprechende Daten. Diese werden aufgearbeitet. Dies ist auch relevant für eine empfohlene Booster-Impfung</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 xml:space="preserve">Virologisches Sentinel hatte in den letzten 4 </w:t>
            </w:r>
            <w:proofErr w:type="gramStart"/>
            <w:r>
              <w:t>Wochen  552</w:t>
            </w:r>
            <w:proofErr w:type="gramEnd"/>
            <w:r>
              <w:t xml:space="preserve"> Proben, davon:</w:t>
            </w:r>
          </w:p>
          <w:p>
            <w:pPr>
              <w:pStyle w:val="Liste2"/>
            </w:pPr>
            <w:r>
              <w:t>17 SARS-CoV-2</w:t>
            </w:r>
          </w:p>
          <w:p>
            <w:pPr>
              <w:pStyle w:val="Liste2"/>
            </w:pPr>
            <w:r>
              <w:t>207 Rhinovirus</w:t>
            </w:r>
          </w:p>
          <w:p>
            <w:pPr>
              <w:pStyle w:val="Liste2"/>
            </w:pPr>
            <w:r>
              <w:t xml:space="preserve">70 </w:t>
            </w:r>
            <w:proofErr w:type="spellStart"/>
            <w:r>
              <w:t>Parainfluenzavirus</w:t>
            </w:r>
            <w:proofErr w:type="spellEnd"/>
          </w:p>
          <w:p>
            <w:pPr>
              <w:pStyle w:val="Liste2"/>
            </w:pPr>
            <w:r>
              <w:rPr>
                <w:lang w:val="de-DE"/>
              </w:rPr>
              <w:t xml:space="preserve">39 saisonale (endemische) Coronaviren </w:t>
            </w:r>
          </w:p>
          <w:p>
            <w:pPr>
              <w:pStyle w:val="Liste2"/>
            </w:pPr>
            <w:r>
              <w:t>3 Metapneumovirus</w:t>
            </w:r>
          </w:p>
          <w:p>
            <w:pPr>
              <w:pStyle w:val="Liste2"/>
            </w:pPr>
            <w:r>
              <w:t xml:space="preserve">1 </w:t>
            </w:r>
            <w:proofErr w:type="spellStart"/>
            <w:r>
              <w:t>Influenzavirus</w:t>
            </w:r>
            <w:proofErr w:type="spellEnd"/>
          </w:p>
          <w:p>
            <w:pPr>
              <w:pStyle w:val="Liste2"/>
            </w:pPr>
            <w:r>
              <w:t>97 RSV</w:t>
            </w:r>
          </w:p>
          <w:p>
            <w:pPr>
              <w:pStyle w:val="Liste1"/>
            </w:pPr>
            <w:r>
              <w:t>Eine neue Delta-</w:t>
            </w:r>
            <w:proofErr w:type="spellStart"/>
            <w:r>
              <w:t>Sublinie</w:t>
            </w:r>
            <w:proofErr w:type="spellEnd"/>
            <w:r>
              <w:t xml:space="preserve"> wurde ermittelt (AY33 + Mutation). Bisher ca. 30 Sequenzen mit Nachwies. Die Einsendungen kamen aus 9 unterschiedlichen Laboren.</w:t>
            </w:r>
          </w:p>
          <w:p>
            <w:pPr>
              <w:pStyle w:val="2"/>
            </w:pPr>
            <w:r>
              <w:t>ZBS1</w:t>
            </w:r>
          </w:p>
          <w:p>
            <w:pPr>
              <w:pStyle w:val="Liste1"/>
            </w:pPr>
            <w:r>
              <w:t>Umstellung seit letzter Woche hat gut funktioniert.</w:t>
            </w:r>
          </w:p>
          <w:p>
            <w:pPr>
              <w:pStyle w:val="Liste1"/>
            </w:pPr>
            <w:r>
              <w:t>166 Proben, von den 74 Proben positiv waren (ca. 45%)</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lastRenderedPageBreak/>
              <w:t>(nicht berichtet)</w:t>
            </w:r>
          </w:p>
        </w:tc>
        <w:tc>
          <w:tcPr>
            <w:tcW w:w="1463" w:type="dxa"/>
          </w:tcPr>
          <w:p>
            <w:pPr>
              <w:rPr>
                <w:sz w:val="22"/>
                <w:szCs w:val="22"/>
              </w:rPr>
            </w:pPr>
          </w:p>
          <w:p>
            <w:pPr>
              <w:rPr>
                <w:sz w:val="22"/>
                <w:szCs w:val="22"/>
              </w:rPr>
            </w:pPr>
            <w:r>
              <w:rPr>
                <w:sz w:val="22"/>
                <w:szCs w:val="22"/>
              </w:rPr>
              <w:lastRenderedPageBreak/>
              <w:t>ZBS7</w:t>
            </w:r>
          </w:p>
        </w:tc>
      </w:tr>
      <w:tr>
        <w:tc>
          <w:tcPr>
            <w:tcW w:w="684" w:type="dxa"/>
          </w:tcPr>
          <w:p>
            <w:pPr>
              <w:rPr>
                <w:b/>
              </w:rPr>
            </w:pPr>
            <w:r>
              <w:rPr>
                <w:b/>
              </w:rPr>
              <w:lastRenderedPageBreak/>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 xml:space="preserve">Noch keine Rückmeldung vom BMG bezgl. des </w:t>
            </w:r>
            <w:proofErr w:type="spellStart"/>
            <w:r>
              <w:t>Nowcastings</w:t>
            </w:r>
            <w:proofErr w:type="spellEnd"/>
          </w:p>
          <w:p>
            <w:pPr>
              <w:pStyle w:val="Liste1"/>
              <w:numPr>
                <w:ilvl w:val="0"/>
                <w:numId w:val="0"/>
              </w:numPr>
              <w:ind w:left="473"/>
            </w:pP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p>
          <w:p>
            <w:pPr>
              <w:pStyle w:val="Liste1"/>
            </w:pPr>
            <w:r>
              <w:t>Mit Beginn der Herbstferien wird es schwieriger die Schichten zu füllen. Ähnliches ist für die Winterferien zu erwarten.</w:t>
            </w:r>
          </w:p>
          <w:p>
            <w:pPr>
              <w:pStyle w:val="Liste1"/>
            </w:pPr>
            <w:r>
              <w:t>Ein Zwischenbericht wird zurzeit vorbereitet. 01.01.2022 soll dieser fertiggestellt werden.</w:t>
            </w:r>
          </w:p>
          <w:p>
            <w:pPr>
              <w:pStyle w:val="ToDo"/>
            </w:pPr>
            <w:proofErr w:type="spellStart"/>
            <w:r>
              <w:rPr>
                <w:b/>
              </w:rPr>
              <w:t>ToDo</w:t>
            </w:r>
            <w:proofErr w:type="spellEnd"/>
            <w:r>
              <w:rPr>
                <w:b/>
              </w:rPr>
              <w:t>:</w:t>
            </w:r>
            <w:r>
              <w:t xml:space="preserve"> Erneuter Aufruf per Mail soll durch Herrn </w:t>
            </w:r>
            <w:proofErr w:type="spellStart"/>
            <w:r>
              <w:t>Schaade</w:t>
            </w:r>
            <w:proofErr w:type="spellEnd"/>
            <w:r>
              <w:t xml:space="preserve"> erfolgen.</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13.10.2021,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12:57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5BBA57F2"/>
    <w:lvl w:ilvl="0" w:tplc="3E023780">
      <w:start w:val="1"/>
      <w:numFmt w:val="bullet"/>
      <w:pStyle w:val="Liste1"/>
      <w:lvlText w:val=""/>
      <w:lvlJc w:val="left"/>
      <w:pPr>
        <w:ind w:left="473" w:hanging="360"/>
      </w:pPr>
      <w:rPr>
        <w:rFonts w:ascii="Symbol" w:hAnsi="Symbol" w:hint="default"/>
        <w:color w:val="auto"/>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6E65B13"/>
    <w:multiLevelType w:val="hybridMultilevel"/>
    <w:tmpl w:val="645EF006"/>
    <w:lvl w:ilvl="0" w:tplc="CD748998">
      <w:start w:val="1"/>
      <w:numFmt w:val="bullet"/>
      <w:lvlText w:val="•"/>
      <w:lvlJc w:val="left"/>
      <w:pPr>
        <w:tabs>
          <w:tab w:val="num" w:pos="720"/>
        </w:tabs>
        <w:ind w:left="720" w:hanging="360"/>
      </w:pPr>
      <w:rPr>
        <w:rFonts w:ascii="Arial" w:hAnsi="Arial" w:hint="default"/>
      </w:rPr>
    </w:lvl>
    <w:lvl w:ilvl="1" w:tplc="093EF08C" w:tentative="1">
      <w:start w:val="1"/>
      <w:numFmt w:val="bullet"/>
      <w:lvlText w:val="•"/>
      <w:lvlJc w:val="left"/>
      <w:pPr>
        <w:tabs>
          <w:tab w:val="num" w:pos="1440"/>
        </w:tabs>
        <w:ind w:left="1440" w:hanging="360"/>
      </w:pPr>
      <w:rPr>
        <w:rFonts w:ascii="Arial" w:hAnsi="Arial" w:hint="default"/>
      </w:rPr>
    </w:lvl>
    <w:lvl w:ilvl="2" w:tplc="BC00DDE4" w:tentative="1">
      <w:start w:val="1"/>
      <w:numFmt w:val="bullet"/>
      <w:lvlText w:val="•"/>
      <w:lvlJc w:val="left"/>
      <w:pPr>
        <w:tabs>
          <w:tab w:val="num" w:pos="2160"/>
        </w:tabs>
        <w:ind w:left="2160" w:hanging="360"/>
      </w:pPr>
      <w:rPr>
        <w:rFonts w:ascii="Arial" w:hAnsi="Arial" w:hint="default"/>
      </w:rPr>
    </w:lvl>
    <w:lvl w:ilvl="3" w:tplc="154C5F6C" w:tentative="1">
      <w:start w:val="1"/>
      <w:numFmt w:val="bullet"/>
      <w:lvlText w:val="•"/>
      <w:lvlJc w:val="left"/>
      <w:pPr>
        <w:tabs>
          <w:tab w:val="num" w:pos="2880"/>
        </w:tabs>
        <w:ind w:left="2880" w:hanging="360"/>
      </w:pPr>
      <w:rPr>
        <w:rFonts w:ascii="Arial" w:hAnsi="Arial" w:hint="default"/>
      </w:rPr>
    </w:lvl>
    <w:lvl w:ilvl="4" w:tplc="39920C14" w:tentative="1">
      <w:start w:val="1"/>
      <w:numFmt w:val="bullet"/>
      <w:lvlText w:val="•"/>
      <w:lvlJc w:val="left"/>
      <w:pPr>
        <w:tabs>
          <w:tab w:val="num" w:pos="3600"/>
        </w:tabs>
        <w:ind w:left="3600" w:hanging="360"/>
      </w:pPr>
      <w:rPr>
        <w:rFonts w:ascii="Arial" w:hAnsi="Arial" w:hint="default"/>
      </w:rPr>
    </w:lvl>
    <w:lvl w:ilvl="5" w:tplc="B01008B4" w:tentative="1">
      <w:start w:val="1"/>
      <w:numFmt w:val="bullet"/>
      <w:lvlText w:val="•"/>
      <w:lvlJc w:val="left"/>
      <w:pPr>
        <w:tabs>
          <w:tab w:val="num" w:pos="4320"/>
        </w:tabs>
        <w:ind w:left="4320" w:hanging="360"/>
      </w:pPr>
      <w:rPr>
        <w:rFonts w:ascii="Arial" w:hAnsi="Arial" w:hint="default"/>
      </w:rPr>
    </w:lvl>
    <w:lvl w:ilvl="6" w:tplc="2A4AD17A" w:tentative="1">
      <w:start w:val="1"/>
      <w:numFmt w:val="bullet"/>
      <w:lvlText w:val="•"/>
      <w:lvlJc w:val="left"/>
      <w:pPr>
        <w:tabs>
          <w:tab w:val="num" w:pos="5040"/>
        </w:tabs>
        <w:ind w:left="5040" w:hanging="360"/>
      </w:pPr>
      <w:rPr>
        <w:rFonts w:ascii="Arial" w:hAnsi="Arial" w:hint="default"/>
      </w:rPr>
    </w:lvl>
    <w:lvl w:ilvl="7" w:tplc="B7EC90EC" w:tentative="1">
      <w:start w:val="1"/>
      <w:numFmt w:val="bullet"/>
      <w:lvlText w:val="•"/>
      <w:lvlJc w:val="left"/>
      <w:pPr>
        <w:tabs>
          <w:tab w:val="num" w:pos="5760"/>
        </w:tabs>
        <w:ind w:left="5760" w:hanging="360"/>
      </w:pPr>
      <w:rPr>
        <w:rFonts w:ascii="Arial" w:hAnsi="Arial" w:hint="default"/>
      </w:rPr>
    </w:lvl>
    <w:lvl w:ilvl="8" w:tplc="3966654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6"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9"/>
  </w:num>
  <w:num w:numId="8">
    <w:abstractNumId w:val="16"/>
  </w:num>
  <w:num w:numId="9">
    <w:abstractNumId w:val="5"/>
  </w:num>
  <w:num w:numId="10">
    <w:abstractNumId w:val="34"/>
  </w:num>
  <w:num w:numId="11">
    <w:abstractNumId w:val="27"/>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2"/>
  </w:num>
  <w:num w:numId="19">
    <w:abstractNumId w:val="12"/>
  </w:num>
  <w:num w:numId="20">
    <w:abstractNumId w:val="30"/>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6"/>
  </w:num>
  <w:num w:numId="28">
    <w:abstractNumId w:val="33"/>
  </w:num>
  <w:num w:numId="29">
    <w:abstractNumId w:val="16"/>
  </w:num>
  <w:num w:numId="30">
    <w:abstractNumId w:val="16"/>
  </w:num>
  <w:num w:numId="31">
    <w:abstractNumId w:val="31"/>
  </w:num>
  <w:num w:numId="32">
    <w:abstractNumId w:val="25"/>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5"/>
  </w:num>
  <w:num w:numId="44">
    <w:abstractNumId w:val="11"/>
  </w:num>
  <w:num w:numId="45">
    <w:abstractNumId w:val="36"/>
  </w:num>
  <w:num w:numId="46">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91834">
      <w:bodyDiv w:val="1"/>
      <w:marLeft w:val="0"/>
      <w:marRight w:val="0"/>
      <w:marTop w:val="0"/>
      <w:marBottom w:val="0"/>
      <w:divBdr>
        <w:top w:val="none" w:sz="0" w:space="0" w:color="auto"/>
        <w:left w:val="none" w:sz="0" w:space="0" w:color="auto"/>
        <w:bottom w:val="none" w:sz="0" w:space="0" w:color="auto"/>
        <w:right w:val="none" w:sz="0" w:space="0" w:color="auto"/>
      </w:divBdr>
      <w:divsChild>
        <w:div w:id="293491761">
          <w:marLeft w:val="446"/>
          <w:marRight w:val="0"/>
          <w:marTop w:val="0"/>
          <w:marBottom w:val="0"/>
          <w:divBdr>
            <w:top w:val="none" w:sz="0" w:space="0" w:color="auto"/>
            <w:left w:val="none" w:sz="0" w:space="0" w:color="auto"/>
            <w:bottom w:val="none" w:sz="0" w:space="0" w:color="auto"/>
            <w:right w:val="none" w:sz="0" w:space="0" w:color="auto"/>
          </w:divBdr>
        </w:div>
      </w:divsChild>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59263434">
      <w:bodyDiv w:val="1"/>
      <w:marLeft w:val="0"/>
      <w:marRight w:val="0"/>
      <w:marTop w:val="0"/>
      <w:marBottom w:val="0"/>
      <w:divBdr>
        <w:top w:val="none" w:sz="0" w:space="0" w:color="auto"/>
        <w:left w:val="none" w:sz="0" w:space="0" w:color="auto"/>
        <w:bottom w:val="none" w:sz="0" w:space="0" w:color="auto"/>
        <w:right w:val="none" w:sz="0" w:space="0" w:color="auto"/>
      </w:divBdr>
      <w:divsChild>
        <w:div w:id="71705383">
          <w:marLeft w:val="446"/>
          <w:marRight w:val="0"/>
          <w:marTop w:val="0"/>
          <w:marBottom w:val="0"/>
          <w:divBdr>
            <w:top w:val="none" w:sz="0" w:space="0" w:color="auto"/>
            <w:left w:val="none" w:sz="0" w:space="0" w:color="auto"/>
            <w:bottom w:val="none" w:sz="0" w:space="0" w:color="auto"/>
            <w:right w:val="none" w:sz="0" w:space="0" w:color="auto"/>
          </w:divBdr>
        </w:div>
        <w:div w:id="548222442">
          <w:marLeft w:val="446"/>
          <w:marRight w:val="0"/>
          <w:marTop w:val="0"/>
          <w:marBottom w:val="0"/>
          <w:divBdr>
            <w:top w:val="none" w:sz="0" w:space="0" w:color="auto"/>
            <w:left w:val="none" w:sz="0" w:space="0" w:color="auto"/>
            <w:bottom w:val="none" w:sz="0" w:space="0" w:color="auto"/>
            <w:right w:val="none" w:sz="0" w:space="0" w:color="auto"/>
          </w:divBdr>
        </w:div>
        <w:div w:id="1967270680">
          <w:marLeft w:val="446"/>
          <w:marRight w:val="0"/>
          <w:marTop w:val="0"/>
          <w:marBottom w:val="0"/>
          <w:divBdr>
            <w:top w:val="none" w:sz="0" w:space="0" w:color="auto"/>
            <w:left w:val="none" w:sz="0" w:space="0" w:color="auto"/>
            <w:bottom w:val="none" w:sz="0" w:space="0" w:color="auto"/>
            <w:right w:val="none" w:sz="0" w:space="0" w:color="auto"/>
          </w:divBdr>
        </w:div>
        <w:div w:id="1508331249">
          <w:marLeft w:val="446"/>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38273317">
      <w:bodyDiv w:val="1"/>
      <w:marLeft w:val="0"/>
      <w:marRight w:val="0"/>
      <w:marTop w:val="0"/>
      <w:marBottom w:val="0"/>
      <w:divBdr>
        <w:top w:val="none" w:sz="0" w:space="0" w:color="auto"/>
        <w:left w:val="none" w:sz="0" w:space="0" w:color="auto"/>
        <w:bottom w:val="none" w:sz="0" w:space="0" w:color="auto"/>
        <w:right w:val="none" w:sz="0" w:space="0" w:color="auto"/>
      </w:divBdr>
      <w:divsChild>
        <w:div w:id="2046246033">
          <w:marLeft w:val="446"/>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1643871">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08972462">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zga.de/presse/pressemitteilungen/2021-10-08-grossteil-der-bevoelkerung-sieht-corona-schutzimpfung-positiv-ungeimpfte-haben-weniger-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10-08_Lage_AG\LageNational_2021-10-08.ppt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10-08_Lage_AG\COVID-19_internat.%20Lage_2021-10-08.ppt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10-08_Lage_AG\Isolierungsdauer_8Oct21_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E88C9-EDC7-450F-8B24-31B2F5DA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1449</Words>
  <Characters>9134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40</cp:revision>
  <cp:lastPrinted>2020-05-06T16:43:00Z</cp:lastPrinted>
  <dcterms:created xsi:type="dcterms:W3CDTF">2021-05-05T09:19:00Z</dcterms:created>
  <dcterms:modified xsi:type="dcterms:W3CDTF">2021-10-08T20:40:00Z</dcterms:modified>
</cp:coreProperties>
</file>