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20.10.2021,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 xml:space="preserve">Lars </w:t>
      </w:r>
      <w:proofErr w:type="spellStart"/>
      <w:r>
        <w:rPr>
          <w:sz w:val="22"/>
          <w:szCs w:val="22"/>
        </w:rPr>
        <w:t>Schaade</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Nadine Litzba</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Barbara Biere</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rPr>
      </w:pPr>
      <w:r>
        <w:rPr>
          <w:sz w:val="22"/>
        </w:rPr>
        <w:t xml:space="preserve">Wiebe </w:t>
      </w:r>
      <w:proofErr w:type="spellStart"/>
      <w:r>
        <w:rPr>
          <w:sz w:val="22"/>
        </w:rPr>
        <w:t>Külper-Schiek</w:t>
      </w:r>
      <w:proofErr w:type="spellEnd"/>
    </w:p>
    <w:p>
      <w:pPr>
        <w:pStyle w:val="Listenabsatz"/>
        <w:spacing w:after="0"/>
        <w:ind w:left="1440"/>
        <w:contextualSpacing w:val="0"/>
        <w:rPr>
          <w:sz w:val="22"/>
        </w:rPr>
      </w:pP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spacing w:after="0"/>
        <w:ind w:left="1440"/>
        <w:contextualSpacing w:val="0"/>
        <w:rPr>
          <w:sz w:val="22"/>
          <w:szCs w:val="22"/>
        </w:rPr>
      </w:pP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highlight w:val="yellow"/>
        </w:rPr>
      </w:pPr>
      <w:r>
        <w:rPr>
          <w:sz w:val="22"/>
          <w:szCs w:val="22"/>
          <w:highlight w:val="yellow"/>
        </w:rPr>
        <w:t>NN (Bitte eintragen)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 xml:space="preserve">Jasmin </w:t>
      </w:r>
      <w:proofErr w:type="spellStart"/>
      <w:r>
        <w:rPr>
          <w:sz w:val="22"/>
          <w:szCs w:val="22"/>
        </w:rPr>
        <w:t>Benser</w:t>
      </w:r>
      <w:proofErr w:type="spellEnd"/>
    </w:p>
    <w:p>
      <w:pPr>
        <w:pStyle w:val="Listenabsatz"/>
        <w:numPr>
          <w:ilvl w:val="0"/>
          <w:numId w:val="2"/>
        </w:numPr>
        <w:spacing w:after="0"/>
        <w:contextualSpacing w:val="0"/>
        <w:rPr>
          <w:sz w:val="22"/>
          <w:szCs w:val="22"/>
          <w:highlight w:val="yellow"/>
        </w:rPr>
      </w:pPr>
      <w:r>
        <w:rPr>
          <w:sz w:val="22"/>
          <w:szCs w:val="22"/>
          <w:highlight w:val="yellow"/>
        </w:rPr>
        <w:t>Unbekannt</w:t>
      </w:r>
    </w:p>
    <w:p>
      <w:pPr>
        <w:pStyle w:val="Listenabsatz"/>
        <w:numPr>
          <w:ilvl w:val="1"/>
          <w:numId w:val="2"/>
        </w:numPr>
        <w:spacing w:after="0"/>
        <w:contextualSpacing w:val="0"/>
        <w:rPr>
          <w:sz w:val="22"/>
          <w:szCs w:val="22"/>
          <w:highlight w:val="yellow"/>
        </w:rPr>
      </w:pPr>
      <w:r>
        <w:rPr>
          <w:sz w:val="22"/>
          <w:szCs w:val="22"/>
          <w:highlight w:val="yellow"/>
        </w:rPr>
        <w:t>Tel.: 1375000709 (Bitte eintragen)</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numPr>
                <w:ilvl w:val="0"/>
                <w:numId w:val="8"/>
              </w:numPr>
            </w:pPr>
            <w:r>
              <w:t>nicht berichtet</w:t>
            </w:r>
          </w:p>
          <w:p>
            <w:pPr>
              <w:pStyle w:val="Liste2"/>
              <w:numPr>
                <w:ilvl w:val="0"/>
                <w:numId w:val="0"/>
              </w:numPr>
              <w:ind w:left="833" w:hanging="360"/>
              <w:rPr>
                <w:lang w:val="de-DE"/>
              </w:rPr>
            </w:pPr>
          </w:p>
          <w:p>
            <w:pPr>
              <w:pStyle w:val="Liste2"/>
              <w:numPr>
                <w:ilvl w:val="0"/>
                <w:numId w:val="0"/>
              </w:numPr>
            </w:pPr>
          </w:p>
          <w:p>
            <w:pPr>
              <w:pStyle w:val="2"/>
            </w:pPr>
            <w:r>
              <w:t xml:space="preserve">National </w:t>
            </w:r>
          </w:p>
          <w:p>
            <w:pPr>
              <w:pStyle w:val="Liste1"/>
              <w:numPr>
                <w:ilvl w:val="0"/>
                <w:numId w:val="8"/>
              </w:numPr>
            </w:pPr>
            <w:r>
              <w:t xml:space="preserve">Fallzahlen, Todesfälle, Trend, </w:t>
            </w:r>
            <w:hyperlink r:id="rId14" w:history="1">
              <w:r>
                <w:rPr>
                  <w:rStyle w:val="Hyperlink"/>
                </w:rPr>
                <w:t>Folien hier</w:t>
              </w:r>
            </w:hyperlink>
          </w:p>
          <w:p>
            <w:pPr>
              <w:pStyle w:val="Liste1"/>
              <w:numPr>
                <w:ilvl w:val="0"/>
                <w:numId w:val="8"/>
              </w:numPr>
            </w:pPr>
            <w:proofErr w:type="spellStart"/>
            <w:r>
              <w:t>SurvNet</w:t>
            </w:r>
            <w:proofErr w:type="spellEnd"/>
            <w:r>
              <w:t xml:space="preserve"> übermittelt: </w:t>
            </w:r>
            <w:proofErr w:type="spellStart"/>
            <w:r>
              <w:t>SurvNet</w:t>
            </w:r>
            <w:proofErr w:type="spellEnd"/>
            <w:r>
              <w:t xml:space="preserve"> übermittelt: 4.401.631 (+17.015), davon 94.808 (+92) Todesfälle </w:t>
            </w:r>
          </w:p>
          <w:p>
            <w:pPr>
              <w:pStyle w:val="Liste1"/>
              <w:numPr>
                <w:ilvl w:val="0"/>
                <w:numId w:val="8"/>
              </w:numPr>
            </w:pPr>
            <w:r>
              <w:t xml:space="preserve">7-Tage-Inzidenz:  80,4/100.000 </w:t>
            </w:r>
            <w:proofErr w:type="spellStart"/>
            <w:r>
              <w:t>Einw</w:t>
            </w:r>
            <w:proofErr w:type="spellEnd"/>
            <w:r>
              <w:t>.</w:t>
            </w:r>
          </w:p>
          <w:p>
            <w:pPr>
              <w:pStyle w:val="Liste1"/>
              <w:numPr>
                <w:ilvl w:val="0"/>
                <w:numId w:val="8"/>
              </w:numPr>
            </w:pPr>
            <w:proofErr w:type="spellStart"/>
            <w:r>
              <w:t>Impfmonitoring</w:t>
            </w:r>
            <w:proofErr w:type="spellEnd"/>
            <w:r>
              <w:t>: Geimpfte mit 1. Dosis 57.326.792 (68,9%), mit vollständiger Impfung 54.807.710 (65,9%)</w:t>
            </w:r>
          </w:p>
          <w:p>
            <w:pPr>
              <w:pStyle w:val="Liste1"/>
              <w:numPr>
                <w:ilvl w:val="0"/>
                <w:numId w:val="8"/>
              </w:numPr>
            </w:pPr>
            <w:r>
              <w:t>7-d- R-Wert bei &gt;1 (1,07)</w:t>
            </w:r>
          </w:p>
          <w:p>
            <w:pPr>
              <w:pStyle w:val="Liste1"/>
              <w:numPr>
                <w:ilvl w:val="0"/>
                <w:numId w:val="8"/>
              </w:numPr>
            </w:pPr>
            <w:r>
              <w:t>Verlauf der 7-Tage-Inzidenz der Bundesländer:</w:t>
            </w:r>
          </w:p>
          <w:p>
            <w:pPr>
              <w:pStyle w:val="Liste3"/>
              <w:numPr>
                <w:ilvl w:val="1"/>
                <w:numId w:val="8"/>
              </w:numPr>
            </w:pPr>
            <w:r>
              <w:t>Starker Anstieg in Thüringen, Sachsen, Bayern, leichter Anstieg in BaWü, Berlin, Brandenburg und Schleswig-Holstein</w:t>
            </w:r>
          </w:p>
          <w:p>
            <w:pPr>
              <w:pStyle w:val="Liste3"/>
              <w:numPr>
                <w:ilvl w:val="1"/>
                <w:numId w:val="8"/>
              </w:numPr>
            </w:pPr>
            <w:r>
              <w:t xml:space="preserve">Geografische Verteilung: Inzidenzen höher im Süden und Osten, 8 LK mit 7d-Inzidenz&gt;250: die meisten in Bayern, außer Kyffhäuser Kreis (Thüringen)  </w:t>
            </w:r>
          </w:p>
          <w:p>
            <w:pPr>
              <w:pStyle w:val="Liste3"/>
              <w:numPr>
                <w:ilvl w:val="1"/>
                <w:numId w:val="8"/>
              </w:numPr>
            </w:pPr>
            <w:r>
              <w:t xml:space="preserve">Weniger al 20% der LK haben eine 7d-Inzidenz unter 50/100.000 </w:t>
            </w:r>
            <w:proofErr w:type="spellStart"/>
            <w:r>
              <w:t>Einw</w:t>
            </w:r>
            <w:proofErr w:type="spellEnd"/>
            <w:r>
              <w:t>.</w:t>
            </w:r>
          </w:p>
          <w:p>
            <w:pPr>
              <w:pStyle w:val="Liste1"/>
              <w:numPr>
                <w:ilvl w:val="0"/>
                <w:numId w:val="8"/>
              </w:numPr>
            </w:pPr>
            <w:proofErr w:type="spellStart"/>
            <w:r>
              <w:t>Heatmap</w:t>
            </w:r>
            <w:proofErr w:type="spellEnd"/>
            <w:r>
              <w:t xml:space="preserve"> nach Altersgruppen: In fast allen AG gibt es einen Anstieg, am stärksten bei den 10-14-Jährigen </w:t>
            </w:r>
          </w:p>
          <w:p>
            <w:pPr>
              <w:pStyle w:val="Liste1"/>
              <w:numPr>
                <w:ilvl w:val="0"/>
                <w:numId w:val="8"/>
              </w:numPr>
            </w:pPr>
            <w:r>
              <w:t xml:space="preserve">Inzidenz nach Altersgruppen: in der AG 10-19 gibt es 15 LK mit einer 7d-Inzidenz &gt;500/100.000 </w:t>
            </w:r>
            <w:proofErr w:type="spellStart"/>
            <w:r>
              <w:t>Einw</w:t>
            </w:r>
            <w:proofErr w:type="spellEnd"/>
            <w:r>
              <w:t>. Auch die Inzidenz bei den Älteren (50-59 Jahre) steigt in einigen BL (Bayern, Thüringen und Sachsen) an</w:t>
            </w:r>
          </w:p>
          <w:p>
            <w:pPr>
              <w:pStyle w:val="Liste1"/>
              <w:numPr>
                <w:ilvl w:val="0"/>
                <w:numId w:val="8"/>
              </w:numPr>
              <w:rPr>
                <w:rStyle w:val="TagMiZchn"/>
                <w:b w:val="0"/>
                <w:bCs/>
              </w:rPr>
            </w:pPr>
            <w:r>
              <w:rPr>
                <w:rStyle w:val="3Zchn"/>
                <w:b w:val="0"/>
              </w:rPr>
              <w:t>Testkapazität und Testungen</w:t>
            </w:r>
            <w:r>
              <w:t xml:space="preserve"> </w:t>
            </w:r>
            <w:r>
              <w:rPr>
                <w:rStyle w:val="TagMiZchn"/>
                <w:bCs/>
              </w:rPr>
              <w:t xml:space="preserve">(nur mittwochs) </w:t>
            </w:r>
          </w:p>
          <w:p>
            <w:pPr>
              <w:pStyle w:val="Liste1"/>
              <w:numPr>
                <w:ilvl w:val="0"/>
                <w:numId w:val="8"/>
              </w:numPr>
            </w:pPr>
            <w:hyperlink r:id="rId15" w:history="1">
              <w:r>
                <w:rPr>
                  <w:rStyle w:val="Hyperlink"/>
                </w:rPr>
                <w:t>Folien hier</w:t>
              </w:r>
            </w:hyperlink>
          </w:p>
          <w:p>
            <w:pPr>
              <w:pStyle w:val="Liste1"/>
              <w:numPr>
                <w:ilvl w:val="0"/>
                <w:numId w:val="8"/>
              </w:numPr>
            </w:pPr>
            <w:r>
              <w:t xml:space="preserve">Zahl der Testungen im Vgl. zur Vorwoche um 12% zurück gegangen (ca. 800.000), Anstieg der </w:t>
            </w:r>
            <w:proofErr w:type="spellStart"/>
            <w:r>
              <w:t>Testpositivenrate</w:t>
            </w:r>
            <w:proofErr w:type="spellEnd"/>
            <w:r>
              <w:t xml:space="preserve"> (PA) von 6,5 auf 8,3, Laborauslastung steigt, aber ist akzeptabel, Kapazitäten sind vorhanden</w:t>
            </w:r>
          </w:p>
          <w:p>
            <w:pPr>
              <w:pStyle w:val="Liste1"/>
              <w:numPr>
                <w:ilvl w:val="0"/>
                <w:numId w:val="8"/>
              </w:numPr>
            </w:pPr>
            <w:r>
              <w:t xml:space="preserve">ARS-Daten </w:t>
            </w:r>
            <w:hyperlink r:id="rId16" w:history="1">
              <w:r>
                <w:rPr>
                  <w:rStyle w:val="Hyperlink"/>
                </w:rPr>
                <w:t>Folien hier</w:t>
              </w:r>
            </w:hyperlink>
            <w:r>
              <w:t xml:space="preserve"> </w:t>
            </w:r>
          </w:p>
          <w:p>
            <w:pPr>
              <w:pStyle w:val="Liste1"/>
              <w:numPr>
                <w:ilvl w:val="0"/>
                <w:numId w:val="8"/>
              </w:numPr>
            </w:pPr>
            <w:r>
              <w:t xml:space="preserve">Rückgang der Testungen bei gleichzeitigem Anstieg der </w:t>
            </w:r>
            <w:proofErr w:type="spellStart"/>
            <w:r>
              <w:t>Testpositivenrate</w:t>
            </w:r>
            <w:proofErr w:type="spellEnd"/>
          </w:p>
          <w:p>
            <w:pPr>
              <w:pStyle w:val="Liste1"/>
              <w:numPr>
                <w:ilvl w:val="0"/>
                <w:numId w:val="8"/>
              </w:numPr>
            </w:pPr>
            <w:r>
              <w:t xml:space="preserve">Rückgang der Testungen ist </w:t>
            </w:r>
            <w:bookmarkStart w:id="1" w:name="_GoBack"/>
            <w:bookmarkEnd w:id="1"/>
            <w:r>
              <w:t xml:space="preserve">vor allem auf Rückgang von </w:t>
            </w:r>
            <w:proofErr w:type="spellStart"/>
            <w:r>
              <w:t>Lollitestungen</w:t>
            </w:r>
            <w:proofErr w:type="spellEnd"/>
            <w:r>
              <w:t xml:space="preserve"> in der AG 5-14 Jahren in NRW zurückzuführen (aktuell Ferien), Testzahlen in Arztpraxen und Krankenhäusern konstant</w:t>
            </w:r>
          </w:p>
          <w:p>
            <w:pPr>
              <w:pStyle w:val="Liste1"/>
              <w:numPr>
                <w:ilvl w:val="0"/>
                <w:numId w:val="8"/>
              </w:numPr>
            </w:pPr>
            <w:r>
              <w:lastRenderedPageBreak/>
              <w:t xml:space="preserve">Anstieg der </w:t>
            </w:r>
            <w:proofErr w:type="spellStart"/>
            <w:r>
              <w:t>Testpositivenrate</w:t>
            </w:r>
            <w:proofErr w:type="spellEnd"/>
            <w:r>
              <w:t xml:space="preserve"> vor allem in Bayern, Sachsen, Thüringen, Brandenburg</w:t>
            </w:r>
          </w:p>
          <w:p>
            <w:pPr>
              <w:pStyle w:val="Liste1"/>
              <w:numPr>
                <w:ilvl w:val="0"/>
                <w:numId w:val="8"/>
              </w:numPr>
            </w:pPr>
            <w:r>
              <w:t>Ausbrüche: 55 Ausbrüche in Krankenhäusern und 78 Ausbrüche in medizinischen Einrichtungen</w:t>
            </w:r>
          </w:p>
          <w:p>
            <w:pPr>
              <w:pStyle w:val="Liste1"/>
              <w:numPr>
                <w:ilvl w:val="0"/>
                <w:numId w:val="8"/>
              </w:numPr>
            </w:pPr>
            <w:r>
              <w:t xml:space="preserve">VOCs </w:t>
            </w:r>
            <w:hyperlink r:id="rId17" w:history="1">
              <w:r>
                <w:rPr>
                  <w:rStyle w:val="Hyperlink"/>
                </w:rPr>
                <w:t>Folien hier</w:t>
              </w:r>
            </w:hyperlink>
          </w:p>
          <w:p>
            <w:pPr>
              <w:pStyle w:val="Liste1"/>
              <w:numPr>
                <w:ilvl w:val="0"/>
                <w:numId w:val="8"/>
              </w:numPr>
            </w:pPr>
            <w:r>
              <w:t>100% Delta (=Ay 4.2) (in der letzten Woche keine anderen Varianten)</w:t>
            </w:r>
          </w:p>
          <w:p>
            <w:pPr>
              <w:pStyle w:val="Liste1"/>
              <w:numPr>
                <w:ilvl w:val="0"/>
                <w:numId w:val="8"/>
              </w:numPr>
              <w:rPr>
                <w:lang w:val="en-US"/>
              </w:rPr>
            </w:pPr>
            <w:r>
              <w:rPr>
                <w:lang w:val="en-US"/>
              </w:rPr>
              <w:t>VOI: My/Lambda: 0 in KW 40</w:t>
            </w:r>
          </w:p>
          <w:p>
            <w:pPr>
              <w:pStyle w:val="Liste1"/>
              <w:numPr>
                <w:ilvl w:val="0"/>
                <w:numId w:val="8"/>
              </w:numPr>
              <w:rPr>
                <w:lang w:val="en-US"/>
              </w:rPr>
            </w:pPr>
            <w:proofErr w:type="spellStart"/>
            <w:r>
              <w:rPr>
                <w:lang w:val="en-US"/>
              </w:rPr>
              <w:t>Sublinie</w:t>
            </w:r>
            <w:proofErr w:type="spellEnd"/>
            <w:r>
              <w:rPr>
                <w:lang w:val="en-US"/>
              </w:rPr>
              <w:t xml:space="preserve"> Ay.33: </w:t>
            </w:r>
            <w:proofErr w:type="spellStart"/>
            <w:r>
              <w:rPr>
                <w:lang w:val="en-US"/>
              </w:rPr>
              <w:t>Anteil</w:t>
            </w:r>
            <w:proofErr w:type="spellEnd"/>
            <w:r>
              <w:rPr>
                <w:lang w:val="en-US"/>
              </w:rPr>
              <w:t xml:space="preserve"> </w:t>
            </w:r>
            <w:proofErr w:type="spellStart"/>
            <w:r>
              <w:rPr>
                <w:lang w:val="en-US"/>
              </w:rPr>
              <w:t>konstant</w:t>
            </w:r>
            <w:proofErr w:type="spellEnd"/>
          </w:p>
          <w:p>
            <w:pPr>
              <w:pStyle w:val="Liste1"/>
              <w:numPr>
                <w:ilvl w:val="0"/>
                <w:numId w:val="8"/>
              </w:numPr>
              <w:rPr>
                <w:lang w:val="en-US"/>
              </w:rPr>
            </w:pPr>
            <w:r>
              <w:rPr>
                <w:lang w:val="en-US"/>
              </w:rPr>
              <w:t xml:space="preserve">Ay1 (“Delta+” </w:t>
            </w:r>
            <w:proofErr w:type="spellStart"/>
            <w:r>
              <w:rPr>
                <w:lang w:val="en-US"/>
              </w:rPr>
              <w:t>Variante</w:t>
            </w:r>
            <w:proofErr w:type="spellEnd"/>
            <w:r>
              <w:rPr>
                <w:lang w:val="en-US"/>
              </w:rPr>
              <w:t xml:space="preserve">): </w:t>
            </w:r>
            <w:proofErr w:type="spellStart"/>
            <w:r>
              <w:rPr>
                <w:lang w:val="en-US"/>
              </w:rPr>
              <w:t>sporadisch</w:t>
            </w:r>
            <w:proofErr w:type="spellEnd"/>
          </w:p>
          <w:p>
            <w:pPr>
              <w:pStyle w:val="Liste1"/>
              <w:numPr>
                <w:ilvl w:val="0"/>
                <w:numId w:val="8"/>
              </w:numPr>
            </w:pPr>
            <w:r>
              <w:t>Ay 4.2 (ne u in UK aufgetreten): Vorkommen in D wird in nächster Zeit genauer analysiert</w:t>
            </w:r>
          </w:p>
          <w:p>
            <w:pPr>
              <w:pStyle w:val="Liste1"/>
              <w:numPr>
                <w:ilvl w:val="0"/>
                <w:numId w:val="8"/>
              </w:numPr>
            </w:pPr>
            <w:r>
              <w:t>Sequenzierungen bilden 5% der Meldefälle ab</w:t>
            </w:r>
          </w:p>
          <w:p>
            <w:pPr>
              <w:pStyle w:val="Liste1"/>
              <w:numPr>
                <w:ilvl w:val="0"/>
                <w:numId w:val="8"/>
              </w:numPr>
            </w:pPr>
            <w:r>
              <w:t>Kumulativer Wachstumsplot: Delta wird Alpha bald in absoluter Zahl übertreffen</w:t>
            </w:r>
          </w:p>
          <w:p>
            <w:pPr>
              <w:pStyle w:val="Liste1"/>
              <w:numPr>
                <w:ilvl w:val="0"/>
                <w:numId w:val="8"/>
              </w:numPr>
            </w:pPr>
            <w:proofErr w:type="spellStart"/>
            <w:r>
              <w:t>Syndromische</w:t>
            </w:r>
            <w:proofErr w:type="spellEnd"/>
            <w:r>
              <w:t xml:space="preserve"> Surveillance</w:t>
            </w:r>
            <w:r>
              <w:rPr>
                <w:rStyle w:val="TagMiZchn"/>
              </w:rPr>
              <w:t xml:space="preserve"> (nur mittwochs)</w:t>
            </w:r>
            <w:r>
              <w:rPr>
                <w:i/>
                <w:color w:val="D99594" w:themeColor="accent2" w:themeTint="99"/>
                <w:sz w:val="20"/>
                <w:szCs w:val="20"/>
              </w:rPr>
              <w:t xml:space="preserve"> </w:t>
            </w:r>
          </w:p>
          <w:p>
            <w:pPr>
              <w:pStyle w:val="Liste1"/>
              <w:numPr>
                <w:ilvl w:val="0"/>
                <w:numId w:val="8"/>
              </w:numPr>
            </w:pPr>
            <w:hyperlink r:id="rId18" w:history="1">
              <w:r>
                <w:rPr>
                  <w:rStyle w:val="Hyperlink"/>
                </w:rPr>
                <w:t>Folien hier</w:t>
              </w:r>
            </w:hyperlink>
          </w:p>
          <w:p>
            <w:pPr>
              <w:pStyle w:val="Liste1"/>
              <w:numPr>
                <w:ilvl w:val="0"/>
                <w:numId w:val="8"/>
              </w:numPr>
            </w:pPr>
            <w:proofErr w:type="spellStart"/>
            <w:r>
              <w:t>GrippeWeb</w:t>
            </w:r>
            <w:proofErr w:type="spellEnd"/>
            <w:r>
              <w:t xml:space="preserve"> (41. KW): 5,4 Mio. ARE (5,3 in KW 40); Im Vgl. zur Vorwoche deutlicher Rückgang bei den 0-4-Jährigen, deutlicher Anstieg bei Ü60-Jährigen</w:t>
            </w:r>
          </w:p>
          <w:p>
            <w:pPr>
              <w:pStyle w:val="Liste2"/>
              <w:numPr>
                <w:ilvl w:val="0"/>
                <w:numId w:val="8"/>
              </w:numPr>
              <w:rPr>
                <w:lang w:val="de-DE"/>
              </w:rPr>
            </w:pPr>
            <w:r>
              <w:rPr>
                <w:lang w:val="de-DE"/>
              </w:rPr>
              <w:t xml:space="preserve">AG Influenza: 1300 Arztkonsultationen wegen ARE pro 100.000 </w:t>
            </w:r>
            <w:proofErr w:type="spellStart"/>
            <w:r>
              <w:rPr>
                <w:lang w:val="de-DE"/>
              </w:rPr>
              <w:t>Einw</w:t>
            </w:r>
            <w:proofErr w:type="spellEnd"/>
            <w:r>
              <w:rPr>
                <w:lang w:val="de-DE"/>
              </w:rPr>
              <w:t>. Heterogenes Bild in den einzelnen BL, aber korreliert nicht zwangsläufig mit Ferien, z.B. Rückgang in Thüringen, obwohl keine Ferien</w:t>
            </w:r>
          </w:p>
          <w:p>
            <w:pPr>
              <w:pStyle w:val="Liste2"/>
              <w:numPr>
                <w:ilvl w:val="0"/>
                <w:numId w:val="8"/>
              </w:numPr>
              <w:rPr>
                <w:lang w:val="de-DE"/>
              </w:rPr>
            </w:pPr>
            <w:r>
              <w:rPr>
                <w:lang w:val="de-DE"/>
              </w:rPr>
              <w:t>KH-Surveillance: Anstieg nicht fortgesetzt: SARI Fallzahlen gesunken in allen AG, aber bei 0-4-Jährigen sehr hohe Fallzahlen (72% RSV)</w:t>
            </w:r>
          </w:p>
          <w:p>
            <w:pPr>
              <w:pStyle w:val="Liste2"/>
              <w:numPr>
                <w:ilvl w:val="0"/>
                <w:numId w:val="8"/>
              </w:numPr>
              <w:rPr>
                <w:lang w:val="de-DE"/>
              </w:rPr>
            </w:pPr>
            <w:r>
              <w:rPr>
                <w:lang w:val="de-DE"/>
              </w:rPr>
              <w:t xml:space="preserve">ICOSARI: Bei AG 35-59 48% COVID-19 </w:t>
            </w:r>
          </w:p>
          <w:p>
            <w:pPr>
              <w:pStyle w:val="Liste2"/>
              <w:numPr>
                <w:ilvl w:val="0"/>
                <w:numId w:val="8"/>
              </w:numPr>
              <w:rPr>
                <w:lang w:val="de-DE"/>
              </w:rPr>
            </w:pPr>
            <w:r>
              <w:rPr>
                <w:lang w:val="de-DE"/>
              </w:rPr>
              <w:t>SARI Fälle mit COVID-19: erst Anstieg, jetzt Abfall genauso die ITS Fälle</w:t>
            </w:r>
          </w:p>
          <w:p>
            <w:pPr>
              <w:pStyle w:val="Liste2"/>
              <w:numPr>
                <w:ilvl w:val="0"/>
                <w:numId w:val="8"/>
              </w:numPr>
              <w:rPr>
                <w:lang w:val="de-DE"/>
              </w:rPr>
            </w:pPr>
            <w:r>
              <w:rPr>
                <w:lang w:val="de-DE"/>
              </w:rPr>
              <w:t>Ausbrüche in Kitas: 166 Ausbrücke in den letzten 4 Wochen</w:t>
            </w:r>
          </w:p>
          <w:p>
            <w:pPr>
              <w:pStyle w:val="Liste1"/>
              <w:numPr>
                <w:ilvl w:val="0"/>
                <w:numId w:val="8"/>
              </w:numPr>
            </w:pPr>
            <w:r>
              <w:t>Ausbrüche in Schulen: 758 Ausbrüche, die meisten in BaWü und Sachsen</w:t>
            </w:r>
          </w:p>
          <w:p>
            <w:pPr>
              <w:pStyle w:val="Liste1"/>
              <w:numPr>
                <w:ilvl w:val="0"/>
                <w:numId w:val="8"/>
              </w:numPr>
              <w:rPr>
                <w:i/>
                <w:color w:val="D99594" w:themeColor="accent2" w:themeTint="99"/>
              </w:rPr>
            </w:pPr>
            <w:r>
              <w:t xml:space="preserve">Virologische Surveillance, NRZ Influenza-Daten </w:t>
            </w:r>
          </w:p>
          <w:p>
            <w:pPr>
              <w:pStyle w:val="Liste1"/>
              <w:numPr>
                <w:ilvl w:val="0"/>
                <w:numId w:val="8"/>
              </w:numPr>
              <w:rPr>
                <w:rStyle w:val="TagMiZchn"/>
                <w:b w:val="0"/>
              </w:rPr>
            </w:pPr>
            <w:hyperlink r:id="rId19" w:history="1">
              <w:r>
                <w:rPr>
                  <w:rStyle w:val="Hyperlink"/>
                </w:rPr>
                <w:t>Folien hier</w:t>
              </w:r>
            </w:hyperlink>
          </w:p>
          <w:p>
            <w:pPr>
              <w:pStyle w:val="Liste1"/>
              <w:numPr>
                <w:ilvl w:val="0"/>
                <w:numId w:val="8"/>
              </w:numPr>
              <w:rPr>
                <w:rStyle w:val="TagMiZchn"/>
                <w:b w:val="0"/>
                <w:color w:val="auto"/>
              </w:rPr>
            </w:pPr>
            <w:r>
              <w:rPr>
                <w:rStyle w:val="TagMiZchn"/>
                <w:b w:val="0"/>
                <w:i w:val="0"/>
                <w:color w:val="auto"/>
              </w:rPr>
              <w:t>In KW 41 gab es 176 Einsendungen (davon 50% von Kindern unter 15 Jahren) aus 57 Arztpraxen und 14 BL; insgesamt blieb damit die Einsendezahl konstant</w:t>
            </w:r>
          </w:p>
          <w:p>
            <w:pPr>
              <w:pStyle w:val="Liste1"/>
              <w:numPr>
                <w:ilvl w:val="0"/>
                <w:numId w:val="8"/>
              </w:numPr>
              <w:rPr>
                <w:rStyle w:val="TagMiZchn"/>
                <w:b w:val="0"/>
                <w:i w:val="0"/>
                <w:color w:val="auto"/>
              </w:rPr>
            </w:pPr>
            <w:r>
              <w:rPr>
                <w:rStyle w:val="TagMiZchn"/>
                <w:b w:val="0"/>
                <w:i w:val="0"/>
                <w:color w:val="auto"/>
              </w:rPr>
              <w:t xml:space="preserve">Der </w:t>
            </w:r>
            <w:proofErr w:type="spellStart"/>
            <w:r>
              <w:rPr>
                <w:rStyle w:val="TagMiZchn"/>
                <w:b w:val="0"/>
                <w:i w:val="0"/>
                <w:color w:val="auto"/>
              </w:rPr>
              <w:t>Positivenanteil</w:t>
            </w:r>
            <w:proofErr w:type="spellEnd"/>
            <w:r>
              <w:rPr>
                <w:rStyle w:val="TagMiZchn"/>
                <w:b w:val="0"/>
                <w:i w:val="0"/>
                <w:color w:val="auto"/>
              </w:rPr>
              <w:t xml:space="preserve"> für einen Virusfund betrug 73% (129/176)</w:t>
            </w:r>
          </w:p>
          <w:p>
            <w:pPr>
              <w:pStyle w:val="Liste1"/>
              <w:numPr>
                <w:ilvl w:val="0"/>
                <w:numId w:val="8"/>
              </w:numPr>
              <w:rPr>
                <w:rStyle w:val="TagMiZchn"/>
                <w:b w:val="0"/>
                <w:i w:val="0"/>
                <w:color w:val="auto"/>
              </w:rPr>
            </w:pPr>
            <w:r>
              <w:rPr>
                <w:rStyle w:val="TagMiZchn"/>
                <w:b w:val="0"/>
                <w:i w:val="0"/>
                <w:color w:val="auto"/>
              </w:rPr>
              <w:t>2-3% SARS-CoV-2</w:t>
            </w:r>
          </w:p>
          <w:p>
            <w:pPr>
              <w:pStyle w:val="Liste1"/>
              <w:numPr>
                <w:ilvl w:val="0"/>
                <w:numId w:val="8"/>
              </w:numPr>
              <w:rPr>
                <w:rStyle w:val="TagMiZchn"/>
                <w:b w:val="0"/>
                <w:i w:val="0"/>
                <w:color w:val="auto"/>
              </w:rPr>
            </w:pPr>
            <w:r>
              <w:rPr>
                <w:rStyle w:val="TagMiZchn"/>
                <w:b w:val="0"/>
                <w:i w:val="0"/>
                <w:color w:val="auto"/>
              </w:rPr>
              <w:t>Sporadische Influenzanachweise (H3N2)</w:t>
            </w:r>
          </w:p>
          <w:p>
            <w:pPr>
              <w:pStyle w:val="Liste1"/>
              <w:numPr>
                <w:ilvl w:val="0"/>
                <w:numId w:val="8"/>
              </w:numPr>
              <w:rPr>
                <w:rStyle w:val="TagMiZchn"/>
                <w:b w:val="0"/>
                <w:i w:val="0"/>
                <w:color w:val="auto"/>
              </w:rPr>
            </w:pPr>
            <w:r>
              <w:rPr>
                <w:rStyle w:val="TagMiZchn"/>
                <w:b w:val="0"/>
                <w:i w:val="0"/>
                <w:color w:val="auto"/>
              </w:rPr>
              <w:t>20% endemische Coronaviren (OC43, sporadisch 229E)</w:t>
            </w:r>
          </w:p>
          <w:p>
            <w:pPr>
              <w:pStyle w:val="Liste1"/>
              <w:numPr>
                <w:ilvl w:val="0"/>
                <w:numId w:val="8"/>
              </w:numPr>
              <w:rPr>
                <w:rStyle w:val="TagMiZchn"/>
                <w:b w:val="0"/>
                <w:i w:val="0"/>
                <w:color w:val="auto"/>
              </w:rPr>
            </w:pPr>
            <w:r>
              <w:rPr>
                <w:rStyle w:val="TagMiZchn"/>
                <w:b w:val="0"/>
                <w:i w:val="0"/>
                <w:color w:val="auto"/>
              </w:rPr>
              <w:t xml:space="preserve">Sonstige ARE: RSV und </w:t>
            </w:r>
            <w:proofErr w:type="spellStart"/>
            <w:r>
              <w:rPr>
                <w:rStyle w:val="TagMiZchn"/>
                <w:b w:val="0"/>
                <w:i w:val="0"/>
                <w:color w:val="auto"/>
              </w:rPr>
              <w:t>Rhinoviren</w:t>
            </w:r>
            <w:proofErr w:type="spellEnd"/>
            <w:r>
              <w:rPr>
                <w:rStyle w:val="TagMiZchn"/>
                <w:b w:val="0"/>
                <w:i w:val="0"/>
                <w:color w:val="auto"/>
              </w:rPr>
              <w:t xml:space="preserve"> hatten den größten Anteil (je ca. 30%), ebenfalls Nachweise von Parainfluenzaviren und HMPV</w:t>
            </w:r>
          </w:p>
          <w:p>
            <w:pPr>
              <w:pStyle w:val="Liste1"/>
              <w:numPr>
                <w:ilvl w:val="0"/>
                <w:numId w:val="8"/>
              </w:numPr>
              <w:rPr>
                <w:rStyle w:val="TagMiZchn"/>
                <w:b w:val="0"/>
                <w:bCs/>
              </w:rPr>
            </w:pPr>
            <w:r>
              <w:t xml:space="preserve">Zahlen zum DIVI-Intensivregister </w:t>
            </w:r>
            <w:r>
              <w:rPr>
                <w:rStyle w:val="TagMiZchn"/>
                <w:bCs/>
              </w:rPr>
              <w:t>(nur mittwochs)</w:t>
            </w:r>
            <w:r>
              <w:rPr>
                <w:rStyle w:val="TagMiZchn"/>
                <w:bCs/>
                <w:i w:val="0"/>
              </w:rPr>
              <w:t xml:space="preserve"> </w:t>
            </w:r>
            <w:hyperlink r:id="rId20" w:history="1">
              <w:r>
                <w:rPr>
                  <w:rStyle w:val="Hyperlink"/>
                  <w:bCs/>
                </w:rPr>
                <w:t>Folien hier</w:t>
              </w:r>
            </w:hyperlink>
          </w:p>
          <w:p>
            <w:pPr>
              <w:pStyle w:val="Liste2"/>
              <w:numPr>
                <w:ilvl w:val="0"/>
                <w:numId w:val="8"/>
              </w:numPr>
              <w:rPr>
                <w:lang w:val="de-DE"/>
              </w:rPr>
            </w:pPr>
            <w:r>
              <w:rPr>
                <w:lang w:val="de-DE"/>
              </w:rPr>
              <w:lastRenderedPageBreak/>
              <w:t>1480 COVID-19 auf Intensiv (+624 Neuaufnahme pro Tag)</w:t>
            </w:r>
          </w:p>
          <w:p>
            <w:pPr>
              <w:pStyle w:val="Liste2"/>
              <w:numPr>
                <w:ilvl w:val="0"/>
                <w:numId w:val="8"/>
              </w:numPr>
              <w:rPr>
                <w:lang w:val="de-DE"/>
              </w:rPr>
            </w:pPr>
            <w:r>
              <w:rPr>
                <w:lang w:val="de-DE"/>
              </w:rPr>
              <w:t>Anstieg der COVID-ITS Belegung in einigen BL, Anstieg in Bremen, Sachsen und Thüringen, in Südlichen BL: Rückgang/Plateau, Alle BL haben eine ITS Belegung von mehr als 3% außer Schleswig-Holstein</w:t>
            </w:r>
          </w:p>
          <w:p>
            <w:pPr>
              <w:pStyle w:val="Liste2"/>
              <w:numPr>
                <w:ilvl w:val="0"/>
                <w:numId w:val="8"/>
              </w:numPr>
              <w:rPr>
                <w:lang w:val="de-DE"/>
              </w:rPr>
            </w:pPr>
            <w:r>
              <w:rPr>
                <w:lang w:val="de-DE"/>
              </w:rPr>
              <w:t>Altersstruktur: Mehr als 50% betrifft Ü60-Jährige, viele Patienten aus Altenheimausbrüchen</w:t>
            </w:r>
          </w:p>
          <w:p>
            <w:pPr>
              <w:pStyle w:val="Liste2"/>
              <w:numPr>
                <w:ilvl w:val="0"/>
                <w:numId w:val="8"/>
              </w:numPr>
              <w:rPr>
                <w:lang w:val="de-DE"/>
              </w:rPr>
            </w:pPr>
            <w:r>
              <w:rPr>
                <w:lang w:val="de-DE"/>
              </w:rPr>
              <w:t>Beatmung/ECMO: Plateau/leichter Rückgang, trotzdem noch rel. hoher Anteil an COVID-19</w:t>
            </w:r>
          </w:p>
          <w:p>
            <w:pPr>
              <w:pStyle w:val="Liste1"/>
              <w:numPr>
                <w:ilvl w:val="0"/>
                <w:numId w:val="8"/>
              </w:numPr>
            </w:pPr>
            <w:r>
              <w:t xml:space="preserve">Prognose intensivpflichtiger COVID-19-Patientinnen: Vor allem im Osten wird ein moderater Anstieg erwartet </w:t>
            </w:r>
          </w:p>
          <w:p>
            <w:pPr>
              <w:pStyle w:val="Liste1"/>
              <w:numPr>
                <w:ilvl w:val="0"/>
                <w:numId w:val="0"/>
              </w:numPr>
            </w:pPr>
            <w:r>
              <w:t>Diskussion:</w:t>
            </w:r>
          </w:p>
          <w:p>
            <w:pPr>
              <w:pStyle w:val="Liste1"/>
              <w:numPr>
                <w:ilvl w:val="0"/>
                <w:numId w:val="15"/>
              </w:numPr>
            </w:pPr>
            <w:r>
              <w:t>Es wird ein sehr unterschiedlicher Ausgang von COVID-19 bei geimpften Personen im Rahmen von Altenheimausbrüchen beobachtet, d.h. z.T. sehr gute Wirkung der Impfung und z.T. ITS Behandlung notwendig. Sollte die Ursache davon untersucht werden (im Rahmen von ARS)?</w:t>
            </w:r>
          </w:p>
          <w:p>
            <w:pPr>
              <w:pStyle w:val="Liste1"/>
              <w:numPr>
                <w:ilvl w:val="0"/>
                <w:numId w:val="0"/>
              </w:numPr>
            </w:pPr>
            <w:r>
              <w:t>Ergebnis: Ja, Untersuchung sehr sinnvoll, es sollten dabei vor allem der verabreichte Impfstoff und die Virusvariante (eventuell bereits im Rahmen der VOC Surveillance verfügbar) angeschaut werden</w:t>
            </w:r>
          </w:p>
          <w:p>
            <w:pPr>
              <w:pStyle w:val="Liste1"/>
              <w:numPr>
                <w:ilvl w:val="0"/>
                <w:numId w:val="15"/>
              </w:numPr>
            </w:pPr>
            <w:r>
              <w:t>Warum steigt ITS-Belegung in Bremen an, obwohl die Inzidenz seit einigen Wochen rückläufig ist?</w:t>
            </w:r>
          </w:p>
          <w:p>
            <w:pPr>
              <w:pStyle w:val="Liste1"/>
              <w:numPr>
                <w:ilvl w:val="0"/>
                <w:numId w:val="0"/>
              </w:numPr>
            </w:pPr>
            <w:r>
              <w:t>Ergebnis: Faktoren, die möglichweise eine Rolle spielen könnten, sind die Anzahl betreibbarer ITS Betten, der Impfstatus der Fälle, der Wohnort (möglicherweise nicht aus Bremen) und Unterschiede in der Inzidenz Bremen/Bremerhaven</w:t>
            </w:r>
          </w:p>
          <w:p>
            <w:pPr>
              <w:pStyle w:val="Liste1"/>
              <w:numPr>
                <w:ilvl w:val="0"/>
                <w:numId w:val="0"/>
              </w:numPr>
            </w:pPr>
          </w:p>
          <w:p>
            <w:pPr>
              <w:pStyle w:val="Liste1"/>
              <w:numPr>
                <w:ilvl w:val="0"/>
                <w:numId w:val="0"/>
              </w:numPr>
              <w:rPr>
                <w:b/>
                <w:i/>
              </w:rPr>
            </w:pPr>
            <w:proofErr w:type="spellStart"/>
            <w:r>
              <w:rPr>
                <w:b/>
                <w:i/>
              </w:rPr>
              <w:t>ToDo</w:t>
            </w:r>
            <w:proofErr w:type="spellEnd"/>
            <w:r>
              <w:rPr>
                <w:b/>
                <w:i/>
              </w:rPr>
              <w:t xml:space="preserve"> 1:</w:t>
            </w:r>
          </w:p>
          <w:p>
            <w:pPr>
              <w:pStyle w:val="Liste1"/>
              <w:numPr>
                <w:ilvl w:val="0"/>
                <w:numId w:val="16"/>
              </w:numPr>
              <w:rPr>
                <w:i/>
              </w:rPr>
            </w:pPr>
            <w:r>
              <w:rPr>
                <w:i/>
              </w:rPr>
              <w:t>Bitte mögliche Einflussfaktoren für den Anstieg der ITS-Belegung in Bremen darstellen, vor allem: 1. Anzahl betreibbarer ITS-Betten, 2. PLZ der ITS-Patienten (Aufschlüsselung nach Bremen, Bremerhaven, andere BL) und 3. Impfstatus der ITS-Patienten (Fischer)</w:t>
            </w:r>
          </w:p>
          <w:p>
            <w:pPr>
              <w:pStyle w:val="Liste1"/>
              <w:numPr>
                <w:ilvl w:val="0"/>
                <w:numId w:val="0"/>
              </w:numPr>
              <w:ind w:left="720"/>
              <w:rPr>
                <w:i/>
              </w:rPr>
            </w:pPr>
          </w:p>
          <w:p>
            <w:pPr>
              <w:pStyle w:val="Liste1"/>
              <w:numPr>
                <w:ilvl w:val="0"/>
                <w:numId w:val="0"/>
              </w:num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roofErr w:type="spellStart"/>
            <w:r>
              <w:rPr>
                <w:sz w:val="22"/>
                <w:szCs w:val="22"/>
              </w:rPr>
              <w:t>Hamouda</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Biere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Fischer</w:t>
            </w:r>
          </w:p>
          <w:p>
            <w:pPr>
              <w:rPr>
                <w:sz w:val="22"/>
                <w:szCs w:val="22"/>
              </w:rPr>
            </w:pP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lastRenderedPageBreak/>
              <w:t>BZgA</w:t>
            </w:r>
          </w:p>
          <w:p>
            <w:pPr>
              <w:pStyle w:val="Liste1"/>
            </w:pPr>
            <w:r>
              <w:t>Themenseite zur Auffrischungsimpfung fast fertig</w:t>
            </w:r>
          </w:p>
          <w:p>
            <w:pPr>
              <w:pStyle w:val="Liste1"/>
            </w:pPr>
            <w:r>
              <w:t>Plakate zur Grippeschutzimpfung um Hinweise zur Corona-Impfung ergänzt</w:t>
            </w:r>
          </w:p>
          <w:p>
            <w:pPr>
              <w:pStyle w:val="Liste1"/>
            </w:pPr>
            <w:r>
              <w:t>In Vorbereitung: Pixi Buch zum Thema Impfung</w:t>
            </w:r>
          </w:p>
          <w:p>
            <w:pPr>
              <w:pStyle w:val="2"/>
            </w:pPr>
            <w:r>
              <w:t>Presse</w:t>
            </w:r>
          </w:p>
          <w:p>
            <w:pPr>
              <w:pStyle w:val="Liste1"/>
            </w:pPr>
            <w:r>
              <w:t>Bitte um Einordnung der steigenden Fallzahlen im Wochenbericht (Begleit-Tweet mit Hinweis auf AHA-L + Impfung wird erstellt)</w:t>
            </w:r>
          </w:p>
          <w:p>
            <w:pPr>
              <w:pStyle w:val="Liste1"/>
            </w:pPr>
            <w:r>
              <w:t>Vermehrte Anfragen zur Festlegung einer Inzidenz, mit deren Überschreitung mit einer Überlastung der ITS-Belegung zu rechnen ist – Antwort des Krisenstabs: Keine Angabe möglich! Begründung: Die Korrelation der ITS-Auslastung mit den Fallzahlen ist dynamisch und ändert sich in Anhängigkeit von verschiedenen Faktoren, u.a. Impfstatus und Altersgruppe der Erkrankten. Zudem spielen regionale Aspekte eine zentrale Rolle, wie z.B. Anzahl betreibbarer ITS Betten, Impfquote. Es gibt einen groben Orientierungswert im Control-COVID Papier. Ziel der Pandemiebewältigung ist zusätzlich zur Verhinderung einer Überlastung auch die Verhinderung von schweren Verläufen.</w:t>
            </w:r>
          </w:p>
          <w:p>
            <w:pPr>
              <w:pStyle w:val="2"/>
            </w:pPr>
            <w:r>
              <w:t>P1</w:t>
            </w:r>
          </w:p>
          <w:p>
            <w:pPr>
              <w:pStyle w:val="Liste1"/>
            </w:pPr>
            <w:r>
              <w:t>Beitrag zur Erklärung der Diskrepanz der Impfquote aus der COVIMO Studie im Vergleich zum Monitoring</w:t>
            </w:r>
          </w:p>
          <w:p>
            <w:pPr>
              <w:pStyle w:val="Liste1"/>
            </w:pPr>
            <w:r>
              <w:t>Werbung für Datenspende 2.0</w:t>
            </w:r>
          </w:p>
          <w:p>
            <w:pPr>
              <w:pStyle w:val="Liste1"/>
              <w:rPr>
                <w:i/>
              </w:rPr>
            </w:pPr>
            <w:r>
              <w:t>Insta: 2G/3G</w:t>
            </w:r>
          </w:p>
          <w:p>
            <w:pPr>
              <w:pStyle w:val="Liste1"/>
              <w:numPr>
                <w:ilvl w:val="0"/>
                <w:numId w:val="0"/>
              </w:numPr>
              <w:ind w:left="473" w:hanging="360"/>
            </w:pPr>
          </w:p>
          <w:p>
            <w:pPr>
              <w:pStyle w:val="Liste1"/>
              <w:numPr>
                <w:ilvl w:val="0"/>
                <w:numId w:val="0"/>
              </w:numPr>
              <w:ind w:left="473" w:hanging="360"/>
              <w:rPr>
                <w:b/>
              </w:rPr>
            </w:pPr>
            <w:proofErr w:type="spellStart"/>
            <w:r>
              <w:rPr>
                <w:b/>
              </w:rPr>
              <w:t>ToDo</w:t>
            </w:r>
            <w:proofErr w:type="spellEnd"/>
            <w:r>
              <w:rPr>
                <w:b/>
              </w:rPr>
              <w:t xml:space="preserve"> 2:</w:t>
            </w:r>
          </w:p>
          <w:p>
            <w:pPr>
              <w:pStyle w:val="Liste1"/>
              <w:numPr>
                <w:ilvl w:val="0"/>
                <w:numId w:val="18"/>
              </w:numPr>
              <w:rPr>
                <w:i/>
              </w:rPr>
            </w:pPr>
            <w:r>
              <w:rPr>
                <w:i/>
              </w:rPr>
              <w:t>Einordnung der steigenden Fallzahlen im Wochenbericht (Lagezentrum)</w:t>
            </w:r>
          </w:p>
          <w:p>
            <w:pPr>
              <w:pStyle w:val="Liste1"/>
              <w:numPr>
                <w:ilvl w:val="0"/>
                <w:numId w:val="18"/>
              </w:numPr>
              <w:rPr>
                <w:i/>
              </w:rPr>
            </w:pPr>
            <w:r>
              <w:rPr>
                <w:i/>
              </w:rPr>
              <w:t>Tweet zum Wochenbericht über die erwartungsgemäß steigenden Fallzahlen und den Hinweis auf AHA-L + Impfung (Wenchel)</w:t>
            </w:r>
          </w:p>
          <w:p>
            <w:pPr>
              <w:pStyle w:val="Liste1"/>
              <w:numPr>
                <w:ilvl w:val="0"/>
                <w:numId w:val="18"/>
              </w:numPr>
              <w:rPr>
                <w:i/>
              </w:rPr>
            </w:pPr>
            <w:r>
              <w:rPr>
                <w:i/>
              </w:rPr>
              <w:t xml:space="preserve">Beitrag zur Erklärung der Diskrepanz der Impfquote aus der COVIMO Studie im Vergleich zum Monitoring mit Abt. 3 und </w:t>
            </w:r>
            <w:proofErr w:type="spellStart"/>
            <w:r>
              <w:rPr>
                <w:i/>
              </w:rPr>
              <w:t>Präs</w:t>
            </w:r>
            <w:proofErr w:type="spellEnd"/>
            <w:r>
              <w:rPr>
                <w:i/>
              </w:rPr>
              <w:t xml:space="preserve">. abstimmen und Endversion </w:t>
            </w:r>
            <w:proofErr w:type="spellStart"/>
            <w:r>
              <w:rPr>
                <w:i/>
              </w:rPr>
              <w:t>Präs</w:t>
            </w:r>
            <w:proofErr w:type="spellEnd"/>
            <w:r>
              <w:rPr>
                <w:i/>
              </w:rPr>
              <w:t>. vor der Veröffentlichung vorlegen (P1)</w:t>
            </w:r>
          </w:p>
          <w:p>
            <w:pPr>
              <w:pStyle w:val="Liste1"/>
              <w:numPr>
                <w:ilvl w:val="0"/>
                <w:numId w:val="0"/>
              </w:numPr>
              <w:ind w:left="199" w:hanging="86"/>
              <w:rPr>
                <w:i/>
              </w:rPr>
            </w:pPr>
          </w:p>
        </w:tc>
        <w:tc>
          <w:tcPr>
            <w:tcW w:w="1463" w:type="dxa"/>
          </w:tcPr>
          <w:p>
            <w:pPr>
              <w:rPr>
                <w:sz w:val="22"/>
                <w:szCs w:val="22"/>
              </w:rPr>
            </w:pPr>
          </w:p>
          <w:p>
            <w:pPr>
              <w:rPr>
                <w:sz w:val="22"/>
                <w:szCs w:val="22"/>
              </w:rPr>
            </w:pPr>
            <w:r>
              <w:rPr>
                <w:sz w:val="22"/>
                <w:szCs w:val="22"/>
              </w:rPr>
              <w:t xml:space="preserve">BZgA </w:t>
            </w:r>
            <w:proofErr w:type="spellStart"/>
            <w:r>
              <w:rPr>
                <w:sz w:val="22"/>
                <w:szCs w:val="22"/>
              </w:rPr>
              <w:t>Benser</w:t>
            </w:r>
            <w:proofErr w:type="spellEnd"/>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Wenchel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1"/>
              <w:numPr>
                <w:ilvl w:val="0"/>
                <w:numId w:val="20"/>
              </w:numPr>
            </w:pPr>
            <w:r>
              <w:t>Wegfall der epidemischen Lage von nationaler Tragweite zum 25. November</w:t>
            </w:r>
          </w:p>
          <w:p>
            <w:pPr>
              <w:pStyle w:val="Liste1"/>
              <w:numPr>
                <w:ilvl w:val="0"/>
                <w:numId w:val="0"/>
              </w:numPr>
              <w:ind w:left="113"/>
            </w:pPr>
            <w:r>
              <w:t xml:space="preserve">Diskussion hinsichtlich der damit verbundenen Änderungen, z.B. von Verordnungen, Vergütung der Sequenzierung. Es wurde darauf hingewiesen, dass Verordnungen (DIVI, Test-, Impf-, Surveillance) wahrscheinlich noch ein Jahr nach Ablauf der Lage ihre Gültigkeit behalten. Außerdem sei wohl eine Entkoppelung von IfSG 28a von der epidemischen Lage geplant. Alle sollen prüfen, ob ihre Aufgaben von der Beendigung der Lage betroffen sind. Es soll eine Liste mit </w:t>
            </w:r>
            <w:r>
              <w:lastRenderedPageBreak/>
              <w:t>betroffenen Aufgaben erstellt werden und durch Herrn Mehlitz juristisch geprüft werden. Keine Stellungnahme des RKI zur Beendigung der epidemischen Lage, da es sich hierbei um eine politische Entscheidung handelt. Nur fachliche Einschätzung, dass AHA-L + Impfung weiterhin notwendig.</w:t>
            </w:r>
          </w:p>
          <w:p>
            <w:pPr>
              <w:pStyle w:val="Liste1"/>
              <w:numPr>
                <w:ilvl w:val="0"/>
                <w:numId w:val="0"/>
              </w:numPr>
              <w:ind w:left="113"/>
            </w:pPr>
          </w:p>
          <w:p>
            <w:pPr>
              <w:pStyle w:val="Liste1"/>
              <w:numPr>
                <w:ilvl w:val="0"/>
                <w:numId w:val="20"/>
              </w:numPr>
            </w:pPr>
            <w:proofErr w:type="spellStart"/>
            <w:r>
              <w:t>Entlassmanagement</w:t>
            </w:r>
            <w:proofErr w:type="spellEnd"/>
          </w:p>
          <w:p>
            <w:pPr>
              <w:pStyle w:val="Liste1"/>
              <w:numPr>
                <w:ilvl w:val="0"/>
                <w:numId w:val="0"/>
              </w:numPr>
              <w:ind w:left="113"/>
            </w:pPr>
            <w:r>
              <w:t xml:space="preserve">Es wurde diskutiert, ob eine Überarbeitung doch notwendig sei, da Finanzierung der PCR Testung nicht gesichert ist. Es wurde beschlossen, dass zum jetzigen Zeitpunkt keine Änderung vorgenommen wird. Eine Wiedervorlage ist jederzeit möglich und soll vor allem dann vorgenommen werden, wenn Daten zur Viruskinetik der Deltavariante vorliegen. </w:t>
            </w:r>
          </w:p>
          <w:p>
            <w:pPr>
              <w:pStyle w:val="Liste1"/>
              <w:numPr>
                <w:ilvl w:val="0"/>
                <w:numId w:val="0"/>
              </w:numPr>
              <w:ind w:left="113"/>
            </w:pPr>
          </w:p>
          <w:p>
            <w:pPr>
              <w:pStyle w:val="Liste1"/>
              <w:numPr>
                <w:ilvl w:val="0"/>
                <w:numId w:val="0"/>
              </w:numPr>
              <w:ind w:left="113"/>
            </w:pPr>
          </w:p>
          <w:p>
            <w:pPr>
              <w:pStyle w:val="Liste1"/>
              <w:numPr>
                <w:ilvl w:val="0"/>
                <w:numId w:val="0"/>
              </w:numPr>
              <w:ind w:left="113"/>
              <w:rPr>
                <w:b/>
                <w:i/>
              </w:rPr>
            </w:pPr>
            <w:proofErr w:type="spellStart"/>
            <w:r>
              <w:rPr>
                <w:b/>
                <w:i/>
              </w:rPr>
              <w:t>ToDo</w:t>
            </w:r>
            <w:proofErr w:type="spellEnd"/>
            <w:r>
              <w:rPr>
                <w:b/>
                <w:i/>
              </w:rPr>
              <w:t xml:space="preserve"> 3</w:t>
            </w:r>
          </w:p>
          <w:p>
            <w:pPr>
              <w:pStyle w:val="Liste1"/>
              <w:numPr>
                <w:ilvl w:val="0"/>
                <w:numId w:val="0"/>
              </w:numPr>
              <w:ind w:left="113"/>
              <w:rPr>
                <w:i/>
              </w:rPr>
            </w:pPr>
            <w:r>
              <w:rPr>
                <w:i/>
              </w:rPr>
              <w:t>Bitte eigene Aufgaben hinsichtlich der Abhängigkeit zur epidemischen Lage prüfen und wenn davon betroffen, Herrn Mehlitz informieren und zur juristischen Prüfung weiterleiten. (Alle Mitglieder im Krisenstab + Herr Mehlitz)</w:t>
            </w:r>
          </w:p>
          <w:p>
            <w:pPr>
              <w:pStyle w:val="2"/>
              <w:rPr>
                <w:i/>
              </w:rPr>
            </w:pPr>
            <w:r>
              <w:t>RKI-intern</w:t>
            </w:r>
          </w:p>
          <w:p>
            <w:pPr>
              <w:pStyle w:val="Liste1"/>
            </w:pPr>
            <w:r>
              <w:t>Bericht zu Serologische Studien</w:t>
            </w:r>
          </w:p>
          <w:p>
            <w:pPr>
              <w:pStyle w:val="Liste1"/>
              <w:numPr>
                <w:ilvl w:val="0"/>
                <w:numId w:val="0"/>
              </w:numPr>
              <w:ind w:left="113"/>
            </w:pPr>
            <w:r>
              <w:t xml:space="preserve">Krisenstab soll über die Ergebnisse von laufenden serologischen Studien informiert werden. Es wurde von Frau Scheidt-Nave darauf hingewiesen, dass am Ende des Monats ein Webinar zu diesem Thema stattfindet. Einladungen seien rumgeschickt worden. </w:t>
            </w:r>
          </w:p>
          <w:p>
            <w:pPr>
              <w:pStyle w:val="Liste1"/>
              <w:numPr>
                <w:ilvl w:val="0"/>
                <w:numId w:val="0"/>
              </w:numPr>
              <w:ind w:left="113"/>
            </w:pPr>
          </w:p>
          <w:p>
            <w:pPr>
              <w:pStyle w:val="Liste1"/>
              <w:numPr>
                <w:ilvl w:val="0"/>
                <w:numId w:val="0"/>
              </w:numPr>
              <w:ind w:left="113"/>
            </w:pPr>
            <w:proofErr w:type="spellStart"/>
            <w:r>
              <w:t>ToDo</w:t>
            </w:r>
            <w:proofErr w:type="spellEnd"/>
            <w:r>
              <w:t xml:space="preserve"> 4</w:t>
            </w:r>
          </w:p>
          <w:p>
            <w:pPr>
              <w:pStyle w:val="Liste1"/>
              <w:numPr>
                <w:ilvl w:val="0"/>
                <w:numId w:val="0"/>
              </w:numPr>
              <w:ind w:left="113"/>
            </w:pPr>
          </w:p>
          <w:p>
            <w:pPr>
              <w:pStyle w:val="Liste1"/>
              <w:numPr>
                <w:ilvl w:val="0"/>
                <w:numId w:val="21"/>
              </w:numPr>
            </w:pPr>
            <w:r>
              <w:t xml:space="preserve">Aktuellen wöchentlichen Bericht zu Studien an Krisenstabsverteiler schicken (Scheidt-Nave) </w:t>
            </w:r>
          </w:p>
          <w:p>
            <w:pPr>
              <w:pStyle w:val="Liste1"/>
              <w:numPr>
                <w:ilvl w:val="0"/>
                <w:numId w:val="21"/>
              </w:numPr>
            </w:pPr>
            <w:r>
              <w:t>Am kommenden Mittwoch (27.10.2021) die wichtigsten Studien und deren Ergebnisse dem Krisenstab vorstellen (Scheidt-Nave, Neuhauser)</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lastRenderedPageBreak/>
              <w:t>## Rhinovirus</w:t>
            </w:r>
          </w:p>
          <w:p>
            <w:pPr>
              <w:pStyle w:val="Liste2"/>
            </w:pPr>
            <w:r>
              <w:t>## Parainfluenzavirus</w:t>
            </w:r>
          </w:p>
          <w:p>
            <w:pPr>
              <w:pStyle w:val="Liste2"/>
            </w:pPr>
            <w:r>
              <w:rPr>
                <w:lang w:val="de-DE"/>
              </w:rP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Freitag, 22.20.2021,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12:25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6D61"/>
    <w:multiLevelType w:val="hybridMultilevel"/>
    <w:tmpl w:val="280CAF3A"/>
    <w:lvl w:ilvl="0" w:tplc="A7BC41D0">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1" w15:restartNumberingAfterBreak="0">
    <w:nsid w:val="0FC47C20"/>
    <w:multiLevelType w:val="hybridMultilevel"/>
    <w:tmpl w:val="7C58C854"/>
    <w:lvl w:ilvl="0" w:tplc="04070005">
      <w:start w:val="1"/>
      <w:numFmt w:val="bullet"/>
      <w:lvlText w:val=""/>
      <w:lvlJc w:val="left"/>
      <w:pPr>
        <w:ind w:left="2633" w:hanging="360"/>
      </w:pPr>
      <w:rPr>
        <w:rFonts w:ascii="Wingdings" w:hAnsi="Wingdings" w:hint="default"/>
      </w:rPr>
    </w:lvl>
    <w:lvl w:ilvl="1" w:tplc="04070003" w:tentative="1">
      <w:start w:val="1"/>
      <w:numFmt w:val="bullet"/>
      <w:lvlText w:val="o"/>
      <w:lvlJc w:val="left"/>
      <w:pPr>
        <w:ind w:left="3353" w:hanging="360"/>
      </w:pPr>
      <w:rPr>
        <w:rFonts w:ascii="Courier New" w:hAnsi="Courier New" w:cs="Courier New" w:hint="default"/>
      </w:rPr>
    </w:lvl>
    <w:lvl w:ilvl="2" w:tplc="04070005" w:tentative="1">
      <w:start w:val="1"/>
      <w:numFmt w:val="bullet"/>
      <w:lvlText w:val=""/>
      <w:lvlJc w:val="left"/>
      <w:pPr>
        <w:ind w:left="4073" w:hanging="360"/>
      </w:pPr>
      <w:rPr>
        <w:rFonts w:ascii="Wingdings" w:hAnsi="Wingdings" w:hint="default"/>
      </w:rPr>
    </w:lvl>
    <w:lvl w:ilvl="3" w:tplc="04070001" w:tentative="1">
      <w:start w:val="1"/>
      <w:numFmt w:val="bullet"/>
      <w:lvlText w:val=""/>
      <w:lvlJc w:val="left"/>
      <w:pPr>
        <w:ind w:left="4793" w:hanging="360"/>
      </w:pPr>
      <w:rPr>
        <w:rFonts w:ascii="Symbol" w:hAnsi="Symbol" w:hint="default"/>
      </w:rPr>
    </w:lvl>
    <w:lvl w:ilvl="4" w:tplc="04070003" w:tentative="1">
      <w:start w:val="1"/>
      <w:numFmt w:val="bullet"/>
      <w:lvlText w:val="o"/>
      <w:lvlJc w:val="left"/>
      <w:pPr>
        <w:ind w:left="5513" w:hanging="360"/>
      </w:pPr>
      <w:rPr>
        <w:rFonts w:ascii="Courier New" w:hAnsi="Courier New" w:cs="Courier New" w:hint="default"/>
      </w:rPr>
    </w:lvl>
    <w:lvl w:ilvl="5" w:tplc="04070005" w:tentative="1">
      <w:start w:val="1"/>
      <w:numFmt w:val="bullet"/>
      <w:lvlText w:val=""/>
      <w:lvlJc w:val="left"/>
      <w:pPr>
        <w:ind w:left="6233" w:hanging="360"/>
      </w:pPr>
      <w:rPr>
        <w:rFonts w:ascii="Wingdings" w:hAnsi="Wingdings" w:hint="default"/>
      </w:rPr>
    </w:lvl>
    <w:lvl w:ilvl="6" w:tplc="04070001" w:tentative="1">
      <w:start w:val="1"/>
      <w:numFmt w:val="bullet"/>
      <w:lvlText w:val=""/>
      <w:lvlJc w:val="left"/>
      <w:pPr>
        <w:ind w:left="6953" w:hanging="360"/>
      </w:pPr>
      <w:rPr>
        <w:rFonts w:ascii="Symbol" w:hAnsi="Symbol" w:hint="default"/>
      </w:rPr>
    </w:lvl>
    <w:lvl w:ilvl="7" w:tplc="04070003" w:tentative="1">
      <w:start w:val="1"/>
      <w:numFmt w:val="bullet"/>
      <w:lvlText w:val="o"/>
      <w:lvlJc w:val="left"/>
      <w:pPr>
        <w:ind w:left="7673" w:hanging="360"/>
      </w:pPr>
      <w:rPr>
        <w:rFonts w:ascii="Courier New" w:hAnsi="Courier New" w:cs="Courier New" w:hint="default"/>
      </w:rPr>
    </w:lvl>
    <w:lvl w:ilvl="8" w:tplc="04070005" w:tentative="1">
      <w:start w:val="1"/>
      <w:numFmt w:val="bullet"/>
      <w:lvlText w:val=""/>
      <w:lvlJc w:val="left"/>
      <w:pPr>
        <w:ind w:left="8393"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AD6201"/>
    <w:multiLevelType w:val="hybridMultilevel"/>
    <w:tmpl w:val="B6E2A592"/>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971E72"/>
    <w:multiLevelType w:val="hybridMultilevel"/>
    <w:tmpl w:val="ADE01F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69F4A58"/>
    <w:multiLevelType w:val="hybridMultilevel"/>
    <w:tmpl w:val="C56087FC"/>
    <w:lvl w:ilvl="0" w:tplc="04070005">
      <w:start w:val="1"/>
      <w:numFmt w:val="bullet"/>
      <w:lvlText w:val=""/>
      <w:lvlJc w:val="left"/>
      <w:pPr>
        <w:ind w:left="2273" w:hanging="360"/>
      </w:pPr>
      <w:rPr>
        <w:rFonts w:ascii="Wingdings" w:hAnsi="Wingdings" w:hint="default"/>
      </w:rPr>
    </w:lvl>
    <w:lvl w:ilvl="1" w:tplc="04070003" w:tentative="1">
      <w:start w:val="1"/>
      <w:numFmt w:val="bullet"/>
      <w:lvlText w:val="o"/>
      <w:lvlJc w:val="left"/>
      <w:pPr>
        <w:ind w:left="2993" w:hanging="360"/>
      </w:pPr>
      <w:rPr>
        <w:rFonts w:ascii="Courier New" w:hAnsi="Courier New" w:cs="Courier New" w:hint="default"/>
      </w:rPr>
    </w:lvl>
    <w:lvl w:ilvl="2" w:tplc="04070005" w:tentative="1">
      <w:start w:val="1"/>
      <w:numFmt w:val="bullet"/>
      <w:lvlText w:val=""/>
      <w:lvlJc w:val="left"/>
      <w:pPr>
        <w:ind w:left="3713" w:hanging="360"/>
      </w:pPr>
      <w:rPr>
        <w:rFonts w:ascii="Wingdings" w:hAnsi="Wingdings" w:hint="default"/>
      </w:rPr>
    </w:lvl>
    <w:lvl w:ilvl="3" w:tplc="04070001" w:tentative="1">
      <w:start w:val="1"/>
      <w:numFmt w:val="bullet"/>
      <w:lvlText w:val=""/>
      <w:lvlJc w:val="left"/>
      <w:pPr>
        <w:ind w:left="4433" w:hanging="360"/>
      </w:pPr>
      <w:rPr>
        <w:rFonts w:ascii="Symbol" w:hAnsi="Symbol" w:hint="default"/>
      </w:rPr>
    </w:lvl>
    <w:lvl w:ilvl="4" w:tplc="04070003" w:tentative="1">
      <w:start w:val="1"/>
      <w:numFmt w:val="bullet"/>
      <w:lvlText w:val="o"/>
      <w:lvlJc w:val="left"/>
      <w:pPr>
        <w:ind w:left="5153" w:hanging="360"/>
      </w:pPr>
      <w:rPr>
        <w:rFonts w:ascii="Courier New" w:hAnsi="Courier New" w:cs="Courier New" w:hint="default"/>
      </w:rPr>
    </w:lvl>
    <w:lvl w:ilvl="5" w:tplc="04070005" w:tentative="1">
      <w:start w:val="1"/>
      <w:numFmt w:val="bullet"/>
      <w:lvlText w:val=""/>
      <w:lvlJc w:val="left"/>
      <w:pPr>
        <w:ind w:left="5873" w:hanging="360"/>
      </w:pPr>
      <w:rPr>
        <w:rFonts w:ascii="Wingdings" w:hAnsi="Wingdings" w:hint="default"/>
      </w:rPr>
    </w:lvl>
    <w:lvl w:ilvl="6" w:tplc="04070001" w:tentative="1">
      <w:start w:val="1"/>
      <w:numFmt w:val="bullet"/>
      <w:lvlText w:val=""/>
      <w:lvlJc w:val="left"/>
      <w:pPr>
        <w:ind w:left="6593" w:hanging="360"/>
      </w:pPr>
      <w:rPr>
        <w:rFonts w:ascii="Symbol" w:hAnsi="Symbol" w:hint="default"/>
      </w:rPr>
    </w:lvl>
    <w:lvl w:ilvl="7" w:tplc="04070003" w:tentative="1">
      <w:start w:val="1"/>
      <w:numFmt w:val="bullet"/>
      <w:lvlText w:val="o"/>
      <w:lvlJc w:val="left"/>
      <w:pPr>
        <w:ind w:left="7313" w:hanging="360"/>
      </w:pPr>
      <w:rPr>
        <w:rFonts w:ascii="Courier New" w:hAnsi="Courier New" w:cs="Courier New" w:hint="default"/>
      </w:rPr>
    </w:lvl>
    <w:lvl w:ilvl="8" w:tplc="04070005" w:tentative="1">
      <w:start w:val="1"/>
      <w:numFmt w:val="bullet"/>
      <w:lvlText w:val=""/>
      <w:lvlJc w:val="left"/>
      <w:pPr>
        <w:ind w:left="8033" w:hanging="360"/>
      </w:pPr>
      <w:rPr>
        <w:rFonts w:ascii="Wingdings" w:hAnsi="Wingdings" w:hint="default"/>
      </w:rPr>
    </w:lvl>
  </w:abstractNum>
  <w:abstractNum w:abstractNumId="8"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E361F1"/>
    <w:multiLevelType w:val="hybridMultilevel"/>
    <w:tmpl w:val="A75045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2C55C4A"/>
    <w:multiLevelType w:val="hybridMultilevel"/>
    <w:tmpl w:val="44501B7A"/>
    <w:lvl w:ilvl="0" w:tplc="04070005">
      <w:start w:val="1"/>
      <w:numFmt w:val="bullet"/>
      <w:lvlText w:val=""/>
      <w:lvlJc w:val="left"/>
      <w:pPr>
        <w:ind w:left="2633" w:hanging="360"/>
      </w:pPr>
      <w:rPr>
        <w:rFonts w:ascii="Wingdings" w:hAnsi="Wingdings" w:hint="default"/>
      </w:rPr>
    </w:lvl>
    <w:lvl w:ilvl="1" w:tplc="04070003" w:tentative="1">
      <w:start w:val="1"/>
      <w:numFmt w:val="bullet"/>
      <w:lvlText w:val="o"/>
      <w:lvlJc w:val="left"/>
      <w:pPr>
        <w:ind w:left="3353" w:hanging="360"/>
      </w:pPr>
      <w:rPr>
        <w:rFonts w:ascii="Courier New" w:hAnsi="Courier New" w:cs="Courier New" w:hint="default"/>
      </w:rPr>
    </w:lvl>
    <w:lvl w:ilvl="2" w:tplc="04070005" w:tentative="1">
      <w:start w:val="1"/>
      <w:numFmt w:val="bullet"/>
      <w:lvlText w:val=""/>
      <w:lvlJc w:val="left"/>
      <w:pPr>
        <w:ind w:left="4073" w:hanging="360"/>
      </w:pPr>
      <w:rPr>
        <w:rFonts w:ascii="Wingdings" w:hAnsi="Wingdings" w:hint="default"/>
      </w:rPr>
    </w:lvl>
    <w:lvl w:ilvl="3" w:tplc="04070001" w:tentative="1">
      <w:start w:val="1"/>
      <w:numFmt w:val="bullet"/>
      <w:lvlText w:val=""/>
      <w:lvlJc w:val="left"/>
      <w:pPr>
        <w:ind w:left="4793" w:hanging="360"/>
      </w:pPr>
      <w:rPr>
        <w:rFonts w:ascii="Symbol" w:hAnsi="Symbol" w:hint="default"/>
      </w:rPr>
    </w:lvl>
    <w:lvl w:ilvl="4" w:tplc="04070003" w:tentative="1">
      <w:start w:val="1"/>
      <w:numFmt w:val="bullet"/>
      <w:lvlText w:val="o"/>
      <w:lvlJc w:val="left"/>
      <w:pPr>
        <w:ind w:left="5513" w:hanging="360"/>
      </w:pPr>
      <w:rPr>
        <w:rFonts w:ascii="Courier New" w:hAnsi="Courier New" w:cs="Courier New" w:hint="default"/>
      </w:rPr>
    </w:lvl>
    <w:lvl w:ilvl="5" w:tplc="04070005" w:tentative="1">
      <w:start w:val="1"/>
      <w:numFmt w:val="bullet"/>
      <w:lvlText w:val=""/>
      <w:lvlJc w:val="left"/>
      <w:pPr>
        <w:ind w:left="6233" w:hanging="360"/>
      </w:pPr>
      <w:rPr>
        <w:rFonts w:ascii="Wingdings" w:hAnsi="Wingdings" w:hint="default"/>
      </w:rPr>
    </w:lvl>
    <w:lvl w:ilvl="6" w:tplc="04070001" w:tentative="1">
      <w:start w:val="1"/>
      <w:numFmt w:val="bullet"/>
      <w:lvlText w:val=""/>
      <w:lvlJc w:val="left"/>
      <w:pPr>
        <w:ind w:left="6953" w:hanging="360"/>
      </w:pPr>
      <w:rPr>
        <w:rFonts w:ascii="Symbol" w:hAnsi="Symbol" w:hint="default"/>
      </w:rPr>
    </w:lvl>
    <w:lvl w:ilvl="7" w:tplc="04070003" w:tentative="1">
      <w:start w:val="1"/>
      <w:numFmt w:val="bullet"/>
      <w:lvlText w:val="o"/>
      <w:lvlJc w:val="left"/>
      <w:pPr>
        <w:ind w:left="7673" w:hanging="360"/>
      </w:pPr>
      <w:rPr>
        <w:rFonts w:ascii="Courier New" w:hAnsi="Courier New" w:cs="Courier New" w:hint="default"/>
      </w:rPr>
    </w:lvl>
    <w:lvl w:ilvl="8" w:tplc="04070005" w:tentative="1">
      <w:start w:val="1"/>
      <w:numFmt w:val="bullet"/>
      <w:lvlText w:val=""/>
      <w:lvlJc w:val="left"/>
      <w:pPr>
        <w:ind w:left="8393"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9419ED"/>
    <w:multiLevelType w:val="hybridMultilevel"/>
    <w:tmpl w:val="9CB66E52"/>
    <w:lvl w:ilvl="0" w:tplc="04070005">
      <w:start w:val="1"/>
      <w:numFmt w:val="bullet"/>
      <w:lvlText w:val=""/>
      <w:lvlJc w:val="left"/>
      <w:pPr>
        <w:ind w:left="3045" w:hanging="360"/>
      </w:pPr>
      <w:rPr>
        <w:rFonts w:ascii="Wingdings" w:hAnsi="Wingdings" w:hint="default"/>
      </w:rPr>
    </w:lvl>
    <w:lvl w:ilvl="1" w:tplc="04070003" w:tentative="1">
      <w:start w:val="1"/>
      <w:numFmt w:val="bullet"/>
      <w:lvlText w:val="o"/>
      <w:lvlJc w:val="left"/>
      <w:pPr>
        <w:ind w:left="3765" w:hanging="360"/>
      </w:pPr>
      <w:rPr>
        <w:rFonts w:ascii="Courier New" w:hAnsi="Courier New" w:cs="Courier New" w:hint="default"/>
      </w:rPr>
    </w:lvl>
    <w:lvl w:ilvl="2" w:tplc="04070005" w:tentative="1">
      <w:start w:val="1"/>
      <w:numFmt w:val="bullet"/>
      <w:lvlText w:val=""/>
      <w:lvlJc w:val="left"/>
      <w:pPr>
        <w:ind w:left="4485" w:hanging="360"/>
      </w:pPr>
      <w:rPr>
        <w:rFonts w:ascii="Wingdings" w:hAnsi="Wingdings" w:hint="default"/>
      </w:rPr>
    </w:lvl>
    <w:lvl w:ilvl="3" w:tplc="04070001" w:tentative="1">
      <w:start w:val="1"/>
      <w:numFmt w:val="bullet"/>
      <w:lvlText w:val=""/>
      <w:lvlJc w:val="left"/>
      <w:pPr>
        <w:ind w:left="5205" w:hanging="360"/>
      </w:pPr>
      <w:rPr>
        <w:rFonts w:ascii="Symbol" w:hAnsi="Symbol" w:hint="default"/>
      </w:rPr>
    </w:lvl>
    <w:lvl w:ilvl="4" w:tplc="04070003" w:tentative="1">
      <w:start w:val="1"/>
      <w:numFmt w:val="bullet"/>
      <w:lvlText w:val="o"/>
      <w:lvlJc w:val="left"/>
      <w:pPr>
        <w:ind w:left="5925" w:hanging="360"/>
      </w:pPr>
      <w:rPr>
        <w:rFonts w:ascii="Courier New" w:hAnsi="Courier New" w:cs="Courier New" w:hint="default"/>
      </w:rPr>
    </w:lvl>
    <w:lvl w:ilvl="5" w:tplc="04070005" w:tentative="1">
      <w:start w:val="1"/>
      <w:numFmt w:val="bullet"/>
      <w:lvlText w:val=""/>
      <w:lvlJc w:val="left"/>
      <w:pPr>
        <w:ind w:left="6645" w:hanging="360"/>
      </w:pPr>
      <w:rPr>
        <w:rFonts w:ascii="Wingdings" w:hAnsi="Wingdings" w:hint="default"/>
      </w:rPr>
    </w:lvl>
    <w:lvl w:ilvl="6" w:tplc="04070001" w:tentative="1">
      <w:start w:val="1"/>
      <w:numFmt w:val="bullet"/>
      <w:lvlText w:val=""/>
      <w:lvlJc w:val="left"/>
      <w:pPr>
        <w:ind w:left="7365" w:hanging="360"/>
      </w:pPr>
      <w:rPr>
        <w:rFonts w:ascii="Symbol" w:hAnsi="Symbol" w:hint="default"/>
      </w:rPr>
    </w:lvl>
    <w:lvl w:ilvl="7" w:tplc="04070003" w:tentative="1">
      <w:start w:val="1"/>
      <w:numFmt w:val="bullet"/>
      <w:lvlText w:val="o"/>
      <w:lvlJc w:val="left"/>
      <w:pPr>
        <w:ind w:left="8085" w:hanging="360"/>
      </w:pPr>
      <w:rPr>
        <w:rFonts w:ascii="Courier New" w:hAnsi="Courier New" w:cs="Courier New" w:hint="default"/>
      </w:rPr>
    </w:lvl>
    <w:lvl w:ilvl="8" w:tplc="04070005" w:tentative="1">
      <w:start w:val="1"/>
      <w:numFmt w:val="bullet"/>
      <w:lvlText w:val=""/>
      <w:lvlJc w:val="left"/>
      <w:pPr>
        <w:ind w:left="8805" w:hanging="360"/>
      </w:pPr>
      <w:rPr>
        <w:rFonts w:ascii="Wingdings" w:hAnsi="Wingdings" w:hint="default"/>
      </w:rPr>
    </w:lvl>
  </w:abstractNum>
  <w:abstractNum w:abstractNumId="13"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4"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0BC63F6"/>
    <w:multiLevelType w:val="hybridMultilevel"/>
    <w:tmpl w:val="CEF6539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1BB06CD"/>
    <w:multiLevelType w:val="hybridMultilevel"/>
    <w:tmpl w:val="51966D8A"/>
    <w:lvl w:ilvl="0" w:tplc="04070003">
      <w:start w:val="1"/>
      <w:numFmt w:val="bullet"/>
      <w:lvlText w:val="o"/>
      <w:lvlJc w:val="left"/>
      <w:pPr>
        <w:ind w:left="1913" w:hanging="360"/>
      </w:pPr>
      <w:rPr>
        <w:rFonts w:ascii="Courier New" w:hAnsi="Courier New" w:cs="Courier New" w:hint="default"/>
      </w:rPr>
    </w:lvl>
    <w:lvl w:ilvl="1" w:tplc="04070003">
      <w:start w:val="1"/>
      <w:numFmt w:val="bullet"/>
      <w:lvlText w:val="o"/>
      <w:lvlJc w:val="left"/>
      <w:pPr>
        <w:ind w:left="2633" w:hanging="360"/>
      </w:pPr>
      <w:rPr>
        <w:rFonts w:ascii="Courier New" w:hAnsi="Courier New" w:cs="Courier New" w:hint="default"/>
      </w:rPr>
    </w:lvl>
    <w:lvl w:ilvl="2" w:tplc="04070005" w:tentative="1">
      <w:start w:val="1"/>
      <w:numFmt w:val="bullet"/>
      <w:lvlText w:val=""/>
      <w:lvlJc w:val="left"/>
      <w:pPr>
        <w:ind w:left="3353" w:hanging="360"/>
      </w:pPr>
      <w:rPr>
        <w:rFonts w:ascii="Wingdings" w:hAnsi="Wingdings" w:hint="default"/>
      </w:rPr>
    </w:lvl>
    <w:lvl w:ilvl="3" w:tplc="04070001" w:tentative="1">
      <w:start w:val="1"/>
      <w:numFmt w:val="bullet"/>
      <w:lvlText w:val=""/>
      <w:lvlJc w:val="left"/>
      <w:pPr>
        <w:ind w:left="4073" w:hanging="360"/>
      </w:pPr>
      <w:rPr>
        <w:rFonts w:ascii="Symbol" w:hAnsi="Symbol" w:hint="default"/>
      </w:rPr>
    </w:lvl>
    <w:lvl w:ilvl="4" w:tplc="04070003" w:tentative="1">
      <w:start w:val="1"/>
      <w:numFmt w:val="bullet"/>
      <w:lvlText w:val="o"/>
      <w:lvlJc w:val="left"/>
      <w:pPr>
        <w:ind w:left="4793" w:hanging="360"/>
      </w:pPr>
      <w:rPr>
        <w:rFonts w:ascii="Courier New" w:hAnsi="Courier New" w:cs="Courier New" w:hint="default"/>
      </w:rPr>
    </w:lvl>
    <w:lvl w:ilvl="5" w:tplc="04070005" w:tentative="1">
      <w:start w:val="1"/>
      <w:numFmt w:val="bullet"/>
      <w:lvlText w:val=""/>
      <w:lvlJc w:val="left"/>
      <w:pPr>
        <w:ind w:left="5513" w:hanging="360"/>
      </w:pPr>
      <w:rPr>
        <w:rFonts w:ascii="Wingdings" w:hAnsi="Wingdings" w:hint="default"/>
      </w:rPr>
    </w:lvl>
    <w:lvl w:ilvl="6" w:tplc="04070001" w:tentative="1">
      <w:start w:val="1"/>
      <w:numFmt w:val="bullet"/>
      <w:lvlText w:val=""/>
      <w:lvlJc w:val="left"/>
      <w:pPr>
        <w:ind w:left="6233" w:hanging="360"/>
      </w:pPr>
      <w:rPr>
        <w:rFonts w:ascii="Symbol" w:hAnsi="Symbol" w:hint="default"/>
      </w:rPr>
    </w:lvl>
    <w:lvl w:ilvl="7" w:tplc="04070003" w:tentative="1">
      <w:start w:val="1"/>
      <w:numFmt w:val="bullet"/>
      <w:lvlText w:val="o"/>
      <w:lvlJc w:val="left"/>
      <w:pPr>
        <w:ind w:left="6953" w:hanging="360"/>
      </w:pPr>
      <w:rPr>
        <w:rFonts w:ascii="Courier New" w:hAnsi="Courier New" w:cs="Courier New" w:hint="default"/>
      </w:rPr>
    </w:lvl>
    <w:lvl w:ilvl="8" w:tplc="04070005" w:tentative="1">
      <w:start w:val="1"/>
      <w:numFmt w:val="bullet"/>
      <w:lvlText w:val=""/>
      <w:lvlJc w:val="left"/>
      <w:pPr>
        <w:ind w:left="7673" w:hanging="360"/>
      </w:pPr>
      <w:rPr>
        <w:rFonts w:ascii="Wingdings" w:hAnsi="Wingdings" w:hint="default"/>
      </w:rPr>
    </w:lvl>
  </w:abstractNum>
  <w:abstractNum w:abstractNumId="1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F781262"/>
    <w:multiLevelType w:val="hybridMultilevel"/>
    <w:tmpl w:val="558A20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88309D9"/>
    <w:multiLevelType w:val="hybridMultilevel"/>
    <w:tmpl w:val="08503BAE"/>
    <w:lvl w:ilvl="0" w:tplc="04070005">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1"/>
  </w:num>
  <w:num w:numId="2">
    <w:abstractNumId w:val="4"/>
  </w:num>
  <w:num w:numId="3">
    <w:abstractNumId w:val="2"/>
  </w:num>
  <w:num w:numId="4">
    <w:abstractNumId w:val="15"/>
  </w:num>
  <w:num w:numId="5">
    <w:abstractNumId w:val="8"/>
  </w:num>
  <w:num w:numId="6">
    <w:abstractNumId w:val="6"/>
  </w:num>
  <w:num w:numId="7">
    <w:abstractNumId w:val="14"/>
  </w:num>
  <w:num w:numId="8">
    <w:abstractNumId w:val="17"/>
  </w:num>
  <w:num w:numId="9">
    <w:abstractNumId w:val="10"/>
  </w:num>
  <w:num w:numId="10">
    <w:abstractNumId w:val="7"/>
  </w:num>
  <w:num w:numId="11">
    <w:abstractNumId w:val="1"/>
  </w:num>
  <w:num w:numId="12">
    <w:abstractNumId w:val="12"/>
  </w:num>
  <w:num w:numId="13">
    <w:abstractNumId w:val="18"/>
  </w:num>
  <w:num w:numId="14">
    <w:abstractNumId w:val="13"/>
  </w:num>
  <w:num w:numId="15">
    <w:abstractNumId w:val="16"/>
  </w:num>
  <w:num w:numId="16">
    <w:abstractNumId w:val="5"/>
  </w:num>
  <w:num w:numId="17">
    <w:abstractNumId w:val="0"/>
  </w:num>
  <w:num w:numId="18">
    <w:abstractNumId w:val="19"/>
  </w:num>
  <w:num w:numId="19">
    <w:abstractNumId w:val="20"/>
  </w:num>
  <w:num w:numId="20">
    <w:abstractNumId w:val="3"/>
  </w:num>
  <w:num w:numId="21">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BanerjiS\AppData\Local\Microsoft\Windows\INetCache\Content.Outlook\8I84SBE6\syndrom-ARE-SARI-COVID_bis_KW41_2021_f&#252;r-Krisenstab.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BanerjiS\AppData\Local\Microsoft\Windows\INetCache\Content.Outlook\8I84SBE6\VOC20211020_LageAG.pptx" TargetMode="External"/><Relationship Id="rId2" Type="http://schemas.openxmlformats.org/officeDocument/2006/relationships/numbering" Target="numbering.xml"/><Relationship Id="rId16" Type="http://schemas.openxmlformats.org/officeDocument/2006/relationships/hyperlink" Target="file:///C:\Users\BanerjiS\AppData\Local\Microsoft\Windows\INetCache\Content.Outlook\8I84SBE6\211020_SARS-CoV-2%20in%20ARS_Krisenstabssitzung.pptx" TargetMode="External"/><Relationship Id="rId20" Type="http://schemas.openxmlformats.org/officeDocument/2006/relationships/hyperlink" Target="file:///C:\Users\BanerjiS\AppData\Local\Microsoft\Windows\INetCache\Content.Outlook\8I84SBE6\2021-10-20_Intensivregister_SPoCK.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BanerjiS\AppData\Local\Microsoft\Windows\INetCache\Content.Outlook\8I84SBE6\Testzahlerfassung%20am%20RKI_2021-10-20_SB.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C:\Users\BanerjiS\AppData\Local\Microsoft\Windows\INetCache\Content.Outlook\8I84SBE6\syndrom-ARE-SARI-COVID_bis_KW41_2021_f&#252;r-Krisenstab.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BanerjiS\AppData\Local\Microsoft\Windows\INetCache\Content.Outlook\8I84SBE6\LageNational_2021-10-20_draft.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796D3-4C7C-4AF0-9E94-6C6564CA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1617</Words>
  <Characters>10189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Banerji, Sangeeta</cp:lastModifiedBy>
  <cp:revision>3</cp:revision>
  <cp:lastPrinted>2020-05-06T16:43:00Z</cp:lastPrinted>
  <dcterms:created xsi:type="dcterms:W3CDTF">2021-10-20T14:11:00Z</dcterms:created>
  <dcterms:modified xsi:type="dcterms:W3CDTF">2021-10-20T14:13:00Z</dcterms:modified>
</cp:coreProperties>
</file>