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Freitag, 29.10.2021,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</w:t>
          </w:r>
          <w:proofErr w:type="spellEnd"/>
          <w:r>
            <w:rPr>
              <w:sz w:val="22"/>
            </w:rPr>
            <w:t>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Lothar </w:t>
      </w:r>
      <w:proofErr w:type="spellStart"/>
      <w:r>
        <w:rPr>
          <w:sz w:val="22"/>
        </w:rPr>
        <w:t>Wieler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Esther-Maria </w:t>
      </w:r>
      <w:proofErr w:type="spellStart"/>
      <w:r>
        <w:rPr>
          <w:sz w:val="22"/>
        </w:rPr>
        <w:t>Antão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  <w:szCs w:val="22"/>
        </w:rPr>
        <w:t xml:space="preserve">Thomas </w:t>
      </w:r>
      <w:proofErr w:type="spellStart"/>
      <w:r>
        <w:rPr>
          <w:sz w:val="22"/>
          <w:szCs w:val="22"/>
        </w:rPr>
        <w:t>Ziese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Tanja Jung-</w:t>
      </w:r>
      <w:proofErr w:type="spellStart"/>
      <w:r>
        <w:rPr>
          <w:sz w:val="22"/>
        </w:rPr>
        <w:t>Sendzik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proofErr w:type="spellStart"/>
      <w:r>
        <w:rPr>
          <w:sz w:val="22"/>
        </w:rPr>
        <w:t>Djin-Ye</w:t>
      </w:r>
      <w:proofErr w:type="spellEnd"/>
      <w:r>
        <w:rPr>
          <w:sz w:val="22"/>
        </w:rPr>
        <w:t xml:space="preserve"> Oh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Patrick </w:t>
      </w:r>
      <w:proofErr w:type="spellStart"/>
      <w:r>
        <w:rPr>
          <w:sz w:val="22"/>
        </w:rPr>
        <w:t>Schmich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proofErr w:type="spellStart"/>
      <w:r>
        <w:rPr>
          <w:rStyle w:val="highlight"/>
          <w:sz w:val="22"/>
          <w:szCs w:val="22"/>
        </w:rPr>
        <w:t>Scheida</w:t>
      </w:r>
      <w:proofErr w:type="spellEnd"/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Justus Benzler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 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Andrea Sailer (Protokoll)</w:t>
      </w:r>
      <w:r>
        <w:rPr>
          <w:sz w:val="22"/>
        </w:rPr>
        <w:br w:type="column"/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Sebastian Haller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Claudia Siffczyk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Jamela Seedat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ZBS1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Janine Michel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ZBS2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Oliver </w:t>
      </w:r>
      <w:proofErr w:type="spellStart"/>
      <w:r>
        <w:rPr>
          <w:sz w:val="22"/>
        </w:rPr>
        <w:t>Kaspari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ZBS7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szCs w:val="22"/>
        </w:rPr>
        <w:t xml:space="preserve">Michaela </w:t>
      </w:r>
      <w:proofErr w:type="spellStart"/>
      <w:r>
        <w:rPr>
          <w:sz w:val="22"/>
          <w:szCs w:val="22"/>
        </w:rPr>
        <w:t>Niebank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Regina Singer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Romy Kerber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Carlos Correa-Martinez</w:t>
      </w:r>
    </w:p>
    <w:p>
      <w:pPr>
        <w:pStyle w:val="Listenabsatz"/>
        <w:spacing w:after="0"/>
        <w:ind w:left="1440"/>
        <w:contextualSpacing w:val="0"/>
        <w:rPr>
          <w:sz w:val="22"/>
        </w:rPr>
      </w:pPr>
    </w:p>
    <w:p>
      <w:pPr>
        <w:pStyle w:val="Listenabsatz"/>
        <w:spacing w:after="0"/>
        <w:ind w:left="1440"/>
        <w:contextualSpacing w:val="0"/>
        <w:rPr>
          <w:sz w:val="22"/>
          <w:highlight w:val="yellow"/>
        </w:rPr>
      </w:pPr>
    </w:p>
    <w:p>
      <w:pPr>
        <w:rPr>
          <w:sz w:val="22"/>
        </w:rPr>
      </w:pPr>
      <w:r>
        <w:rPr>
          <w:sz w:val="22"/>
        </w:rPr>
        <w:br w:type="page"/>
      </w:r>
    </w:p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b/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pStyle w:val="Liste1"/>
            </w:pPr>
            <w:r>
              <w:t xml:space="preserve">Folien </w:t>
            </w:r>
            <w:hyperlink r:id="rId11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Weltweit: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>Datenstand: WHO, 28.10.2021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>Fälle: 244.897.472 (+3% im Vergleich zu Vorwoche)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>Todesfälle: 4.970.435 Todesfälle (CFR: 2,03%)</w:t>
            </w:r>
          </w:p>
          <w:p>
            <w:pPr>
              <w:pStyle w:val="Liste1"/>
            </w:pPr>
            <w:r>
              <w:t xml:space="preserve">Liste Top 10 Länder nach neuen Fällen: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Global </w:t>
            </w:r>
            <w:proofErr w:type="gramStart"/>
            <w:r>
              <w:rPr>
                <w:sz w:val="22"/>
                <w:szCs w:val="22"/>
              </w:rPr>
              <w:t>leicht zunehmender</w:t>
            </w:r>
            <w:proofErr w:type="gramEnd"/>
            <w:r>
              <w:rPr>
                <w:sz w:val="22"/>
                <w:szCs w:val="22"/>
              </w:rPr>
              <w:t xml:space="preserve"> Trend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Reihenfolge unverändert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Stärkster zunehmender Trend in Ukraine und Deutschland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Höchste Inzidenz in Rumänien</w:t>
            </w:r>
          </w:p>
          <w:p>
            <w:pPr>
              <w:pStyle w:val="Liste1"/>
            </w:pPr>
            <w:r>
              <w:t xml:space="preserve">Fall- und Todeszahlen weltweit, WHO </w:t>
            </w:r>
            <w:proofErr w:type="spellStart"/>
            <w:r>
              <w:t>SitRep</w:t>
            </w:r>
            <w:proofErr w:type="spellEnd"/>
            <w:r>
              <w:t xml:space="preserve">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Leicht zunehmender</w:t>
            </w:r>
            <w:proofErr w:type="gramEnd"/>
            <w:r>
              <w:rPr>
                <w:sz w:val="22"/>
                <w:szCs w:val="22"/>
              </w:rPr>
              <w:t xml:space="preserve"> Trend, Fallzahlen +4%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Auffällig vor allem Region Europa + 18%, Todesfälle +14%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Abnehmende Fallzahlen in allen anderen Regionen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Zunahme der Todesfälle in Region Asien </w:t>
            </w:r>
          </w:p>
          <w:p>
            <w:pPr>
              <w:pStyle w:val="Liste1"/>
            </w:pPr>
            <w:r>
              <w:t>7-Tages-Inzidenz pro 100.000 Einwohner weltweit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große Veränderung im Vergleich zur letzten Woche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Amerikanischen und asiatischen Kontinent: leichter Rückgang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Höchste Inzidenzen in Europa</w:t>
            </w:r>
          </w:p>
          <w:p>
            <w:pPr>
              <w:pStyle w:val="Liste1"/>
            </w:pPr>
            <w:r>
              <w:t xml:space="preserve">7-Tages-Inzidenz pro 100.000 Einwohner Europa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allen baltische Staaten Inzidenz &gt; 500, höchste in Lettland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 ist die Inzidenz über 500 in Kroatien und Slowenien, auch in deren Nachbarländern Anstieg in Fallzahlen.</w:t>
            </w:r>
          </w:p>
          <w:p>
            <w:pPr>
              <w:pStyle w:val="Liste1"/>
            </w:pPr>
            <w:r>
              <w:t>Bewertung der Situation der Länder der EU/EEA durch ECDC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Bewertung anhand von Punktesystem mit 5 epidemiologischen Indikatoren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Sehr hoher Grad der Besorgnis in Bulgarien, Estland, Lettland, Litauen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Nur noch Malta und Spanien werden in die geringste Stufe eingeordnet. 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pStyle w:val="Liste1"/>
            </w:pPr>
            <w:r>
              <w:t>Ist geplant, die Situation in UK (</w:t>
            </w:r>
            <w:proofErr w:type="spellStart"/>
            <w:r>
              <w:t>Seroprävalenz</w:t>
            </w:r>
            <w:proofErr w:type="spellEnd"/>
            <w:r>
              <w:t xml:space="preserve"> letzten Sommer in Bevölkerung bei 90%, Ende der Maßnahmen) in die strategische Planung für die Zeit nach dem Winter mit einzubeziehen? Strategische Positionierung?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Ziele sind nicht an </w:t>
            </w:r>
            <w:proofErr w:type="spellStart"/>
            <w:r>
              <w:rPr>
                <w:sz w:val="22"/>
                <w:szCs w:val="22"/>
              </w:rPr>
              <w:t>Seroprävalenz</w:t>
            </w:r>
            <w:proofErr w:type="spellEnd"/>
            <w:r>
              <w:rPr>
                <w:sz w:val="22"/>
                <w:szCs w:val="22"/>
              </w:rPr>
              <w:t xml:space="preserve"> gekoppelt, die gesamte epidemiologische Lage wird betrachtet. Es wurde kein Freedom Day im Frühjahr versprochen.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1"/>
            </w:pPr>
            <w:r>
              <w:t xml:space="preserve">Fallzahlen, Todesfälle, Trend (Folien </w:t>
            </w:r>
            <w:hyperlink r:id="rId12" w:history="1">
              <w:r>
                <w:rPr>
                  <w:rStyle w:val="Hyperlink"/>
                </w:rPr>
                <w:t>hier</w:t>
              </w:r>
            </w:hyperlink>
            <w:r>
              <w:t xml:space="preserve">)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4.559.120 (+24.668), davon 95.606 (+121) Todesfälle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7-Tage-Inzidenz 139,2/100.000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Hospitalisierungsinzidenz: 3,5/100.000 EW, AG ≥ 60Jährige: 7,7/100.000 EW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Fälle auf ITS: 1.808 (+40)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Impfmonitoring</w:t>
            </w:r>
            <w:proofErr w:type="spellEnd"/>
            <w:r>
              <w:rPr>
                <w:sz w:val="22"/>
                <w:szCs w:val="22"/>
              </w:rPr>
              <w:t>: Geimpfte mit 1. Dosis 57.609.928 (69,3%), mit vollständiger Impfung 55.276.225 (66,5%)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Verlauf der 7-Tage-Inzidenz der Bundesländer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Thüringen, Sachsen und Bayern: sehr hohe Inzidenzen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anderen BL kein vergleichbar steiler Anstieg, aber in allen BL steigende Tendenzen.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Karte färbt sich dunkler ein.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LK mit Inzidenzen &gt; 500 in Bayern: Mühldorf/Inn, Miesbach, Traunstein, Straubing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 noch wenige LK mit Inzidenz &lt; 50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 LK kann zurzeit aus technischen Gründen keine Fälle übermitteln.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Wochenvergleich ist Anstieg deutlich sichtbar, starker Fokus auf Süden und Süd-Osten.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Adjustierte Hospitalisierungsinzidenz (Wochenbericht)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Deutlicher Anstieg zu erwarten, wenn man Meldeverzug berücksichtigt.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Sterbefallzahlen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Weiterhin ähnliches Niveau wie 2017-2020, noch keine Übersterblichkeit.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Verlauf 7-Tage-Inzidenz und 7-Tage-Hospitalisierungs</w:t>
            </w:r>
            <w:r>
              <w:rPr>
                <w:sz w:val="22"/>
                <w:szCs w:val="22"/>
              </w:rPr>
              <w:softHyphen/>
              <w:t>inzidenz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erster Welle wurden anteilig deutlich mehr Fälle hospitalisiert. Vermutlich aufgrund der geringen Testkapazität und einer besseren Erfassung der schweren Fälle im Meldesystem.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2., 3.und 4. Welle dann ähnliches Testangebot.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Verhältnis Hospitalisierungsinzidenz zu 7-Tage-Inzidenz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1.Welle Verhältnis Inzidenz zu Hospitalisierungs</w:t>
            </w:r>
            <w:r>
              <w:rPr>
                <w:sz w:val="22"/>
                <w:szCs w:val="22"/>
              </w:rPr>
              <w:softHyphen/>
              <w:t>inzidenz deutlich höher, dann Rückgang.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Zeiten zwischen den Wellen steigt das Verhältnis wieder an. Vielleicht wegen großzügigeren KH-Einweisungen aufgrund von größeren Kapazitäten.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Sehr stark von anderen Faktoren abhängig.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Anteil ist immer noch hoch und noch nicht sehr stark zurückgegangen.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Verhältnis Inzidenz und Hospitalisierungsinzidenz nach Altersgruppen über den Pandemieverlauf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&gt;</w:t>
            </w:r>
            <w:proofErr w:type="gramStart"/>
            <w:r>
              <w:rPr>
                <w:sz w:val="22"/>
                <w:szCs w:val="22"/>
              </w:rPr>
              <w:t>80 Jährigen</w:t>
            </w:r>
            <w:proofErr w:type="gramEnd"/>
            <w:r>
              <w:rPr>
                <w:sz w:val="22"/>
                <w:szCs w:val="22"/>
              </w:rPr>
              <w:t xml:space="preserve"> ist Verhältnis Inzidenz und Hospitalisierungsinzidenz gesunken, aber trotzdem noch sehr hoch. Der Anteil schwerer Verläufe ist bei Hochaltrigen immer noch höher als in anderen AG.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anderen AG werden nur ca. 10% aller Fälle hospitalisiert.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Nächsten Mittwoch folgen noch andere Darstellungen.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Strategie und Kommunikation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Notwendig der Bevölkerung zu vermitteln, dass das Risiko in höheren AG durch Impfung stark gesunken, aber trotzdem immer noch höher als in jüngeren AG ist.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Auch Geimpfte tragen weiterhin zur Verbreitung bei. Die Einhaltung der Basismaßnahmen muss wieder stärker vermittelt werden.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Verantwortung sollte nicht immer den Jungen zugeschoben werden. Auch die Alten haben eine Selbstverantwortung.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 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(Singer)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Oh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FG32 (</w:t>
            </w:r>
            <w:r>
              <w:rPr>
                <w:sz w:val="22"/>
              </w:rPr>
              <w:t>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WHO Generaldirektor verlängert PHEIC und zeitl. befristete Empfehlungen für 3 weitere Monate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Werden die Empfehlungen systematisch geprüft?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Von FG38, Maßnahmen vom BMG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Haben keinen bindenden gesetzlichen Charakter. Nicht alle Empfehlungen werden komplett umgesetzt. </w:t>
            </w:r>
          </w:p>
          <w:p>
            <w:pPr>
              <w:rPr>
                <w:b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t>(Folien hier)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Arbeit des Kommunikationsteams der CWA </w:t>
            </w:r>
            <w:r>
              <w:rPr>
                <w:sz w:val="22"/>
                <w:szCs w:val="22"/>
              </w:rPr>
              <w:t xml:space="preserve">(Folien 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Neues und komplexes Produkt, das beständig weiterentwickelt wird: Kontaktnachverfolgung, Test</w:t>
            </w:r>
            <w:r>
              <w:rPr>
                <w:sz w:val="22"/>
                <w:szCs w:val="22"/>
              </w:rPr>
              <w:softHyphen/>
              <w:t>ergebnis</w:t>
            </w:r>
            <w:r>
              <w:rPr>
                <w:sz w:val="22"/>
                <w:szCs w:val="22"/>
              </w:rPr>
              <w:softHyphen/>
            </w:r>
            <w:r>
              <w:rPr>
                <w:sz w:val="22"/>
                <w:szCs w:val="22"/>
              </w:rPr>
              <w:softHyphen/>
              <w:t>erfassung und -benachrichtigung, Event Check-in, Impfnachweis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Ziel: Transparenz schaffen, Möglichkeit für Anfragen zu bieten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Kommunikation mit Bürgern, Beantwortung von Bürgeranfragen, hauptsächlich per Email, zum Teil auch Telefonate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Nutzung von </w:t>
            </w:r>
            <w:proofErr w:type="spellStart"/>
            <w:r>
              <w:rPr>
                <w:sz w:val="22"/>
                <w:szCs w:val="22"/>
              </w:rPr>
              <w:t>Autoreply</w:t>
            </w:r>
            <w:proofErr w:type="spellEnd"/>
            <w:r>
              <w:rPr>
                <w:sz w:val="22"/>
                <w:szCs w:val="22"/>
              </w:rPr>
              <w:t xml:space="preserve"> und Textbausteinen, aber mit persönlicher Anrede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 zu SAP und Telekom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Art der Anfragen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Veröffentlichung (Juni-Juli 2020) in erster Linie Anfragen zur Technik, Fehlermeldungen und zur Risikoermittlung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Mittlerweile kaum noch technische Fragen, in erster Linie Fragen zu Impfzertifikaten und Testergebnissen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Hinweise zur Verbesserung, wertvoller Input für SAP und DT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Kritik (mehr) und Lob (weniger)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Juni-Juli 2020: 42 Mitarbeiter beantworteten in 17 Positionen in 2 Schichten 200-300 Mails pro Tag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 August 2020: 7 Mitarbeiter, ca. 50 Mails pro Tag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bisher ca. 24.000 Bürgermails beantwortet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CovPassCheck</w:t>
            </w:r>
            <w:proofErr w:type="spellEnd"/>
            <w:r>
              <w:rPr>
                <w:sz w:val="22"/>
                <w:szCs w:val="22"/>
              </w:rPr>
              <w:t xml:space="preserve"> App (IBM) gutes Tool um Impfzertifikate an der Basis (z.B. in Restaurants) zu kontrollieren.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Bedeutung der Kontaktnachverfolgung nicht vernachlässigen: bei 1/5 aller roten Meldungen ist der anschließende Test positiv. 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Mehr Funktionalitäten führen zu stärker Gesamtnutzung.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Wie lange soll so ein Tool laufen? Solange eine pandemische Situation vorliegt? Muss irgendwann in konzeptionelle Strategie überführt werden. 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FG21 /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Kaspari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Mielke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Schmich</w:t>
            </w:r>
            <w:proofErr w:type="spellEnd"/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anwesend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Sehr viele Anfragen zu Impfdurchbrüchen, Auffrischungs</w:t>
            </w:r>
            <w:r>
              <w:rPr>
                <w:sz w:val="22"/>
                <w:szCs w:val="22"/>
              </w:rPr>
              <w:softHyphen/>
              <w:t>impfungen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Nächsten Mittwoch letzte BPK mit Herrn </w:t>
            </w:r>
            <w:proofErr w:type="spellStart"/>
            <w:r>
              <w:rPr>
                <w:sz w:val="22"/>
                <w:szCs w:val="22"/>
              </w:rPr>
              <w:t>Wieler</w:t>
            </w:r>
            <w:proofErr w:type="spellEnd"/>
            <w:r>
              <w:rPr>
                <w:sz w:val="22"/>
                <w:szCs w:val="22"/>
              </w:rPr>
              <w:t xml:space="preserve"> und Herrn Spahn, danach keine Pressebriefings vom RKI geplant. Letzte Chance Kernmessages anzusprechen, nicht klar, wann die nächste Gelegenheit besteht.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P1 und Presse sollten zusätzlich zur PK twittern.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Dass das RKI keine eigenen Pressekonferenzen durchführen wird, wurde noch nicht final entschieden. Da die Pressefragen jedoch zu 80% politisch sind, entsteht in der Zeit bis zur neuen Regierungsbildung ein Vakuum.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Schwierig sich zu politischen Fragen zu äußern. Aufpassen, dass RKI nicht für alles verantwortlich gemacht wird, weil sich kein anderer äußert.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BPK ist nicht einziges Instrument. Andere Formate, wie Hintergrundgespräche, Wochenberichte, Interviews, Beantwortung von Presseanfragen, Twitter möglich.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BPK hat größere Reichweite als andere Publikationen, findet in Zeitungen Wiederhall. 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Wissenschaftskommunikation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Boosterimpfung</w:t>
            </w:r>
            <w:proofErr w:type="spellEnd"/>
            <w:r>
              <w:rPr>
                <w:sz w:val="22"/>
                <w:szCs w:val="22"/>
              </w:rPr>
              <w:t xml:space="preserve"> auf Twitter und Insta geplant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Für Grafik zu Impfdurchbrüchen wurde Hr. von Kleist ins Boot geholt.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Abbildung zum wöchentlichen Impfquoten-Monitoring (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Soll so auf Insta und Twitter dargestellt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Janssen ist als vollständig geimpft in Abb. eingegangen.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proofErr w:type="spellStart"/>
            <w:r>
              <w:rPr>
                <w:sz w:val="22"/>
              </w:rPr>
              <w:t>Epid</w:t>
            </w:r>
            <w:proofErr w:type="spellEnd"/>
            <w:r>
              <w:rPr>
                <w:sz w:val="22"/>
              </w:rPr>
              <w:t>. Bull Publikation Indikatoren: Deutschland im Vergleich zu anderen Ländern, wie ist der Stand?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</w:rPr>
              <w:t>Struktur erstellt, Arbeitspakete verteilt, nächste Woche erneute Absprache; AP Fr. Jung-</w:t>
            </w:r>
            <w:proofErr w:type="spellStart"/>
            <w:r>
              <w:rPr>
                <w:sz w:val="22"/>
              </w:rPr>
              <w:t>Sendzik</w:t>
            </w:r>
            <w:proofErr w:type="spellEnd"/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 xml:space="preserve">Wann erscheint Beitrag fürs Ärzteblatt von Hr. </w:t>
            </w:r>
            <w:proofErr w:type="spellStart"/>
            <w:r>
              <w:rPr>
                <w:sz w:val="22"/>
              </w:rPr>
              <w:t>Wieler</w:t>
            </w:r>
            <w:proofErr w:type="spellEnd"/>
            <w:r>
              <w:rPr>
                <w:sz w:val="22"/>
              </w:rPr>
              <w:t xml:space="preserve"> zum Thema Kinder?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Ärzteblatt hat Manuskript schon, Hr. </w:t>
            </w:r>
            <w:proofErr w:type="spellStart"/>
            <w:r>
              <w:rPr>
                <w:sz w:val="22"/>
              </w:rPr>
              <w:t>Wieler</w:t>
            </w:r>
            <w:proofErr w:type="spellEnd"/>
            <w:r>
              <w:rPr>
                <w:sz w:val="22"/>
              </w:rPr>
              <w:t xml:space="preserve"> ist in Kontakt mit Redakteurin, dauert üblicherweise nicht allzu lange.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(Degen)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Wieler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(Lein)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 wird sich Impfung auf schwere Fälle auswirken?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 weit hilft Impfung, um Überlastung abzuwenden oder müssen weitere Maßnahmen getroffen werden?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Wirkung von Impfung auf die verschiedenen Altersgruppen?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Zurzeit steigende Inzidenzen, steigende Hospitalisierungen und Todesfälle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werden mehr Impfdurchbrüche bei Geimpften erwartet, da Anstieg bei Infektionen.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Wie kann man kommunizieren, dass Impfung trotz steigender Fallzahlen eine große Bedeutung hat?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Analyse von Forsa, initiiert von BMG: Befragung von 4.000 Ungeimpften: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Allermeisten haben nicht vor sich impfen zu lassen.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Viele halten das Risiko, schwer zu erkranken, für gering.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Impfsicherheit ist großes Thema.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Weiterhin an Ungeimpfte appellieren. Wirksamkeit gegen schwere Verläufe ist gut.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Impfung wirkt allerdings nicht so gut wie erhofft gegen Infektionen und Übertragung auf andere.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Ziel ist Verhinderung schwerer Krankheitsverläufe und Todesfälle.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Kommunizieren, dass vorsichtiges Verhalten und regelmäßiges Testen weiterhin wichtig sind.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Geimpfte </w:t>
            </w:r>
            <w:proofErr w:type="gramStart"/>
            <w:r>
              <w:rPr>
                <w:sz w:val="22"/>
                <w:szCs w:val="22"/>
              </w:rPr>
              <w:t>haben</w:t>
            </w:r>
            <w:proofErr w:type="gramEnd"/>
            <w:r>
              <w:rPr>
                <w:sz w:val="22"/>
                <w:szCs w:val="22"/>
              </w:rPr>
              <w:t xml:space="preserve"> ein reduziertes Risiko schwer zu erkranken. Dies entlässt sie nicht aus der Verantwortung, zu vermeiden, dass sie andere infizieren.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letzter BPK wurde erläutert, wie viele Millionen Personen in den einzelnen Altersgruppen noch ungeimpft sind. -&gt; anschaulicher als nur Prozentwerte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FAQ zum Übertragungsrisiko durch Geimpfte muss geändert werden. Bisher sinngemäß, dass es aus PH-Sicht vernachlässigbar sei.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Änderung FAQ, FF Presse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Publikation “Community </w:t>
            </w:r>
            <w:proofErr w:type="spellStart"/>
            <w:r>
              <w:rPr>
                <w:sz w:val="22"/>
                <w:szCs w:val="22"/>
              </w:rPr>
              <w:t>transmission</w:t>
            </w:r>
            <w:proofErr w:type="spellEnd"/>
            <w:r>
              <w:rPr>
                <w:sz w:val="22"/>
                <w:szCs w:val="22"/>
              </w:rPr>
              <w:t xml:space="preserve"> an viral </w:t>
            </w:r>
            <w:proofErr w:type="spellStart"/>
            <w:r>
              <w:rPr>
                <w:sz w:val="22"/>
                <w:szCs w:val="22"/>
              </w:rPr>
              <w:t>load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kinetics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</w:t>
            </w:r>
            <w:proofErr w:type="spellEnd"/>
            <w:r>
              <w:rPr>
                <w:sz w:val="22"/>
                <w:szCs w:val="22"/>
              </w:rPr>
              <w:t xml:space="preserve"> SARS-CoV-2 </w:t>
            </w:r>
            <w:proofErr w:type="spellStart"/>
            <w:r>
              <w:rPr>
                <w:sz w:val="22"/>
                <w:szCs w:val="22"/>
              </w:rPr>
              <w:t>delta</w:t>
            </w:r>
            <w:proofErr w:type="spellEnd"/>
            <w:r>
              <w:rPr>
                <w:sz w:val="22"/>
                <w:szCs w:val="22"/>
              </w:rPr>
              <w:t xml:space="preserve"> variant in </w:t>
            </w:r>
            <w:proofErr w:type="spellStart"/>
            <w:r>
              <w:rPr>
                <w:sz w:val="22"/>
                <w:szCs w:val="22"/>
              </w:rPr>
              <w:t>vaccinated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unvaccinated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individuals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the</w:t>
            </w:r>
            <w:proofErr w:type="spellEnd"/>
            <w:r>
              <w:rPr>
                <w:sz w:val="22"/>
                <w:szCs w:val="22"/>
              </w:rPr>
              <w:t xml:space="preserve"> UK” kommt zu dem Ergebnis, dass der Impfeffekt auf die Reduzierung der Transmission minimal ist.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Vorschlag: Vorstellung der Studie nächste Woche in 2-3 Folien durch FG36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Fragestellung ohne systematische Aufarbeitung vorstellen, Aspekt Weiterverbreitung in Population, kein evidenzbasiertes systematisches Review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Dann sollten auch andere Studien zur Thematik vorgestellt werden. -&gt; keine Kapazitäten dazu in FG36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Wenn nur einzelne Studien herausgegriffen werden, könnte dies einen </w:t>
            </w:r>
            <w:proofErr w:type="spellStart"/>
            <w:r>
              <w:rPr>
                <w:sz w:val="22"/>
                <w:szCs w:val="22"/>
              </w:rPr>
              <w:t>bias</w:t>
            </w:r>
            <w:proofErr w:type="spellEnd"/>
            <w:r>
              <w:rPr>
                <w:sz w:val="22"/>
                <w:szCs w:val="22"/>
              </w:rPr>
              <w:t xml:space="preserve"> in die Diskussion bringen, ausgewogene Informations- und Datenlage erforderlich.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Kann FG33 dazu beitragen?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Ziel STIKO: Verhinderung von schweren Infektionen, generelle Verhinderung von Infektionen steht nicht im Mittelpunkt für STIKO, für RKI aber relevant. Für Booster-Impfung muss Evidenz für Übertragung aufgearbeitet werden.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Abt. 3 klärt, ob und was vorgestellt wird.</w:t>
            </w:r>
          </w:p>
          <w:p>
            <w:pPr>
              <w:spacing w:after="120" w:line="276" w:lineRule="auto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Wieler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Buda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Dokumente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STIKO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Diese Woche wieder Sitzung. Themen: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Deutlich erhöhtes Myokarditis Risiko nach </w:t>
            </w:r>
            <w:proofErr w:type="spellStart"/>
            <w:r>
              <w:rPr>
                <w:sz w:val="22"/>
                <w:szCs w:val="22"/>
              </w:rPr>
              <w:t>Spikevax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Vorbereitung eines ersten </w:t>
            </w:r>
            <w:proofErr w:type="spellStart"/>
            <w:r>
              <w:rPr>
                <w:sz w:val="22"/>
                <w:szCs w:val="22"/>
              </w:rPr>
              <w:t>Drafts</w:t>
            </w:r>
            <w:proofErr w:type="spellEnd"/>
            <w:r>
              <w:rPr>
                <w:sz w:val="22"/>
                <w:szCs w:val="22"/>
              </w:rPr>
              <w:t xml:space="preserve">, Einschränkung von </w:t>
            </w:r>
            <w:proofErr w:type="spellStart"/>
            <w:r>
              <w:rPr>
                <w:sz w:val="22"/>
                <w:szCs w:val="22"/>
              </w:rPr>
              <w:t>Spikevax</w:t>
            </w:r>
            <w:proofErr w:type="spellEnd"/>
            <w:r>
              <w:rPr>
                <w:sz w:val="22"/>
                <w:szCs w:val="22"/>
              </w:rPr>
              <w:t xml:space="preserve"> auf Altersgruppe 30+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Woche Entscheidung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Impfung von Genesenen: 1 oder 2 Impfdosen, über 4.000 Publikationen dazu.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Booster-Impfung: letzte Woche Empfehlung für &gt;</w:t>
            </w:r>
            <w:proofErr w:type="gramStart"/>
            <w:r>
              <w:rPr>
                <w:sz w:val="22"/>
                <w:szCs w:val="22"/>
              </w:rPr>
              <w:t>70 Jährige</w:t>
            </w:r>
            <w:proofErr w:type="gramEnd"/>
            <w:r>
              <w:rPr>
                <w:sz w:val="22"/>
                <w:szCs w:val="22"/>
              </w:rPr>
              <w:t>, Gesundheitspersonal, Jansen-Impfstoff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Israel finden breite </w:t>
            </w:r>
            <w:proofErr w:type="spellStart"/>
            <w:r>
              <w:rPr>
                <w:sz w:val="22"/>
                <w:szCs w:val="22"/>
              </w:rPr>
              <w:t>booster</w:t>
            </w:r>
            <w:proofErr w:type="spellEnd"/>
            <w:r>
              <w:rPr>
                <w:sz w:val="22"/>
                <w:szCs w:val="22"/>
              </w:rPr>
              <w:t xml:space="preserve">-Impfungen statt, dort wurde </w:t>
            </w:r>
            <w:proofErr w:type="spellStart"/>
            <w:r>
              <w:rPr>
                <w:sz w:val="22"/>
                <w:szCs w:val="22"/>
              </w:rPr>
              <w:t>BioNTech</w:t>
            </w:r>
            <w:proofErr w:type="spellEnd"/>
            <w:r>
              <w:rPr>
                <w:sz w:val="22"/>
                <w:szCs w:val="22"/>
              </w:rPr>
              <w:t xml:space="preserve"> im 3 Wochenintervall geimpft.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Absinken Immunschutz auch in unseren Daten, STIKO muss sich positionieren.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Viele Presseanfragen zu Impfdurchbrüchen, 1-2% sinkende Wirksamkeit pro Woche, nachlassender Impfschutz vor Hospitalisierung bei &gt;</w:t>
            </w:r>
            <w:proofErr w:type="gramStart"/>
            <w:r>
              <w:rPr>
                <w:sz w:val="22"/>
                <w:szCs w:val="22"/>
              </w:rPr>
              <w:t>60 Jährigen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Minister hat allen Booster-Impfung nahegelegt (ist von STIKO aber noch nicht empfohlen) und doppelte Impfung von Genesenen (hierzu liegen FG33 und WHO noch keine Daten vor)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Frage: Was bringt wirklich Zusatznutzen?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Werden demnächst andere Impfstoffe als </w:t>
            </w:r>
            <w:proofErr w:type="spellStart"/>
            <w:r>
              <w:rPr>
                <w:sz w:val="22"/>
                <w:szCs w:val="22"/>
              </w:rPr>
              <w:t>mRNA</w:t>
            </w:r>
            <w:proofErr w:type="spellEnd"/>
            <w:r>
              <w:rPr>
                <w:sz w:val="22"/>
                <w:szCs w:val="22"/>
              </w:rPr>
              <w:t xml:space="preserve">-Impfstoffe zugelassen? Vor allem für kleine Kindern mit bekannten, vielfach erprobten </w:t>
            </w:r>
            <w:proofErr w:type="spellStart"/>
            <w:r>
              <w:rPr>
                <w:sz w:val="22"/>
                <w:szCs w:val="22"/>
              </w:rPr>
              <w:t>Adjuvantien</w:t>
            </w:r>
            <w:proofErr w:type="spellEnd"/>
            <w:r>
              <w:rPr>
                <w:sz w:val="22"/>
                <w:szCs w:val="22"/>
              </w:rPr>
              <w:t xml:space="preserve">?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Novavax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bookmarkStart w:id="0" w:name="_GoBack"/>
            <w:bookmarkEnd w:id="0"/>
            <w:r>
              <w:rPr>
                <w:sz w:val="22"/>
                <w:szCs w:val="22"/>
              </w:rPr>
              <w:t>ibt noch Nachfragen, eingeschränkte Produktions</w:t>
            </w:r>
            <w:r>
              <w:rPr>
                <w:sz w:val="22"/>
                <w:szCs w:val="22"/>
              </w:rPr>
              <w:softHyphen/>
              <w:t xml:space="preserve">kapazitäten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Vermutlich Ende 2021 oder Anfang nächsten Jahres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Zunächst für Erwachsene, Jugendlichen 2 Monate später; für &lt;</w:t>
            </w:r>
            <w:proofErr w:type="gramStart"/>
            <w:r>
              <w:rPr>
                <w:sz w:val="22"/>
                <w:szCs w:val="22"/>
              </w:rPr>
              <w:t>12 Jährigen</w:t>
            </w:r>
            <w:proofErr w:type="gramEnd"/>
            <w:r>
              <w:rPr>
                <w:sz w:val="22"/>
                <w:szCs w:val="22"/>
              </w:rPr>
              <w:t xml:space="preserve"> nichts in naher Zukunft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Sanofi-GSK: andere Wirkstoff nicht vor Ende nächsten Jahres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 STIKO liegen Daten aus Zulassung von </w:t>
            </w:r>
            <w:proofErr w:type="spellStart"/>
            <w:r>
              <w:rPr>
                <w:sz w:val="22"/>
                <w:szCs w:val="22"/>
              </w:rPr>
              <w:t>Comirnaty</w:t>
            </w:r>
            <w:proofErr w:type="spellEnd"/>
            <w:r>
              <w:rPr>
                <w:sz w:val="22"/>
                <w:szCs w:val="22"/>
              </w:rPr>
              <w:t xml:space="preserve"> ab 5 Jahren vor.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Wirksamkeit traditioneller Impfstoffe nicht so gut.</w:t>
            </w:r>
          </w:p>
          <w:p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(Wichmann)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Oh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Labordiagnostik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2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Virologisches Sentinel hatte in den letzten 4 Wochen 784 Proben, davon: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SARS-CoV-2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195 </w:t>
            </w:r>
            <w:proofErr w:type="spellStart"/>
            <w:r>
              <w:rPr>
                <w:sz w:val="22"/>
                <w:szCs w:val="22"/>
              </w:rPr>
              <w:t>Rhinovirus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Parainfluenzavirus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 saisonale (endemische) Coronaviren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Metapneumovirus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Influenzavirus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  <w:p>
            <w:pPr>
              <w:pStyle w:val="2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ZBS1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 Proben, davon 92 positiv auf SARS-CoV-2.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(Oh)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ZBS1 (Michel)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Zurzeit Aktualisierung von einigen Dokumenten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ZBS7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Niebank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Maßnahmen zum Infektionsschutz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FG14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 xml:space="preserve">Surveillance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proofErr w:type="spellStart"/>
            <w:r>
              <w:rPr>
                <w:sz w:val="22"/>
              </w:rPr>
              <w:t>EinreiseVo</w:t>
            </w:r>
            <w:proofErr w:type="spellEnd"/>
            <w:r>
              <w:rPr>
                <w:sz w:val="22"/>
              </w:rPr>
              <w:t xml:space="preserve"> voraussichtlich bis 15.01.2022 verlängert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Verlängerung um 2 Wochen; Unsicherheit, wie es danach weiter geht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Int. Kommunikation wieder arbeitsintensiver (wahrscheinlich herbstferienbedingt)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Weniger Erlasse und kleine Anfragen im Moment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5.11. Beginn Krisenstabsitzung erst ab 12 Uhr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Mittwoch, 03.11.2021,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120" w:line="360" w:lineRule="auto"/>
      </w:pPr>
    </w:p>
    <w:p>
      <w:pPr>
        <w:spacing w:after="240" w:line="360" w:lineRule="auto"/>
      </w:pPr>
      <w:r>
        <w:rPr>
          <w:b/>
        </w:rPr>
        <w:t>Ende</w:t>
      </w:r>
      <w:r>
        <w:t>: 12:50 Uhr</w:t>
      </w:r>
    </w:p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AC5A26"/>
    <w:multiLevelType w:val="hybridMultilevel"/>
    <w:tmpl w:val="A4E6935E"/>
    <w:lvl w:ilvl="0" w:tplc="20D4BE9E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97807"/>
    <w:multiLevelType w:val="hybridMultilevel"/>
    <w:tmpl w:val="6E182EA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B08AF"/>
    <w:multiLevelType w:val="hybridMultilevel"/>
    <w:tmpl w:val="B706D476"/>
    <w:lvl w:ilvl="0" w:tplc="4448E738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9"/>
  </w:num>
  <w:num w:numId="5">
    <w:abstractNumId w:val="8"/>
  </w:num>
  <w:num w:numId="6">
    <w:abstractNumId w:val="20"/>
  </w:num>
  <w:num w:numId="7">
    <w:abstractNumId w:val="25"/>
  </w:num>
  <w:num w:numId="8">
    <w:abstractNumId w:val="14"/>
  </w:num>
  <w:num w:numId="9">
    <w:abstractNumId w:val="5"/>
  </w:num>
  <w:num w:numId="10">
    <w:abstractNumId w:val="29"/>
  </w:num>
  <w:num w:numId="11">
    <w:abstractNumId w:val="24"/>
  </w:num>
  <w:num w:numId="12">
    <w:abstractNumId w:val="16"/>
  </w:num>
  <w:num w:numId="13">
    <w:abstractNumId w:val="13"/>
  </w:num>
  <w:num w:numId="14">
    <w:abstractNumId w:val="21"/>
  </w:num>
  <w:num w:numId="15">
    <w:abstractNumId w:val="18"/>
  </w:num>
  <w:num w:numId="16">
    <w:abstractNumId w:val="0"/>
  </w:num>
  <w:num w:numId="17">
    <w:abstractNumId w:val="12"/>
  </w:num>
  <w:num w:numId="18">
    <w:abstractNumId w:val="27"/>
  </w:num>
  <w:num w:numId="19">
    <w:abstractNumId w:val="10"/>
  </w:num>
  <w:num w:numId="20">
    <w:abstractNumId w:val="26"/>
  </w:num>
  <w:num w:numId="21">
    <w:abstractNumId w:val="7"/>
  </w:num>
  <w:num w:numId="22">
    <w:abstractNumId w:val="9"/>
  </w:num>
  <w:num w:numId="23">
    <w:abstractNumId w:val="2"/>
  </w:num>
  <w:num w:numId="24">
    <w:abstractNumId w:val="22"/>
  </w:num>
  <w:num w:numId="25">
    <w:abstractNumId w:val="15"/>
  </w:num>
  <w:num w:numId="26">
    <w:abstractNumId w:val="1"/>
  </w:num>
  <w:num w:numId="27">
    <w:abstractNumId w:val="23"/>
  </w:num>
  <w:num w:numId="28">
    <w:abstractNumId w:val="28"/>
  </w:num>
  <w:num w:numId="29">
    <w:abstractNumId w:val="6"/>
  </w:num>
  <w:num w:numId="3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29"/>
      </w:numPr>
      <w:spacing w:after="0"/>
    </w:pPr>
    <w:rPr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spacing w:after="0"/>
      <w:ind w:left="927" w:hanging="360"/>
    </w:pPr>
    <w:rPr>
      <w:sz w:val="22"/>
      <w:szCs w:val="22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</w:rPr>
  </w:style>
  <w:style w:type="paragraph" w:customStyle="1" w:styleId="3">
    <w:name w:val="Ü3"/>
    <w:basedOn w:val="Listenabsatz"/>
    <w:qFormat/>
    <w:pPr>
      <w:spacing w:before="120" w:after="0"/>
      <w:ind w:left="1080" w:hanging="360"/>
    </w:pPr>
    <w:rPr>
      <w:b/>
      <w:sz w:val="22"/>
      <w:szCs w:val="22"/>
    </w:rPr>
  </w:style>
  <w:style w:type="paragraph" w:customStyle="1" w:styleId="Liste3">
    <w:name w:val="Liste3"/>
    <w:basedOn w:val="Listenabsatz"/>
    <w:qFormat/>
    <w:pPr>
      <w:spacing w:after="0"/>
      <w:ind w:left="1193" w:hanging="360"/>
    </w:pPr>
    <w:rPr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CWA%20Kommunikationsteam.ppt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ageNational_2021-10-29-corr.ppt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VID-19_internat.%20Lage_2021-10-29.ppt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P1-Impfquotenmonitoring-Boosted-2021-10-29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BDEC3-9457-4FAC-8F32-108EAFB8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1974</Words>
  <Characters>12438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Sailer, Andrea</cp:lastModifiedBy>
  <cp:revision>47</cp:revision>
  <cp:lastPrinted>2020-05-06T16:43:00Z</cp:lastPrinted>
  <dcterms:created xsi:type="dcterms:W3CDTF">2021-10-29T11:53:00Z</dcterms:created>
  <dcterms:modified xsi:type="dcterms:W3CDTF">2021-10-29T15:12:00Z</dcterms:modified>
</cp:coreProperties>
</file>