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05.11.2021, 12:00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Esther-Maria </w:t>
      </w:r>
      <w:proofErr w:type="spellStart"/>
      <w:r>
        <w:rPr>
          <w:sz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Kai Schulze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Schulz-Weidhaas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Oliver Ommen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Datenstand: WHO, 03.11.2021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Fälle: 247.472.724 (+4,3% im Vergleich zu Vorwoche)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Todesfälle: 5.012.337 Todesfälle (CFR: 2,03%)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Länder unverändert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und Rumänien: rückläufiger Trend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Deutschland auf Platz 6 mit steigenden Fallzahlen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Impfquote ist auffallend niedrig in osteuropäischen Ländern.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 in UK</w:t>
            </w:r>
          </w:p>
          <w:p>
            <w:pPr>
              <w:pStyle w:val="Liste1"/>
            </w:pPr>
            <w:r>
              <w:t xml:space="preserve">Fall- und Todeszahlen weltweit, WHO </w:t>
            </w:r>
            <w:proofErr w:type="spellStart"/>
            <w:r>
              <w:t>SitRep</w:t>
            </w:r>
            <w:proofErr w:type="spellEnd"/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Steigender globaler Trend: Inzidenz + 3%, Todesfälle + 8%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Abnehmender Trend in Region östliches Mittelmeer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Todesfälle +50% in Süd-Ost-Asien, vor allem wegen Nachmeldungen aus Indien</w:t>
            </w:r>
          </w:p>
          <w:p>
            <w:pPr>
              <w:pStyle w:val="Liste1"/>
            </w:pPr>
            <w:r>
              <w:t>7-Tages-Inzidenz pro 100.000 Einwohner weltweit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Nord- und Südamerika bleiben stabil, weltweit höchste Inzidenzen auf europäischem Kontinent </w:t>
            </w:r>
          </w:p>
          <w:p>
            <w:pPr>
              <w:pStyle w:val="Liste1"/>
            </w:pPr>
            <w:r>
              <w:t>7-Tages-Inzidenz pro 100.000 Einwohner EU/EWR Wochenvergleich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Inzidenzen &gt;500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Baltische Staaten, in Estland &gt;900 bei weiterhin steigendem Trend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Slowenien und Kroatien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hinzugekommen Slowakei</w:t>
            </w:r>
          </w:p>
          <w:p>
            <w:pPr>
              <w:pStyle w:val="Liste1"/>
            </w:pPr>
            <w:r>
              <w:t>Bewertung der epidemiologischen Situation der Länder der EU/EEA durch ECDC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Punktebewertung anhand von 5 Kriterien: Je höher die Punktezahl (dunkler), desto besorgniserregend ist die Lage in einem Land. Tabelle wird dunkler.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in der höchsten Kategorie sind Tschechien, Griechenland, Ungarn, Niederlande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 Zunahme für Deutschland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Malta und Spanien: weiterhin als einzige Länder in der 1., am wenigsten besorgniserregenden Kategorie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4.709.488 (+37.120), davon 96.346 (+154) Todesfälle </w:t>
            </w:r>
          </w:p>
          <w:p>
            <w:pPr>
              <w:pStyle w:val="Listenabsatz"/>
              <w:numPr>
                <w:ilvl w:val="1"/>
                <w:numId w:val="32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169,9/100.000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32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Hospitalisierungsinzidenz: 3,91/100.000 EW, AG ≥ 60Jährige: 9,15/100.000 EW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auf ITS: 2.332 (+106)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57.835.987 (69,6%), mit vollständiger Impfung 55.647.310 (66,9%)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Thüringen, Sachsen, Bayern, BW am stärksten betroffen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LK mit Inzidenz &gt;500 und 76 mit Inzidenz &gt;250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Inzidenz in Miesbach: 717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 nach Altersgruppe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10-</w:t>
            </w:r>
            <w:proofErr w:type="gramStart"/>
            <w:r>
              <w:rPr>
                <w:sz w:val="22"/>
                <w:szCs w:val="22"/>
              </w:rPr>
              <w:t>19 Jährigen</w:t>
            </w:r>
            <w:proofErr w:type="gramEnd"/>
            <w:r>
              <w:rPr>
                <w:sz w:val="22"/>
                <w:szCs w:val="22"/>
              </w:rPr>
              <w:t xml:space="preserve"> teilweise &gt; 1000 /100.000 EW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bei 80+ Jährigen in einem LK in Sachsen Inzidenz &gt;500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Adjustierte Hospitalisierungsinzidenz (Wochenbericht)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Hospitalisierungsinzidenz zu erwarten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 Trends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Wieder Anstieg bei Todesfällen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Sterbefallzahlen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Oktober etwas deutlichere Übersterblichkeit als sonst, nicht allein aus COVID Todesfällen zu erklären.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Gibt es einen Grund, warum NRW und Niedersachsen, insgesamt der Nord-Westen relativ günstig dasteht vor allem bei den 50+ Jährigen?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Geimpfter im Nord-Westen ist deutlich höher. Neben östlichen BL sind auch in BY und BW weniger geimpft.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Problematisch Vergleiche zu einem bestimmten Zeitpunkt zu ziehen. Die Situation war auch schon andersrum, 7-Tagesinzidenz ist zu kleinteilig.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Impfquote hat einen Effekt, erklärt aber nicht alles.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Korrelation Impfstatus-Inzidenz wird von FG33 kritisch gesehen. Impfquote und Fallzahlen können nicht auf die gleichen Personen zurückzuführt werden.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Bremen wurden z.B. in nennenswerten Umfang Personen aus dem Umland geimpft.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Wenn Daten der KV verfügbar sind, ist eine individuelle Zuordnung möglich. Daten können retrospektiv ausgewertet werden.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Korrelation auf Bevölkerungsebene hängt vom Erreger ab, klappt gut bei Rota, schlecht bei Influenza.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auch andere Gründe für eine hohe Inzidenz, z.B. Verhalten.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Deutschland ist in größeres Geschehen eingebettet, von Situation in Nachbarländern beeinflusst. 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 xml:space="preserve">Könnte nächste Woche im Wochenbericht Bezug zu Control COVID hergestellt werden? 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LK Ebene hohe Anfälligkeit für Verzerrung.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Landesebene Bezug zu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nehmen, um Situation besser einordnen zu können. Als Tabelle oder in Textform?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Hospitalisierungsinzidenz ist im Wochenbericht bereits enthalten.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Würde Blick auf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lenken, hat keine Folgen für Bundesländer, aber hilfreich für Einordnung der Lage.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Bis auf ein BL sind alle in der höchsten Stufe.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Montag Tweet mit Link, Presse entwirft Vorschlag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Zeitpunkt der Levelerreichung korreliert wahrscheinlich nicht mit Inzidenz. Keine großen Veränderungen bei Impfung mehr in letzter Zeit, longitudinal könnte etwas gezeigt werden.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Könnte man an Kooperationspartner outsourcen, evtl. Uni Münster, Kontaktverhalten longitudinal ins Modell nehmen, komplex.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>Wurden Kontaktdaten der Uni Münster schon vorgestellt?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Vorstellung in Abteilung, Aufarbeitung in FG33 aus Kapazitätsgründen nicht möglich. Soll Münster machen, dann Vorstellung in Abteilung.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(Kerber)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Wenchel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Verlegung von 18 rumänischen Patienten ist abgeschlossen.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 sind an Belastungsgrenze.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 Anfrage aus Slowenien ab nächster Woche wird diskutiert, ist politische Entscheidung.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andere europäische Länder sind bereit Patienten aufzunehmen.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ZIG abgesehen von Patientenversorgung im Augenblick </w:t>
            </w:r>
            <w:proofErr w:type="gramStart"/>
            <w:r>
              <w:rPr>
                <w:sz w:val="22"/>
                <w:szCs w:val="22"/>
              </w:rPr>
              <w:t>keine weiteren Hilfeersuchen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Vorbereitung auf weitere Unterstützung in Madagaskar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(Herzog)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t xml:space="preserve">(Folien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CWA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&gt;35 Mio. Downloads, 600.000 </w:t>
            </w:r>
            <w:proofErr w:type="spellStart"/>
            <w:r>
              <w:rPr>
                <w:sz w:val="22"/>
                <w:szCs w:val="22"/>
                <w:lang w:val="en-US"/>
              </w:rPr>
              <w:t>Warnende</w:t>
            </w:r>
            <w:proofErr w:type="spellEnd"/>
            <w:r>
              <w:rPr>
                <w:sz w:val="22"/>
                <w:szCs w:val="22"/>
                <w:lang w:val="en-US"/>
              </w:rPr>
              <w:t>, &gt;20.100 Twitter-Follower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2.13 verfügbar, noch Probleme bei Android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Neu: Papierkorb-Funktion, Änderungen bei Statistiken in der App, Booster-Notifikation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Montag Mitnutzung der Luca QR-Codes möglich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 ist mit lokaler Hospitalisierungsinzidenz gemeint?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Bundeslandebene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Laufen Zertifikate nach 1 Jahr aus?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Technisches Ablaufdatum wird auf europäischer Ebene diskutiert. Stand der Diskussion unbekannt, muss im BMG nachgefragt werden.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CovPass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CovPass</w:t>
            </w:r>
            <w:proofErr w:type="spellEnd"/>
            <w:r>
              <w:rPr>
                <w:sz w:val="22"/>
                <w:szCs w:val="22"/>
                <w:lang w:val="en-US"/>
              </w:rPr>
              <w:t>-App: &gt;19 Mio. Downloads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CovPassCheck</w:t>
            </w:r>
            <w:proofErr w:type="spellEnd"/>
            <w:r>
              <w:rPr>
                <w:sz w:val="22"/>
                <w:szCs w:val="22"/>
                <w:lang w:val="en-US"/>
              </w:rPr>
              <w:t>-App: ca. 613.000 Downloads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Austausch mit Kollegen in Frankreich: große Medienkampanien, gute Vernetzung in den Ministerien, Kommunikation, Twitter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Booster-Impfung wird gearbeitet.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CWA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Ca. 40.000 Anmeldungen pro Tag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Insg. &gt;16 Mio. Anmeldungen seit 11/2020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(Scheida)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fragt an, wer am 9.11. beim BMG/BMI Krisenstab (16-17 Uhr) teilnehmen kann. Themen: nicht-pharmazeutische Corona-Schutzmaßnahmen (AHA+L), kurze Einschätzung zur erwarteten Situation im Herbst/Winter; aktuelle Risikobewertung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Teilnahme O. Hamouda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Einschätzung: Gesundheitliche Gefährdung für Geimpfte ist moderat und noch ansteigend. Wie wird das von der Bevölkerung aufgefasst. Sollte differenziert werden, dass insbesondere die ältere Bevölkerung gefährdet ist?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Health Perspektive: Ausgehend von steigenden Inzidenzen steigender Infektionsdruck, auf Bevölkerungs</w:t>
            </w:r>
            <w:r>
              <w:rPr>
                <w:sz w:val="22"/>
                <w:szCs w:val="22"/>
              </w:rPr>
              <w:softHyphen/>
              <w:t>ebene steigt das Risiko.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die Versorgungssituation verschlechtert sich.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neue Themenseiten: Ansteckung und Übertragung und Co-Administration des Corona-Impfstoffs mit anderen Tot-Impfstoffen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Montag Wartungsarbeiten, evtl. kurzeitige Ausfälle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Unterstützen Presse mit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Tweet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Bewerbung der Datenspende, erste Ergebnisse werden vorgestellt.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Grafik zu Impfdurchbrüchen noch in Arbeit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an BZgA: Ist nochmal eine Kampagne zur Kontakt</w:t>
            </w:r>
            <w:r>
              <w:rPr>
                <w:sz w:val="22"/>
                <w:szCs w:val="22"/>
              </w:rPr>
              <w:softHyphen/>
              <w:t xml:space="preserve">reduktion geplant?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AHA-L Regeln sollen wieder verstärkt kommuniziert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Sollten RKI und BZgA in Abstimmungsrunde mit BMG gemeinsam einbringen.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Bitte an BZgA: Informationen sehr textlastig, kann man Infografiken etwas leichter auffindbar machen?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Nimmt Hr. Ommen mit, bereits jetzt Infografiken als Begleitung zum Text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den Medien wird von einer Pandemie der Ungeimpften gesprochen. Aus fachlicher Sicht nicht korrekt, Gesamt</w:t>
            </w:r>
            <w:r>
              <w:rPr>
                <w:sz w:val="22"/>
                <w:szCs w:val="22"/>
              </w:rPr>
              <w:softHyphen/>
              <w:t xml:space="preserve">bevölkerung trägt bei. Soll das in Kommunikation aufgegriffen werden?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Von Seiten der BZGA gibt keine Entwarnung, AHA+L Regeln werden wieder stärker in den Fokus genommen.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Dient als Appell an alle, die nicht geimpft sind, sich impfen zu lassen.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Sagt Minister bei jeder Pressekonferenz, vermutlich bewusst, kann eher nicht korrigiert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der Kommunikation sollte aufgepasst werden, wie kritisch man über den Impfstoff kommunizieren will, immerhin nach einem halben Jahr immer noch &gt;90% Wirksamkeit. Wenn 95% geimpft wären, sähe die Situation anders aus.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Frage ist, wie kann man die aktuelle Lage mit welcher Kommunikations</w:t>
            </w:r>
            <w:r>
              <w:rPr>
                <w:sz w:val="22"/>
                <w:szCs w:val="22"/>
              </w:rPr>
              <w:softHyphen/>
              <w:t>strategie in den Griff bekommen. Deshalb AHA+L in Kommunikation auch an Geimpfte adressieren.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Sollte Presse mit P1 wieder stärker Selbsttests proagieren, vor allem in Bezug auf private Treffen an Weihnachten.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allgemeine Empfehlung von 2G+, wurde am Mittwoch so entschieden.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auf nächste Tagesordnung setzen: spezielle Empfehlungen für Weihnachtsfeiertage für Familienfeste sinnvoll?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(Ommen)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Ommen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Wenchel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aus den Ländern zu Ausbrüchen unter 2G-Bedingungen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 xml:space="preserve"> Informationen zu Ausbrüchen unter 2G-Bedingungen. Es ist nicht möglich diese Information weiter zu kommunizieren, dies wäre aber in Bezug auf AHA-L Regeln wichtig.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In </w:t>
            </w:r>
            <w:proofErr w:type="spellStart"/>
            <w:r>
              <w:rPr>
                <w:i/>
                <w:sz w:val="22"/>
                <w:szCs w:val="22"/>
              </w:rPr>
              <w:t>EpiLag</w:t>
            </w:r>
            <w:proofErr w:type="spellEnd"/>
            <w:r>
              <w:rPr>
                <w:i/>
                <w:sz w:val="22"/>
                <w:szCs w:val="22"/>
              </w:rPr>
              <w:t xml:space="preserve"> oder AGI thematisieren bzw. Seuchen</w:t>
            </w:r>
            <w:r>
              <w:rPr>
                <w:i/>
                <w:sz w:val="22"/>
                <w:szCs w:val="22"/>
              </w:rPr>
              <w:softHyphen/>
              <w:t xml:space="preserve">referenten adressieren um Länder für </w:t>
            </w:r>
            <w:proofErr w:type="spellStart"/>
            <w:r>
              <w:rPr>
                <w:i/>
                <w:sz w:val="22"/>
                <w:szCs w:val="22"/>
              </w:rPr>
              <w:t>EpiBull</w:t>
            </w:r>
            <w:proofErr w:type="spellEnd"/>
            <w:r>
              <w:rPr>
                <w:i/>
                <w:sz w:val="22"/>
                <w:szCs w:val="22"/>
              </w:rPr>
              <w:t xml:space="preserve"> Artikel zu motivieren.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Gourmet-Treffen auf Sylt, </w:t>
            </w:r>
            <w:proofErr w:type="spellStart"/>
            <w:r>
              <w:rPr>
                <w:sz w:val="22"/>
                <w:szCs w:val="22"/>
              </w:rPr>
              <w:t>Attack</w:t>
            </w:r>
            <w:proofErr w:type="spellEnd"/>
            <w:r>
              <w:rPr>
                <w:sz w:val="22"/>
                <w:szCs w:val="22"/>
              </w:rPr>
              <w:t>-Rate 35% -&gt; Niedersachsen bitten, das als Ausbruchsbericht zu publizieren. Unter diesem Bericht sollte erwähnt werden, dass es schon mehrere solcher Ereignisse gab.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Stand </w:t>
            </w:r>
            <w:proofErr w:type="spellStart"/>
            <w:r>
              <w:rPr>
                <w:sz w:val="22"/>
                <w:szCs w:val="22"/>
              </w:rPr>
              <w:t>EpiBull</w:t>
            </w:r>
            <w:proofErr w:type="spellEnd"/>
            <w:r>
              <w:rPr>
                <w:sz w:val="22"/>
                <w:szCs w:val="22"/>
              </w:rPr>
              <w:t xml:space="preserve"> Artikel, Deutschland im Vergleich mit anderen Ländern (Indikatoren)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letztes Jahr haben dazu geführt, dass sich das Virus trotz fehlender Impfung nicht unbegrenzt ausbreiten konnte. -&gt; schon Textbausteine zu diesem Thema von Abt. 2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Ergebnisentwurf wird, sobald fertig im Verteiler Krisenstab zirkuliert.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Abt.3/ Abt.2/ ZIG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besprochen)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 Transmission vollständig Geimpfter: Impfeffektivität gegenüber Delta-Variante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Schutz vor asymptomatischen Infektionen (4 Studien): 63%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Schutz vor milden Verläufen: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&gt;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Metaanalyse von 4 Studien zu Impfdurchbrüchen unter Delta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Laborbasierte Studie, USA: 719 Proben, keine demographischen Angaben, Impfstoff unbekannt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mittlere Ct-Werte der Geimpften glichen denen der Ungeimpften; gleicher Anteil Ct &lt;25 bei Ungeimpften und Geimpften.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Asymptomatische: Ct&lt;25 bei 29% der Ungeimpften und 67% der Geimpften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Krankenhausbasierte Studie, Singapore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218 Patienten, 71 geimpft, 130 ungeimpft, mit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>-Impfstoffen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Ungeimpfte sind deutlich jünger.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Initialer Ct-Wert unterscheidet sich nicht.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Geschwindigkeit des Abfalles der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bei Geimpften deutlich höher, schnellere virale Clearance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Impfdurchbrüche bei HCW, NL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 Impfdurchbrüche, alle 4 Impfstoffe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Medianes Alter 25, alles milde Infektionen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Mittlerer CT-Wert bei Geimpften und Ungeimpften gleich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Impfung verringert Wahrscheinlichkeit für positive Viruskultur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Haushaltskontaktstudie, UK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Indexfälle, 602 Kontakte unter Delta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 Geimpften 7 Indexfälle/31 Kontakte, unter Ungeimpften 8 Indexfälle/15 Kontakte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Geschwindigkeit des Abfalls der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höher bei Geimpften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Epidemiologische Studien zur Transmission: Haushaltskontaktstudie, UK, Kohortenstudie, Kontakte von symptomatischen und asymptomatischen Fällen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&gt;95.000 Indexfälle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Reduktion der Transmission unter </w:t>
            </w:r>
            <w:proofErr w:type="spellStart"/>
            <w:r>
              <w:rPr>
                <w:sz w:val="22"/>
                <w:szCs w:val="22"/>
              </w:rPr>
              <w:t>Corminaty</w:t>
            </w:r>
            <w:proofErr w:type="spellEnd"/>
            <w:r>
              <w:rPr>
                <w:sz w:val="22"/>
                <w:szCs w:val="22"/>
              </w:rPr>
              <w:t xml:space="preserve"> um 65% und unter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  <w:r>
              <w:rPr>
                <w:sz w:val="22"/>
                <w:szCs w:val="22"/>
              </w:rPr>
              <w:t xml:space="preserve"> um 35%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Fazit: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Impfeffektivität gegen Delta-Variante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Schutz vor asymptomatischer Infektion: VE ca. 60-65%,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&gt; Vektor-Impfstoffe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Impfdurchbruchsstudien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Initiale Ct-Werte </w:t>
            </w:r>
            <w:proofErr w:type="spellStart"/>
            <w:r>
              <w:rPr>
                <w:sz w:val="22"/>
                <w:szCs w:val="22"/>
              </w:rPr>
              <w:t>vacc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unvacc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Schnellerer Abfall des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bei </w:t>
            </w:r>
            <w:proofErr w:type="spellStart"/>
            <w:r>
              <w:rPr>
                <w:sz w:val="22"/>
                <w:szCs w:val="22"/>
              </w:rPr>
              <w:t>vacc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Viruskultur?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Verhinderung der Transmission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1 Studie unter Delta: Reduktion der Transmission um ca. 50% (</w:t>
            </w:r>
            <w:proofErr w:type="spellStart"/>
            <w:r>
              <w:rPr>
                <w:sz w:val="22"/>
                <w:szCs w:val="22"/>
              </w:rPr>
              <w:t>Comirnaty</w:t>
            </w:r>
            <w:proofErr w:type="spellEnd"/>
            <w:r>
              <w:rPr>
                <w:sz w:val="22"/>
                <w:szCs w:val="22"/>
              </w:rPr>
              <w:t xml:space="preserve"> &gt;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spacing w:after="200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Lancet Studie zeigt, dass sekundäre </w:t>
            </w:r>
            <w:proofErr w:type="spellStart"/>
            <w:r>
              <w:rPr>
                <w:sz w:val="22"/>
                <w:szCs w:val="22"/>
              </w:rPr>
              <w:t>Attackrate</w:t>
            </w:r>
            <w:proofErr w:type="spellEnd"/>
            <w:r>
              <w:rPr>
                <w:sz w:val="22"/>
                <w:szCs w:val="22"/>
              </w:rPr>
              <w:t xml:space="preserve"> identisch ist, jedoch sehr kleine Fallzahlen.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kann es </w:t>
            </w:r>
            <w:r>
              <w:rPr>
                <w:sz w:val="22"/>
                <w:szCs w:val="22"/>
              </w:rPr>
              <w:t xml:space="preserve">sein, dass Daten zur Impfeffektivität am Anfang so falsch waren (Schutz vor 90% der Infektionen)?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Bezug auf asymptomatische Infektionen gab es am Anfang keine Informationen. Studien zur Delta-Variante wurden erst nach Alpha durchgeführt.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Delta-Variante und </w:t>
            </w:r>
            <w:proofErr w:type="spellStart"/>
            <w:r>
              <w:rPr>
                <w:sz w:val="22"/>
                <w:szCs w:val="22"/>
              </w:rPr>
              <w:t>waning</w:t>
            </w:r>
            <w:proofErr w:type="spellEnd"/>
            <w:r>
              <w:rPr>
                <w:sz w:val="22"/>
                <w:szCs w:val="22"/>
              </w:rPr>
              <w:t xml:space="preserve">, Abgrenzung Einfluss Delta und </w:t>
            </w:r>
            <w:proofErr w:type="spellStart"/>
            <w:r>
              <w:rPr>
                <w:sz w:val="22"/>
                <w:szCs w:val="22"/>
              </w:rPr>
              <w:t>waning</w:t>
            </w:r>
            <w:proofErr w:type="spellEnd"/>
            <w:r>
              <w:rPr>
                <w:sz w:val="22"/>
                <w:szCs w:val="22"/>
              </w:rPr>
              <w:t xml:space="preserve"> nicht möglich.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Bezugnehmend auf grundlegende Aspekte und </w:t>
            </w:r>
            <w:bookmarkStart w:id="0" w:name="_Hlk87335341"/>
            <w:r>
              <w:rPr>
                <w:sz w:val="22"/>
                <w:szCs w:val="22"/>
                <w:highlight w:val="yellow"/>
              </w:rPr>
              <w:t xml:space="preserve">Besonderheiten der Immunität gegen Infektionen des Respirationstrakt </w:t>
            </w:r>
            <w:bookmarkEnd w:id="0"/>
            <w:r>
              <w:rPr>
                <w:sz w:val="22"/>
                <w:szCs w:val="22"/>
                <w:highlight w:val="yellow"/>
              </w:rPr>
              <w:t>wird auf folgende Punkte hingewiesen:</w:t>
            </w:r>
          </w:p>
          <w:p>
            <w:pPr>
              <w:pStyle w:val="Listenabsatz"/>
              <w:numPr>
                <w:ilvl w:val="1"/>
                <w:numId w:val="36"/>
              </w:numPr>
              <w:ind w:left="14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Unmittelbar nach der Impfung hat man ein hohes Level an neutralisierenden Antikörpern, diese </w:t>
            </w:r>
            <w:proofErr w:type="spellStart"/>
            <w:r>
              <w:rPr>
                <w:sz w:val="22"/>
                <w:szCs w:val="22"/>
                <w:highlight w:val="yellow"/>
              </w:rPr>
              <w:t>transsudieren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in die Schleimhaut, woraus hohe lokale (=</w:t>
            </w:r>
            <w:proofErr w:type="spellStart"/>
            <w:r>
              <w:rPr>
                <w:sz w:val="22"/>
                <w:szCs w:val="22"/>
                <w:highlight w:val="yellow"/>
              </w:rPr>
              <w:t>mukosale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) Immunität im Nasenrachenraum resultiert. Deswegen besteht in den ersten 2 Wochen – 2 Monaten nach Impfung sehr guter Schutz vor </w:t>
            </w:r>
            <w:bookmarkStart w:id="1" w:name="_Hlk87296051"/>
            <w:r>
              <w:rPr>
                <w:sz w:val="22"/>
                <w:szCs w:val="22"/>
                <w:highlight w:val="yellow"/>
              </w:rPr>
              <w:t xml:space="preserve">jeglicher (auch asymptomatischer) </w:t>
            </w:r>
            <w:bookmarkEnd w:id="1"/>
            <w:r>
              <w:rPr>
                <w:sz w:val="22"/>
                <w:szCs w:val="22"/>
                <w:highlight w:val="yellow"/>
              </w:rPr>
              <w:t xml:space="preserve">Infektion. Mit dem Abfall neutralisierender Antikörper sinkt lokale Immunität wieder, so dass im Anschluss an dieses 2-8 Wochen-Zeitfenster der Schutz vor Infektion deutlich geringer ist. Dementsprechend können sich Geimpfte &gt;2 Monate nach Impfung auch wieder leichter infizieren. </w:t>
            </w:r>
          </w:p>
          <w:p>
            <w:pPr>
              <w:pStyle w:val="Listenabsatz"/>
              <w:numPr>
                <w:ilvl w:val="1"/>
                <w:numId w:val="36"/>
              </w:numPr>
              <w:ind w:left="14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Die Erwartung ist, dass die meisten Geimpften nicht oder nur leicht symptomatisch sind, dass sie aber durchaus hohe Viruskonzentrationen im Nasen-/Rachenraum aufweisen und kontagiös sind. 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Die Ergebnisse der </w:t>
            </w:r>
            <w:hyperlink r:id="rId15" w:history="1">
              <w:r>
                <w:rPr>
                  <w:rStyle w:val="Hyperlink"/>
                  <w:sz w:val="22"/>
                  <w:szCs w:val="22"/>
                  <w:highlight w:val="yellow"/>
                </w:rPr>
                <w:t>UK Haushaltskontaktstudie</w:t>
              </w:r>
            </w:hyperlink>
            <w:r>
              <w:rPr>
                <w:sz w:val="22"/>
                <w:szCs w:val="22"/>
                <w:highlight w:val="yellow"/>
              </w:rPr>
              <w:t xml:space="preserve"> (Lancet Infectious Diseases)  reflektieren das, was anhand der grundlegenden Erkenntnisse zur Immunität gegen Infektionen des Respirationstrakts zu erwarten ist: Der Schutz vor Infektion nimmt ca. &gt;2 Monate nach Impfung erheblich ab. </w:t>
            </w:r>
          </w:p>
          <w:p>
            <w:pPr>
              <w:pStyle w:val="Listenabsatz"/>
              <w:ind w:left="108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Zwar ist die Fallzahl dieser Studie eher klein, die methodische Stärke liegt aber in der engmaschigen (täglichen) Beprobung enger Kontaktpersonen, unabhängig vom Symptomstatus. So wurden auch asymptomatische Infektionen zuverlässig erfasst, </w:t>
            </w:r>
            <w:proofErr w:type="gramStart"/>
            <w:r>
              <w:rPr>
                <w:sz w:val="22"/>
                <w:szCs w:val="22"/>
                <w:highlight w:val="yellow"/>
              </w:rPr>
              <w:t>die  in</w:t>
            </w:r>
            <w:proofErr w:type="gramEnd"/>
            <w:r>
              <w:rPr>
                <w:sz w:val="22"/>
                <w:szCs w:val="22"/>
                <w:highlight w:val="yellow"/>
              </w:rPr>
              <w:t xml:space="preserve"> Beobachtungs</w:t>
            </w:r>
            <w:r>
              <w:rPr>
                <w:sz w:val="22"/>
                <w:szCs w:val="22"/>
                <w:highlight w:val="yellow"/>
              </w:rPr>
              <w:softHyphen/>
              <w:t>daten sonst unterschätzt werden  (da die Beprobung in größeren Zeitabständen bzw. vorwiegend bei symptomatischen Personen erfolgt). .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Man sollte dementsprechend sehr vorsichtig mit der Aussage sein, dass Impfungen </w:t>
            </w:r>
            <w:r>
              <w:rPr>
                <w:sz w:val="22"/>
                <w:szCs w:val="22"/>
                <w:highlight w:val="yellow"/>
              </w:rPr>
              <w:t xml:space="preserve">vor </w:t>
            </w:r>
            <w:r>
              <w:rPr>
                <w:sz w:val="22"/>
                <w:szCs w:val="22"/>
                <w:highlight w:val="yellow"/>
              </w:rPr>
              <w:t>jegliche</w:t>
            </w:r>
            <w:r>
              <w:rPr>
                <w:sz w:val="22"/>
                <w:szCs w:val="22"/>
                <w:highlight w:val="yellow"/>
              </w:rPr>
              <w:t>r</w:t>
            </w:r>
            <w:r>
              <w:rPr>
                <w:sz w:val="22"/>
                <w:szCs w:val="22"/>
                <w:highlight w:val="yellow"/>
              </w:rPr>
              <w:t xml:space="preserve"> (auch </w:t>
            </w:r>
            <w:proofErr w:type="gramStart"/>
            <w:r>
              <w:rPr>
                <w:sz w:val="22"/>
                <w:szCs w:val="22"/>
                <w:highlight w:val="yellow"/>
              </w:rPr>
              <w:t>asymptomatische</w:t>
            </w:r>
            <w:r>
              <w:rPr>
                <w:sz w:val="22"/>
                <w:szCs w:val="22"/>
                <w:highlight w:val="yellow"/>
              </w:rPr>
              <w:t>r</w:t>
            </w:r>
            <w:bookmarkStart w:id="2" w:name="_GoBack"/>
            <w:bookmarkEnd w:id="2"/>
            <w:r>
              <w:rPr>
                <w:sz w:val="22"/>
                <w:szCs w:val="22"/>
                <w:highlight w:val="yellow"/>
              </w:rPr>
              <w:t xml:space="preserve">)   </w:t>
            </w:r>
            <w:proofErr w:type="gramEnd"/>
            <w:r>
              <w:rPr>
                <w:sz w:val="22"/>
                <w:szCs w:val="22"/>
                <w:highlight w:val="yellow"/>
              </w:rPr>
              <w:t xml:space="preserve">Infektion </w:t>
            </w:r>
            <w:r>
              <w:rPr>
                <w:sz w:val="22"/>
                <w:szCs w:val="22"/>
                <w:highlight w:val="yellow"/>
              </w:rPr>
              <w:t>schützen</w:t>
            </w:r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gramStart"/>
            <w:r>
              <w:rPr>
                <w:sz w:val="22"/>
                <w:szCs w:val="22"/>
                <w:highlight w:val="yellow"/>
              </w:rPr>
              <w:t>Mit zunehmendem zeitlichen Abstand</w:t>
            </w:r>
            <w:proofErr w:type="gramEnd"/>
            <w:r>
              <w:rPr>
                <w:sz w:val="22"/>
                <w:szCs w:val="22"/>
                <w:highlight w:val="yellow"/>
              </w:rPr>
              <w:t xml:space="preserve"> zur Impfung trifft dies immer weniger zu. Dies gilt umso </w:t>
            </w:r>
            <w:proofErr w:type="gramStart"/>
            <w:r>
              <w:rPr>
                <w:sz w:val="22"/>
                <w:szCs w:val="22"/>
                <w:highlight w:val="yellow"/>
              </w:rPr>
              <w:t>mehr,  weil</w:t>
            </w:r>
            <w:proofErr w:type="gramEnd"/>
            <w:r>
              <w:rPr>
                <w:sz w:val="22"/>
                <w:szCs w:val="22"/>
                <w:highlight w:val="yellow"/>
              </w:rPr>
              <w:t xml:space="preserve"> eine fortlaufende Adaptation des Virus an den Immunselektionsdruck in der Population anzunehmen ist, </w:t>
            </w:r>
            <w:r>
              <w:rPr>
                <w:sz w:val="22"/>
                <w:szCs w:val="22"/>
                <w:highlight w:val="yellow"/>
              </w:rPr>
              <w:lastRenderedPageBreak/>
              <w:t xml:space="preserve">welche zukünftig ebenfalls die Schutzwirkung der Impfung gegen Infektion herabsetzen könnte.   </w:t>
            </w: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Verkürzung des </w:t>
            </w:r>
            <w:proofErr w:type="spellStart"/>
            <w:r>
              <w:rPr>
                <w:sz w:val="22"/>
                <w:szCs w:val="22"/>
              </w:rPr>
              <w:t>Sheddings</w:t>
            </w:r>
            <w:proofErr w:type="spellEnd"/>
            <w:r>
              <w:rPr>
                <w:sz w:val="22"/>
                <w:szCs w:val="22"/>
              </w:rPr>
              <w:t xml:space="preserve"> spielt in Bezug auf Haushalts</w:t>
            </w:r>
            <w:r>
              <w:rPr>
                <w:sz w:val="22"/>
                <w:szCs w:val="22"/>
              </w:rPr>
              <w:softHyphen/>
              <w:t>kontakte keine Rolle, aber in Bezug auf sonstiges Geschehen.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Normalerweise wäre es kein Problem, wenn Personen mild oder asymptomatisch infiziert werden. Die hohe Anzahl Ungeimpfter ist das Problem.</w:t>
            </w:r>
          </w:p>
          <w:p>
            <w:pPr>
              <w:pStyle w:val="Listenabsatz"/>
              <w:ind w:left="46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Ist 2G oder 3G noch ein Schutzkonzept, das empfohlen werden kann? Was ist mit geimpften Kontaktpersonen, kann der Ausschluss von der Quarantäne noch gerechtfertigt werden?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großer Studie wurden </w:t>
            </w:r>
            <w:proofErr w:type="spellStart"/>
            <w:r>
              <w:rPr>
                <w:sz w:val="22"/>
                <w:szCs w:val="22"/>
              </w:rPr>
              <w:t>odds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ratio</w:t>
            </w:r>
            <w:proofErr w:type="spellEnd"/>
            <w:r>
              <w:rPr>
                <w:sz w:val="22"/>
                <w:szCs w:val="22"/>
              </w:rPr>
              <w:t xml:space="preserve"> nach Settings unterschieden: in Haushalten deutlich höher, in anderen Settings etwas niedriger.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Infektionsprävalenz in Studienpopulation spielt eine Rolle.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Kontakte in Innenräume ohne Maske sind das Problem. Setting Haushalt aufgrund der wiederholten und kontinuierlichen Kontakte, steigender Infektionsdruck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 Erkrankungsfälle könnten verhindert werden, wenn dies Geimpften klargemacht werden kann.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Größere Stratifikation nach Alter; Kontakte mit Älteren erfordern mehr Testungen.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Kommunikation kann nicht geändert werden. Würde große Verwirrung hervorrufen. Andere Aspekte sollten in den Vordergrund gestellt werden: AHA+L, </w:t>
            </w:r>
            <w:proofErr w:type="spellStart"/>
            <w:r>
              <w:rPr>
                <w:sz w:val="22"/>
                <w:szCs w:val="22"/>
              </w:rPr>
              <w:t>Boosterung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Punkte betonen, doppelt Geimpft wieder in Quarantäne zu schicken, ist nicht vermittelbar.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2G+ auf die Tagesordnung gesetzt werden?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(Harder)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Oh</w:t>
            </w:r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Virologisches Sentinel hatte in den letzten 4 Wochen 816 Proben, davon: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 SARS-CoV-2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 RSV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## </w:t>
            </w:r>
            <w:proofErr w:type="spellStart"/>
            <w:r>
              <w:rPr>
                <w:sz w:val="22"/>
                <w:szCs w:val="22"/>
              </w:rPr>
              <w:t>Rhinovirus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 Parainfluenzavirus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 saisonale (endemische) Coronaviren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Metapneumovirus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Influenzavirus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 Proben, davon 110 positiv auf SARS-CoV-2 (50,2%).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Antigenpaper wurde veröffentlicht zusammen mit PEI.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(Michel)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Nächte Woche kurzer Überblick über aktuelle Therapie</w:t>
            </w:r>
            <w:r>
              <w:rPr>
                <w:sz w:val="22"/>
                <w:szCs w:val="22"/>
              </w:rPr>
              <w:softHyphen/>
              <w:t>empfehlungen im Krisenstab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Veröffentlichung hierzu im deutschen Ärzteblatt der Fachgruppe COVRIIN, Link wird an Verteiler versendet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</w:rPr>
              <w:t>Schulz-Weidhaas)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Lagezentrum-Schichtbesetzung über Weihnachten, Vorschlag: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Verzicht auf Krisenstabsitzung am 24.12 und 31.12, d.h. Sitzungen am 22. und 29.12. und dann wieder am 05.01.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Arbeitsfreie Tage werden nicht besetzen im Lagezentrum, von kurzer Kontrolle der internationalen Kommunikation am 26.12. abgesehen.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Tägliche automatisierte Berichterstattung an allen außer den arbeitsfreien Tagen.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Wochenbericht zwischen Weihnachten und Neujahr, da Daten nicht aussagekräftig, d.h. Wochenbericht am 23.12. und dann wieder am 06.01.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Alles unproblematisch, außer Verzicht auf Wochenbericht.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Könnte RKI in schlechtes Licht rücken.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Vorbereitung des Wochenberichts bedeutet hohen Arbeitsaufwand für viele Personen.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Journalisten proaktiv auf Problem hinweisen: Daten sind aufgrund von Feiertagen schwer zu beurteilen. Nimmt Pressestelle mit.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Bericht ans BMG mit Vorschlag, wie beschrieben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SARS-CoV-2 bei </w:t>
            </w:r>
            <w:proofErr w:type="spellStart"/>
            <w:r>
              <w:rPr>
                <w:sz w:val="22"/>
                <w:szCs w:val="22"/>
              </w:rPr>
              <w:t>Weißwedelhirschen</w:t>
            </w:r>
            <w:proofErr w:type="spellEnd"/>
            <w:r>
              <w:rPr>
                <w:sz w:val="22"/>
                <w:szCs w:val="22"/>
              </w:rPr>
              <w:t>, Informationen aus dem FLI (Hr. Beer), Artikel in Ärztezeitung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Meldung aus USA: bis zu 50% der Hirsche haben Antikörper.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FLI kontaktiert: im Moment noch keine Proben von Rot- und Rehwild verfügbar. Proben werden aktuell untersucht.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Vermutet wurde Transmission </w:t>
            </w:r>
            <w:proofErr w:type="gramStart"/>
            <w:r>
              <w:rPr>
                <w:sz w:val="22"/>
                <w:szCs w:val="22"/>
              </w:rPr>
              <w:t>von Mensch</w:t>
            </w:r>
            <w:proofErr w:type="gramEnd"/>
            <w:r>
              <w:rPr>
                <w:sz w:val="22"/>
                <w:szCs w:val="22"/>
              </w:rPr>
              <w:t xml:space="preserve"> zu Tier; Tiere sind hoch suszeptibel, fortwährende Quelle, Weiter</w:t>
            </w:r>
            <w:r>
              <w:rPr>
                <w:sz w:val="22"/>
                <w:szCs w:val="22"/>
              </w:rPr>
              <w:softHyphen/>
              <w:t>entwicklung des Virus möglich.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10.11.2021,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14:14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905"/>
    <w:multiLevelType w:val="hybridMultilevel"/>
    <w:tmpl w:val="0E948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6677"/>
    <w:multiLevelType w:val="hybridMultilevel"/>
    <w:tmpl w:val="855447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2F4A91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301A41"/>
    <w:multiLevelType w:val="hybridMultilevel"/>
    <w:tmpl w:val="BA666D1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A8421C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771BC"/>
    <w:multiLevelType w:val="hybridMultilevel"/>
    <w:tmpl w:val="1CB0D31A"/>
    <w:lvl w:ilvl="0" w:tplc="AA8421C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B7C24"/>
    <w:multiLevelType w:val="hybridMultilevel"/>
    <w:tmpl w:val="31587A02"/>
    <w:lvl w:ilvl="0" w:tplc="AA8421C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25"/>
  </w:num>
  <w:num w:numId="7">
    <w:abstractNumId w:val="30"/>
  </w:num>
  <w:num w:numId="8">
    <w:abstractNumId w:val="17"/>
  </w:num>
  <w:num w:numId="9">
    <w:abstractNumId w:val="7"/>
  </w:num>
  <w:num w:numId="10">
    <w:abstractNumId w:val="34"/>
  </w:num>
  <w:num w:numId="11">
    <w:abstractNumId w:val="29"/>
  </w:num>
  <w:num w:numId="12">
    <w:abstractNumId w:val="19"/>
  </w:num>
  <w:num w:numId="13">
    <w:abstractNumId w:val="16"/>
  </w:num>
  <w:num w:numId="14">
    <w:abstractNumId w:val="26"/>
  </w:num>
  <w:num w:numId="15">
    <w:abstractNumId w:val="21"/>
  </w:num>
  <w:num w:numId="16">
    <w:abstractNumId w:val="1"/>
  </w:num>
  <w:num w:numId="17">
    <w:abstractNumId w:val="15"/>
  </w:num>
  <w:num w:numId="18">
    <w:abstractNumId w:val="32"/>
  </w:num>
  <w:num w:numId="19">
    <w:abstractNumId w:val="13"/>
  </w:num>
  <w:num w:numId="20">
    <w:abstractNumId w:val="31"/>
  </w:num>
  <w:num w:numId="21">
    <w:abstractNumId w:val="9"/>
  </w:num>
  <w:num w:numId="22">
    <w:abstractNumId w:val="11"/>
  </w:num>
  <w:num w:numId="23">
    <w:abstractNumId w:val="3"/>
  </w:num>
  <w:num w:numId="24">
    <w:abstractNumId w:val="27"/>
  </w:num>
  <w:num w:numId="25">
    <w:abstractNumId w:val="18"/>
  </w:num>
  <w:num w:numId="26">
    <w:abstractNumId w:val="2"/>
  </w:num>
  <w:num w:numId="27">
    <w:abstractNumId w:val="28"/>
  </w:num>
  <w:num w:numId="28">
    <w:abstractNumId w:val="33"/>
  </w:num>
  <w:num w:numId="29">
    <w:abstractNumId w:val="8"/>
  </w:num>
  <w:num w:numId="30">
    <w:abstractNumId w:val="20"/>
  </w:num>
  <w:num w:numId="31">
    <w:abstractNumId w:val="5"/>
  </w:num>
  <w:num w:numId="32">
    <w:abstractNumId w:val="8"/>
  </w:num>
  <w:num w:numId="33">
    <w:abstractNumId w:val="23"/>
  </w:num>
  <w:num w:numId="34">
    <w:abstractNumId w:val="24"/>
  </w:num>
  <w:num w:numId="35">
    <w:abstractNumId w:val="6"/>
  </w:num>
  <w:num w:numId="36">
    <w:abstractNumId w:val="12"/>
  </w:num>
  <w:num w:numId="3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rki.local\daten\Wissdaten\RKI_nCoV-Lage\1.Lagemanagement\1.3.Besprechungen_TKs\1.Lage_AG\2021-11-05_Lage_AG\Digi-Tools_Krisenstab_2021-11-05.ppt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1-11-05_Lage_AG\LageNational_2021-11-05.pptx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1-11-05_Lage_AG\COVID-19_internat.%20Lage_2021-11-05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S1473-3099(21)00648-4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\\rki.local\daten\Wissdaten\RKI_nCoV-Lage\1.Lagemanagement\1.3.Besprechungen_TKs\1.Lage_AG\2021-11-05_Lage_AG\Transmissionsverhinderung_COVID-Impfung_05_11_2021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4E16-DBC2-4568-A845-C5B12139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2685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Djin-Ye Oh</cp:lastModifiedBy>
  <cp:revision>9</cp:revision>
  <cp:lastPrinted>2020-05-06T16:43:00Z</cp:lastPrinted>
  <dcterms:created xsi:type="dcterms:W3CDTF">2021-11-09T07:02:00Z</dcterms:created>
  <dcterms:modified xsi:type="dcterms:W3CDTF">2021-11-09T07:09:00Z</dcterms:modified>
</cp:coreProperties>
</file>