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zu COVID-19</w:t>
      </w:r>
    </w:p>
    <w:p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Ergebnisprotokoll</w:t>
      </w:r>
    </w:p>
    <w:p>
      <w:pPr>
        <w:rPr>
          <w:i/>
        </w:rPr>
      </w:pPr>
      <w:r>
        <w:rPr>
          <w:i/>
        </w:rPr>
        <w:t>Aktenzeichen: 4.06.02/0024#0014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COVID-19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Mittwoch, 17.11.2021,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r>
            <w:rPr>
              <w:sz w:val="22"/>
            </w:rPr>
            <w:t>Webex-Konferenz</w:t>
          </w:r>
        </w:sdtContent>
      </w:sdt>
    </w:p>
    <w:p>
      <w:pPr>
        <w:rPr>
          <w:b/>
          <w:sz w:val="22"/>
        </w:rPr>
      </w:pPr>
      <w:r>
        <w:rPr>
          <w:b/>
          <w:sz w:val="22"/>
        </w:rPr>
        <w:t xml:space="preserve">Moderation: </w:t>
      </w:r>
      <w:r>
        <w:rPr>
          <w:b/>
          <w:color w:val="000000" w:themeColor="text1"/>
          <w:sz w:val="22"/>
        </w:rPr>
        <w:t>Osamah Hamouda</w:t>
      </w:r>
    </w:p>
    <w:p>
      <w:pPr>
        <w:spacing w:after="0"/>
        <w:rPr>
          <w:b/>
          <w:sz w:val="22"/>
        </w:rPr>
        <w:sectPr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</w:sectPr>
      </w:pPr>
    </w:p>
    <w:p>
      <w:pPr>
        <w:spacing w:after="0"/>
        <w:rPr>
          <w:b/>
          <w:sz w:val="22"/>
        </w:rPr>
      </w:pPr>
      <w:bookmarkStart w:id="0" w:name="_Hlk82005470"/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Lothar Wieler</w:t>
      </w:r>
    </w:p>
    <w:p>
      <w:pPr>
        <w:pStyle w:val="Listenabsatz"/>
        <w:numPr>
          <w:ilvl w:val="1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Esther-Maria Antao</w:t>
      </w:r>
      <w:bookmarkStart w:id="1" w:name="_GoBack"/>
      <w:bookmarkEnd w:id="1"/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Abt. 1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Martin Mielke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Abt. 3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Osamah Hamouda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Tanja Jung-Sendzik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Janna Seifried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Melanie Brunke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Ralf Dürrwald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FG21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rStyle w:val="highlight"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Wolfgang </w:t>
      </w:r>
      <w:r>
        <w:rPr>
          <w:rStyle w:val="highlight"/>
          <w:color w:val="000000" w:themeColor="text1"/>
          <w:sz w:val="22"/>
          <w:szCs w:val="22"/>
        </w:rPr>
        <w:t>Scheida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Patrick Schmich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FG25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Christa </w:t>
      </w:r>
      <w:r>
        <w:rPr>
          <w:rStyle w:val="highlight"/>
          <w:color w:val="000000" w:themeColor="text1"/>
          <w:sz w:val="22"/>
          <w:szCs w:val="22"/>
        </w:rPr>
        <w:t>Scheid</w:t>
      </w:r>
      <w:r>
        <w:rPr>
          <w:color w:val="000000" w:themeColor="text1"/>
          <w:sz w:val="22"/>
          <w:szCs w:val="22"/>
        </w:rPr>
        <w:t>t-</w:t>
      </w:r>
      <w:r>
        <w:rPr>
          <w:rStyle w:val="highlight"/>
          <w:color w:val="000000" w:themeColor="text1"/>
          <w:sz w:val="22"/>
          <w:szCs w:val="22"/>
        </w:rPr>
        <w:t>Nave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FG32</w:t>
      </w:r>
    </w:p>
    <w:p>
      <w:pPr>
        <w:pStyle w:val="Listenabsatz"/>
        <w:numPr>
          <w:ilvl w:val="1"/>
          <w:numId w:val="4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Claudia Sievers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FG33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Thomas Harder 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Silke Buda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Walter Haas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Julia Schilling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Kristin Tolksdorf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Tim Eckmanns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FG38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Ute Rexroth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Maren Imhoff (Protokoll)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MF 1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Stephan Fuchs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MF 2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Torsten Semmler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MF 4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Janina Esins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P1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Ines Lein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P4</w:t>
      </w:r>
    </w:p>
    <w:p>
      <w:pPr>
        <w:pStyle w:val="Listenabsatz"/>
        <w:numPr>
          <w:ilvl w:val="1"/>
          <w:numId w:val="3"/>
        </w:numPr>
        <w:spacing w:after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Susanne Gottwald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Susanne Glasmacher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Marieke Degen</w:t>
      </w:r>
    </w:p>
    <w:p>
      <w:pPr>
        <w:pStyle w:val="Listenabsatz"/>
        <w:numPr>
          <w:ilvl w:val="1"/>
          <w:numId w:val="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Ronja Wenchel 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ZIG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Johanna Hanefeld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ZIG 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Hanna-Tina Fischer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BZgA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Jasmin </w:t>
      </w:r>
      <w:proofErr w:type="spellStart"/>
      <w:r>
        <w:rPr>
          <w:color w:val="000000" w:themeColor="text1"/>
          <w:sz w:val="22"/>
          <w:szCs w:val="22"/>
        </w:rPr>
        <w:t>Benser</w:t>
      </w:r>
      <w:proofErr w:type="spellEnd"/>
    </w:p>
    <w:p>
      <w:pPr>
        <w:pStyle w:val="Listenabsatz"/>
        <w:numPr>
          <w:ilvl w:val="0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ZBS 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Christian Herzog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Michaela Niebank</w:t>
      </w:r>
    </w:p>
    <w:p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bookmarkEnd w:id="0"/>
    <w:p>
      <w:pPr>
        <w:spacing w:after="0"/>
        <w:rPr>
          <w:sz w:val="22"/>
        </w:rPr>
        <w:sectPr>
          <w:type w:val="continuous"/>
          <w:pgSz w:w="11900" w:h="16840"/>
          <w:pgMar w:top="1440" w:right="1800" w:bottom="1440" w:left="1800" w:header="708" w:footer="708" w:gutter="0"/>
          <w:cols w:num="2" w:space="560"/>
        </w:sectPr>
      </w:pPr>
    </w:p>
    <w:p>
      <w:pPr>
        <w:pStyle w:val="Liste2"/>
        <w:numPr>
          <w:ilvl w:val="0"/>
          <w:numId w:val="0"/>
        </w:num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824"/>
        <w:gridCol w:w="1463"/>
      </w:tblGrid>
      <w:tr>
        <w:tc>
          <w:tcPr>
            <w:tcW w:w="68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br w:type="page"/>
            </w:r>
            <w:r>
              <w:rPr>
                <w:sz w:val="24"/>
              </w:rPr>
              <w:br w:type="page"/>
              <w:t>TOP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Beitrag/ Thema</w:t>
            </w:r>
          </w:p>
        </w:tc>
        <w:tc>
          <w:tcPr>
            <w:tcW w:w="1463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 xml:space="preserve">Aktuelle Lage </w:t>
            </w:r>
          </w:p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2Zchn"/>
                <w:sz w:val="22"/>
                <w:szCs w:val="22"/>
              </w:rPr>
              <w:t>International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2"/>
            </w:pPr>
            <w:r>
              <w:t xml:space="preserve">National </w:t>
            </w:r>
          </w:p>
          <w:p>
            <w:pPr>
              <w:pStyle w:val="Liste1"/>
            </w:pPr>
            <w:r>
              <w:rPr>
                <w:b/>
              </w:rPr>
              <w:t>Fallzahlen, Todesfälle, Trend</w:t>
            </w:r>
            <w:r>
              <w:t xml:space="preserve"> (Folien </w:t>
            </w:r>
            <w:hyperlink r:id="rId11" w:history="1">
              <w:r>
                <w:rPr>
                  <w:rStyle w:val="Hyperlink"/>
                </w:rPr>
                <w:t>hier</w:t>
              </w:r>
            </w:hyperlink>
            <w:r>
              <w:t>)</w:t>
            </w:r>
          </w:p>
          <w:p>
            <w:pPr>
              <w:pStyle w:val="Liste2"/>
              <w:ind w:left="567" w:hanging="397"/>
              <w:rPr>
                <w:lang w:val="de-DE"/>
              </w:rPr>
            </w:pPr>
            <w:proofErr w:type="spellStart"/>
            <w:r>
              <w:rPr>
                <w:lang w:val="de-DE"/>
              </w:rPr>
              <w:t>SurvNet</w:t>
            </w:r>
            <w:proofErr w:type="spellEnd"/>
            <w:r>
              <w:rPr>
                <w:lang w:val="de-DE"/>
              </w:rPr>
              <w:t xml:space="preserve"> übermittelt: 5.129.950 (+52.826), davon 98.274 (+294) Todesfälle </w:t>
            </w:r>
          </w:p>
          <w:p>
            <w:pPr>
              <w:pStyle w:val="Liste2"/>
              <w:numPr>
                <w:ilvl w:val="0"/>
                <w:numId w:val="0"/>
              </w:numPr>
              <w:ind w:left="567"/>
              <w:rPr>
                <w:lang w:val="de-DE"/>
              </w:rPr>
            </w:pPr>
            <w:r>
              <w:rPr>
                <w:lang w:val="de-DE"/>
              </w:rPr>
              <w:t>7-Tage-Inzidenz: 319,5/100.000 EW; 7-Tage-Inzidenz hospitalisierter Fälle: 5,15/100.000 EW (erstmals &gt; 5, Nachmeldungen ausstehend), in der Altersgruppe ab 60 J.: 11,97 /100 000 EW</w:t>
            </w:r>
          </w:p>
          <w:p>
            <w:pPr>
              <w:pStyle w:val="Liste2"/>
              <w:ind w:left="567" w:hanging="397"/>
              <w:rPr>
                <w:lang w:val="de-DE"/>
              </w:rPr>
            </w:pPr>
            <w:r>
              <w:rPr>
                <w:lang w:val="de-DE"/>
              </w:rPr>
              <w:t>aktive Fälle: ca. 490.800</w:t>
            </w:r>
          </w:p>
          <w:p>
            <w:pPr>
              <w:pStyle w:val="Liste2"/>
              <w:ind w:left="567" w:hanging="397"/>
              <w:rPr>
                <w:lang w:val="de-DE"/>
              </w:rPr>
            </w:pPr>
            <w:r>
              <w:rPr>
                <w:lang w:val="de-DE"/>
              </w:rPr>
              <w:t>Anteil COVID-19 an ITS-Belegung: 14,7 %</w:t>
            </w:r>
          </w:p>
          <w:p>
            <w:pPr>
              <w:pStyle w:val="Liste2"/>
              <w:ind w:left="567" w:hanging="397"/>
              <w:rPr>
                <w:lang w:val="de-DE"/>
              </w:rPr>
            </w:pPr>
            <w:r>
              <w:rPr>
                <w:lang w:val="de-DE"/>
              </w:rPr>
              <w:t xml:space="preserve">Stufe 2 gemäß </w:t>
            </w:r>
            <w:proofErr w:type="spellStart"/>
            <w:r>
              <w:rPr>
                <w:lang w:val="de-DE"/>
              </w:rPr>
              <w:t>ControlCOVID</w:t>
            </w:r>
            <w:proofErr w:type="spellEnd"/>
            <w:r>
              <w:rPr>
                <w:lang w:val="de-DE"/>
              </w:rPr>
              <w:t xml:space="preserve"> erreicht</w:t>
            </w:r>
          </w:p>
          <w:p>
            <w:pPr>
              <w:pStyle w:val="Liste2"/>
              <w:ind w:left="567" w:hanging="397"/>
              <w:rPr>
                <w:lang w:val="de-DE"/>
              </w:rPr>
            </w:pPr>
            <w:r>
              <w:rPr>
                <w:lang w:val="de-DE"/>
              </w:rPr>
              <w:t>Verlauf der 7-Tage-Inzidenz nach Bundesland:</w:t>
            </w:r>
          </w:p>
          <w:p>
            <w:pPr>
              <w:pStyle w:val="Liste2"/>
              <w:numPr>
                <w:ilvl w:val="0"/>
                <w:numId w:val="0"/>
              </w:numPr>
              <w:ind w:left="567"/>
              <w:rPr>
                <w:lang w:val="de-DE"/>
              </w:rPr>
            </w:pPr>
            <w:r>
              <w:rPr>
                <w:lang w:val="de-DE"/>
              </w:rPr>
              <w:t>deutliche Anstiege in BY, SN, TH</w:t>
            </w:r>
          </w:p>
          <w:p>
            <w:pPr>
              <w:pStyle w:val="Liste2"/>
              <w:ind w:left="567" w:hanging="397"/>
              <w:rPr>
                <w:lang w:val="de-DE"/>
              </w:rPr>
            </w:pPr>
            <w:proofErr w:type="spellStart"/>
            <w:r>
              <w:rPr>
                <w:lang w:val="de-DE"/>
              </w:rPr>
              <w:t>Nowcasting</w:t>
            </w:r>
            <w:proofErr w:type="spellEnd"/>
            <w:r>
              <w:rPr>
                <w:lang w:val="de-DE"/>
              </w:rPr>
              <w:t xml:space="preserve"> und 7-Tage-R-Wert:</w:t>
            </w:r>
          </w:p>
          <w:p>
            <w:pPr>
              <w:pStyle w:val="Liste2"/>
              <w:numPr>
                <w:ilvl w:val="0"/>
                <w:numId w:val="0"/>
              </w:numPr>
              <w:ind w:left="567"/>
              <w:rPr>
                <w:lang w:val="de-DE"/>
              </w:rPr>
            </w:pPr>
            <w:r>
              <w:rPr>
                <w:lang w:val="de-DE"/>
              </w:rPr>
              <w:t>7-Tage-R weiterhin um 1,2 schwankend</w:t>
            </w:r>
          </w:p>
          <w:p>
            <w:pPr>
              <w:pStyle w:val="Liste2"/>
              <w:ind w:left="567" w:hanging="397"/>
              <w:rPr>
                <w:lang w:val="de-DE"/>
              </w:rPr>
            </w:pPr>
            <w:r>
              <w:rPr>
                <w:lang w:val="de-DE"/>
              </w:rPr>
              <w:t xml:space="preserve">Geografische Verteilung 7-T-Inzidenz nach LK: </w:t>
            </w:r>
          </w:p>
          <w:p>
            <w:pPr>
              <w:pStyle w:val="Liste2"/>
              <w:numPr>
                <w:ilvl w:val="0"/>
                <w:numId w:val="0"/>
              </w:numPr>
              <w:ind w:left="567"/>
              <w:rPr>
                <w:lang w:val="de-DE"/>
              </w:rPr>
            </w:pPr>
            <w:r>
              <w:rPr>
                <w:lang w:val="de-DE"/>
              </w:rPr>
              <w:t>Top 15-LK &gt; 900/100.000 EW, in 95 % aller LK liegt die 7-Tage-Inzidenz &gt; 100/100.000 EW; Großstädte mit höchsten 7-T-Inzidenzen: Dresden, München, Nürnberg, Leipzig</w:t>
            </w:r>
          </w:p>
          <w:p>
            <w:pPr>
              <w:pStyle w:val="Liste2"/>
              <w:ind w:left="567" w:hanging="397"/>
              <w:rPr>
                <w:lang w:val="de-DE"/>
              </w:rPr>
            </w:pPr>
            <w:r>
              <w:rPr>
                <w:lang w:val="de-DE"/>
              </w:rPr>
              <w:t>Inzidenz der Fälle nach AG und KW (</w:t>
            </w:r>
            <w:proofErr w:type="spellStart"/>
            <w:r>
              <w:rPr>
                <w:lang w:val="de-DE"/>
              </w:rPr>
              <w:t>Heatmap</w:t>
            </w:r>
            <w:proofErr w:type="spellEnd"/>
            <w:r>
              <w:rPr>
                <w:lang w:val="de-DE"/>
              </w:rPr>
              <w:t>):</w:t>
            </w:r>
          </w:p>
          <w:p>
            <w:pPr>
              <w:pStyle w:val="Liste2"/>
              <w:numPr>
                <w:ilvl w:val="0"/>
                <w:numId w:val="0"/>
              </w:numPr>
              <w:ind w:left="567"/>
              <w:rPr>
                <w:lang w:val="de-DE"/>
              </w:rPr>
            </w:pPr>
            <w:r>
              <w:rPr>
                <w:lang w:val="de-DE"/>
              </w:rPr>
              <w:t>höchste 7-Tage-Inzidenz in der AG 6-10: 732/100.000 EW, AG 11-14: 687/100.000 EW; in den AG 80+: &gt; 150/100.000 EW</w:t>
            </w:r>
          </w:p>
          <w:p>
            <w:pPr>
              <w:pStyle w:val="Liste2"/>
              <w:ind w:left="567" w:hanging="397"/>
              <w:rPr>
                <w:lang w:val="de-DE"/>
              </w:rPr>
            </w:pPr>
            <w:r>
              <w:rPr>
                <w:lang w:val="de-DE"/>
              </w:rPr>
              <w:t xml:space="preserve">7-T-Inzidenz nach LK und AG: </w:t>
            </w:r>
          </w:p>
          <w:p>
            <w:pPr>
              <w:pStyle w:val="Liste2"/>
              <w:numPr>
                <w:ilvl w:val="0"/>
                <w:numId w:val="0"/>
              </w:numPr>
              <w:ind w:left="567"/>
              <w:rPr>
                <w:lang w:val="de-DE"/>
              </w:rPr>
            </w:pPr>
            <w:r>
              <w:rPr>
                <w:lang w:val="de-DE"/>
              </w:rPr>
              <w:t>hohe Anzahl LK mit 7-Tage-Inzidenz &gt; 500/100.000 EW, bisher v. a. in den Altersgruppen von 0-59; Anstieg auch in höheren Altersgruppen prognostiziert</w:t>
            </w:r>
          </w:p>
          <w:p>
            <w:pPr>
              <w:pStyle w:val="Liste2"/>
              <w:ind w:left="567" w:hanging="397"/>
              <w:rPr>
                <w:lang w:val="de-DE"/>
              </w:rPr>
            </w:pPr>
            <w:r>
              <w:rPr>
                <w:lang w:val="de-DE"/>
              </w:rPr>
              <w:t xml:space="preserve">Verlauf 7-Tage-Hospitalisierungs-Inzidenz nach BL: </w:t>
            </w:r>
          </w:p>
          <w:p>
            <w:pPr>
              <w:pStyle w:val="Liste2"/>
              <w:numPr>
                <w:ilvl w:val="0"/>
                <w:numId w:val="0"/>
              </w:numPr>
              <w:ind w:left="567"/>
              <w:rPr>
                <w:lang w:val="de-DE"/>
              </w:rPr>
            </w:pPr>
            <w:r>
              <w:rPr>
                <w:lang w:val="de-DE"/>
              </w:rPr>
              <w:t>bundesweit &gt; 5; TH &gt; 20; SN: hohe 7-Tage-Inzidenz wird in Hospitalisierungs-Inzidenz nicht widergespiegelt, vermutlich werden Hospitalisierungen unzureichend gemeldet; umgekehrte Situation in MV: hier gute Meldung von Hospitalisierungen bei vergleichsweise geringer 7-Tage-Inzidenz; TH meldet Hospitalisierungen besser als SN; unterschiedliches Meldeverhalten beeinträchtigt Aussagekraft der Darstellung</w:t>
            </w:r>
          </w:p>
          <w:p>
            <w:pPr>
              <w:pStyle w:val="Liste2"/>
              <w:ind w:left="567" w:hanging="397"/>
              <w:rPr>
                <w:lang w:val="de-DE"/>
              </w:rPr>
            </w:pPr>
            <w:r>
              <w:rPr>
                <w:lang w:val="de-DE"/>
              </w:rPr>
              <w:t>Todesfälle nach Sterbewoche:</w:t>
            </w:r>
          </w:p>
          <w:p>
            <w:pPr>
              <w:pStyle w:val="Liste2"/>
              <w:numPr>
                <w:ilvl w:val="0"/>
                <w:numId w:val="0"/>
              </w:numPr>
              <w:ind w:left="567"/>
              <w:rPr>
                <w:lang w:val="de-DE"/>
              </w:rPr>
            </w:pPr>
            <w:r>
              <w:rPr>
                <w:lang w:val="de-DE"/>
              </w:rPr>
              <w:t>in KW 44 und KW 45 jeweils &gt; 800 Sterbefälle</w:t>
            </w:r>
          </w:p>
          <w:p>
            <w:pPr>
              <w:pStyle w:val="Liste2"/>
              <w:ind w:left="567" w:hanging="397"/>
              <w:rPr>
                <w:lang w:val="de-DE"/>
              </w:rPr>
            </w:pPr>
            <w:r>
              <w:rPr>
                <w:lang w:val="de-DE"/>
              </w:rPr>
              <w:t xml:space="preserve">Zusatzauswertungen (Folien </w:t>
            </w:r>
            <w:r>
              <w:rPr>
                <w:highlight w:val="yellow"/>
                <w:lang w:val="de-DE"/>
              </w:rPr>
              <w:t>hier</w:t>
            </w:r>
            <w:r>
              <w:rPr>
                <w:lang w:val="de-DE"/>
              </w:rPr>
              <w:t xml:space="preserve">): </w:t>
            </w:r>
          </w:p>
          <w:p>
            <w:pPr>
              <w:pStyle w:val="Liste2"/>
              <w:numPr>
                <w:ilvl w:val="0"/>
                <w:numId w:val="0"/>
              </w:numPr>
              <w:ind w:left="567"/>
              <w:rPr>
                <w:lang w:val="de-DE"/>
              </w:rPr>
            </w:pPr>
            <w:r>
              <w:rPr>
                <w:lang w:val="de-DE"/>
              </w:rPr>
              <w:t>7-Tage-Inzidenz hospitalisierter COVID-19-Fälle nach BL;</w:t>
            </w:r>
          </w:p>
          <w:p>
            <w:pPr>
              <w:pStyle w:val="Liste2"/>
              <w:numPr>
                <w:ilvl w:val="0"/>
                <w:numId w:val="0"/>
              </w:numPr>
              <w:ind w:left="567"/>
              <w:rPr>
                <w:lang w:val="de-DE"/>
              </w:rPr>
            </w:pPr>
            <w:r>
              <w:rPr>
                <w:lang w:val="de-DE"/>
              </w:rPr>
              <w:t>Sterbefälle nach LK</w:t>
            </w:r>
          </w:p>
          <w:p>
            <w:pPr>
              <w:pStyle w:val="Liste2"/>
              <w:numPr>
                <w:ilvl w:val="0"/>
                <w:numId w:val="0"/>
              </w:numPr>
              <w:ind w:left="833"/>
              <w:rPr>
                <w:lang w:val="de-DE"/>
              </w:rPr>
            </w:pPr>
          </w:p>
          <w:p>
            <w:pPr>
              <w:pStyle w:val="Liste1"/>
              <w:rPr>
                <w:rStyle w:val="TagMiZchn"/>
                <w:b w:val="0"/>
                <w:i w:val="0"/>
                <w:color w:val="auto"/>
              </w:rPr>
            </w:pPr>
            <w:r>
              <w:rPr>
                <w:rStyle w:val="3Zchn"/>
              </w:rPr>
              <w:t>Testkapazität und Testungen</w:t>
            </w:r>
            <w:r>
              <w:rPr>
                <w:rStyle w:val="3Zchn"/>
                <w:b w:val="0"/>
              </w:rPr>
              <w:t xml:space="preserve"> </w:t>
            </w:r>
            <w:r>
              <w:t xml:space="preserve">(Folien </w:t>
            </w:r>
            <w:hyperlink r:id="rId12" w:history="1">
              <w:r>
                <w:rPr>
                  <w:rStyle w:val="Hyperlink"/>
                </w:rPr>
                <w:t>hier</w:t>
              </w:r>
            </w:hyperlink>
            <w:r>
              <w:t xml:space="preserve">) </w:t>
            </w:r>
            <w:r>
              <w:rPr>
                <w:rStyle w:val="TagMiZchn"/>
                <w:bCs/>
              </w:rPr>
              <w:t xml:space="preserve">(nur mittwochs)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deutliche Zunahmen sowohl bei Anzahl der Testungen als auch bei Positivenanteil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KW 45: &gt; 1,6 Mio. Testungen, 17 % Positivanteil, höchster </w:t>
            </w:r>
            <w:proofErr w:type="spellStart"/>
            <w:r>
              <w:rPr>
                <w:lang w:val="de-DE"/>
              </w:rPr>
              <w:t>Positivenanteil</w:t>
            </w:r>
            <w:proofErr w:type="spellEnd"/>
            <w:r>
              <w:rPr>
                <w:lang w:val="de-DE"/>
              </w:rPr>
              <w:t xml:space="preserve"> seit Beginn der Erfassung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Laborauslastung hoch, in einigen BL beinahe ausgelastet, dadurch Gefahr verzögerter Ergebnisübermittlung</w:t>
            </w:r>
          </w:p>
          <w:p>
            <w:pPr>
              <w:pStyle w:val="Liste2"/>
              <w:rPr>
                <w:lang w:val="de-DE"/>
              </w:rPr>
            </w:pPr>
            <w:proofErr w:type="spellStart"/>
            <w:r>
              <w:rPr>
                <w:lang w:val="de-DE"/>
              </w:rPr>
              <w:t>Positivenanteil</w:t>
            </w:r>
            <w:proofErr w:type="spellEnd"/>
            <w:r>
              <w:rPr>
                <w:lang w:val="de-DE"/>
              </w:rPr>
              <w:t xml:space="preserve"> nach Laborstandort: BB &gt; 20 %, TH um 30 %, SN &gt; 30 %, in fast allen BL ansteigender Trend</w:t>
            </w:r>
          </w:p>
          <w:p>
            <w:pPr>
              <w:pStyle w:val="Liste2"/>
              <w:numPr>
                <w:ilvl w:val="0"/>
                <w:numId w:val="0"/>
              </w:numPr>
              <w:ind w:left="833"/>
              <w:rPr>
                <w:lang w:val="de-DE"/>
              </w:rPr>
            </w:pPr>
          </w:p>
          <w:p>
            <w:pPr>
              <w:pStyle w:val="Liste1"/>
            </w:pPr>
            <w:r>
              <w:rPr>
                <w:b/>
              </w:rPr>
              <w:t>ARS-Daten</w:t>
            </w:r>
            <w:r>
              <w:t xml:space="preserve"> (Folien </w:t>
            </w:r>
            <w:hyperlink r:id="rId13" w:history="1">
              <w:r>
                <w:rPr>
                  <w:rStyle w:val="Hyperlink"/>
                </w:rPr>
                <w:t>hier</w:t>
              </w:r>
            </w:hyperlink>
            <w:r>
              <w:t>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Zunahme bei Anzahl Testungen (KW 45: &gt; 600.000) und bei </w:t>
            </w:r>
            <w:proofErr w:type="spellStart"/>
            <w:r>
              <w:rPr>
                <w:lang w:val="de-DE"/>
              </w:rPr>
              <w:t>Positivenanteil</w:t>
            </w:r>
            <w:proofErr w:type="spellEnd"/>
            <w:r>
              <w:rPr>
                <w:lang w:val="de-DE"/>
              </w:rPr>
              <w:t xml:space="preserve"> (KW 45: &gt; 15 %) in allen Altersgruppen und in fast allen BL; SL rel. stabil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im Vergleichszeitraum 2020 wurden mind. genauso viele Testungen durchgeführt wie in 2021, der </w:t>
            </w:r>
            <w:proofErr w:type="spellStart"/>
            <w:r>
              <w:rPr>
                <w:lang w:val="de-DE"/>
              </w:rPr>
              <w:t>Positivenanteil</w:t>
            </w:r>
            <w:proofErr w:type="spellEnd"/>
            <w:r>
              <w:rPr>
                <w:lang w:val="de-DE"/>
              </w:rPr>
              <w:t xml:space="preserve"> in 2020 lag jedoch niedriger als in 2021; die Differenz im </w:t>
            </w:r>
            <w:proofErr w:type="spellStart"/>
            <w:r>
              <w:rPr>
                <w:lang w:val="de-DE"/>
              </w:rPr>
              <w:t>Positivenanteil</w:t>
            </w:r>
            <w:proofErr w:type="spellEnd"/>
            <w:r>
              <w:rPr>
                <w:lang w:val="de-DE"/>
              </w:rPr>
              <w:t xml:space="preserve"> zum Vorjahr ist in den BL unterschiedlich ausgeprägt: z. B. in SN, TH sehr deutliche Zunahme im Vergleich zu 2020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Anstieg bei Testungen und </w:t>
            </w:r>
            <w:proofErr w:type="spellStart"/>
            <w:r>
              <w:rPr>
                <w:lang w:val="de-DE"/>
              </w:rPr>
              <w:t>Positivenanteil</w:t>
            </w:r>
            <w:proofErr w:type="spellEnd"/>
            <w:r>
              <w:rPr>
                <w:lang w:val="de-DE"/>
              </w:rPr>
              <w:t xml:space="preserve"> v. a. in Arztpraxen (dort Testung v. a. von symptomatischen Pat.), in KH weniger starker Anstieg (dort v. a. Testung von asymptomatischen Pat.); im Vergleich zum Vorjahr ähnliche Anzahl Testungen;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höchste </w:t>
            </w:r>
            <w:proofErr w:type="spellStart"/>
            <w:r>
              <w:rPr>
                <w:lang w:val="de-DE"/>
              </w:rPr>
              <w:t>Positivenanteile</w:t>
            </w:r>
            <w:proofErr w:type="spellEnd"/>
            <w:r>
              <w:rPr>
                <w:lang w:val="de-DE"/>
              </w:rPr>
              <w:t xml:space="preserve"> in der AG 5-14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Zunahme bei Ausbrüchen: aktuell 138 aktive Ausbrüche in KH, 192 aktive Ausbrüche in Alten-/Pflegeeinrichtungen; Ausbrüche spiegeln allgemeinen Inzidenzanstieg wider</w:t>
            </w:r>
          </w:p>
          <w:p>
            <w:pPr>
              <w:pStyle w:val="Liste2"/>
              <w:numPr>
                <w:ilvl w:val="0"/>
                <w:numId w:val="0"/>
              </w:numPr>
              <w:ind w:left="833"/>
              <w:rPr>
                <w:lang w:val="de-DE"/>
              </w:rPr>
            </w:pPr>
          </w:p>
          <w:p>
            <w:pPr>
              <w:pStyle w:val="Liste2"/>
              <w:numPr>
                <w:ilvl w:val="0"/>
                <w:numId w:val="0"/>
              </w:numPr>
              <w:ind w:left="833" w:hanging="360"/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Diskussion: </w:t>
            </w:r>
          </w:p>
          <w:p>
            <w:pPr>
              <w:pStyle w:val="Liste2"/>
              <w:numPr>
                <w:ilvl w:val="0"/>
                <w:numId w:val="8"/>
              </w:numPr>
              <w:rPr>
                <w:lang w:val="de-DE"/>
              </w:rPr>
            </w:pPr>
            <w:r>
              <w:rPr>
                <w:lang w:val="de-DE"/>
              </w:rPr>
              <w:t xml:space="preserve">Mitteilung Gerit </w:t>
            </w:r>
            <w:proofErr w:type="spellStart"/>
            <w:r>
              <w:rPr>
                <w:lang w:val="de-DE"/>
              </w:rPr>
              <w:t>Korr</w:t>
            </w:r>
            <w:proofErr w:type="spellEnd"/>
            <w:r>
              <w:rPr>
                <w:lang w:val="de-DE"/>
              </w:rPr>
              <w:t xml:space="preserve">, BMG: Ministerium nervös hinsichtlich PCR-Testkapazitäten, Bedarfsplanung; RKI: erforderlich für Bedarfsplanung: Meldepflicht für Testungen, Übermittlung von Testzahlen erfolgt bisher freiwillig; </w:t>
            </w:r>
          </w:p>
          <w:p>
            <w:pPr>
              <w:pStyle w:val="Liste2"/>
              <w:numPr>
                <w:ilvl w:val="0"/>
                <w:numId w:val="8"/>
              </w:numPr>
              <w:rPr>
                <w:lang w:val="de-DE"/>
              </w:rPr>
            </w:pPr>
            <w:r>
              <w:rPr>
                <w:lang w:val="de-DE"/>
              </w:rPr>
              <w:t>Mitteilung ALM e. V.: Labore können prinzipiell Kapazitäten steigern, brauchen dafür Absicherung; problematisch: beginnende Abwanderung von Personal aufgrund erneut zunehmender Belastung</w:t>
            </w:r>
          </w:p>
          <w:p>
            <w:pPr>
              <w:pStyle w:val="Liste2"/>
              <w:numPr>
                <w:ilvl w:val="0"/>
                <w:numId w:val="0"/>
              </w:numPr>
              <w:ind w:left="471"/>
              <w:rPr>
                <w:lang w:val="de-DE"/>
              </w:rPr>
            </w:pPr>
          </w:p>
          <w:p>
            <w:pPr>
              <w:pStyle w:val="Liste2"/>
              <w:numPr>
                <w:ilvl w:val="0"/>
                <w:numId w:val="0"/>
              </w:numPr>
              <w:ind w:left="471"/>
              <w:rPr>
                <w:i/>
                <w:lang w:val="de-DE"/>
              </w:rPr>
            </w:pPr>
            <w:r>
              <w:rPr>
                <w:b/>
                <w:i/>
                <w:lang w:val="de-DE"/>
              </w:rPr>
              <w:t>TODO:</w:t>
            </w:r>
            <w:r>
              <w:rPr>
                <w:i/>
                <w:lang w:val="de-DE"/>
              </w:rPr>
              <w:t xml:space="preserve"> FG 32 – im Gespräch mit BMG auf Meldepflicht für PCR-Testungen hinwirken</w:t>
            </w:r>
          </w:p>
          <w:p>
            <w:pPr>
              <w:pStyle w:val="Liste2"/>
              <w:numPr>
                <w:ilvl w:val="0"/>
                <w:numId w:val="0"/>
              </w:numPr>
              <w:ind w:left="833" w:hanging="360"/>
              <w:rPr>
                <w:lang w:val="de-DE"/>
              </w:rPr>
            </w:pPr>
          </w:p>
          <w:p>
            <w:pPr>
              <w:pStyle w:val="Liste1"/>
            </w:pPr>
            <w:r>
              <w:rPr>
                <w:b/>
              </w:rPr>
              <w:t>VOC/VOI in Deutschland</w:t>
            </w:r>
            <w:r>
              <w:t xml:space="preserve"> (Folien </w:t>
            </w:r>
            <w:hyperlink r:id="rId14" w:history="1">
              <w:r>
                <w:rPr>
                  <w:rStyle w:val="Hyperlink"/>
                </w:rPr>
                <w:t>hier</w:t>
              </w:r>
            </w:hyperlink>
            <w:r>
              <w:t>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keine Veränderung: B.1.617.2 (Delta) weiterhin dominierend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Anteil der Stichproben nimmt bei steigenden Fallzahlen ab (KW 44: 1,1 %)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kaum Veränderung bei Delta-Sublinien unter Beobachtung: AY 4.2 und AY.33 um 1 % (KW 44)</w:t>
            </w:r>
          </w:p>
          <w:p>
            <w:pPr>
              <w:pStyle w:val="Liste2"/>
              <w:numPr>
                <w:ilvl w:val="0"/>
                <w:numId w:val="0"/>
              </w:numPr>
              <w:ind w:left="833"/>
              <w:rPr>
                <w:lang w:val="de-DE"/>
              </w:rPr>
            </w:pPr>
          </w:p>
          <w:p>
            <w:pPr>
              <w:pStyle w:val="Liste1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Molekulare Surveillance</w:t>
            </w:r>
            <w:r>
              <w:rPr>
                <w:color w:val="000000" w:themeColor="text1"/>
              </w:rPr>
              <w:t xml:space="preserve"> (Foliensatz 1 </w:t>
            </w:r>
            <w:r>
              <w:rPr>
                <w:color w:val="000000" w:themeColor="text1"/>
                <w:highlight w:val="yellow"/>
              </w:rPr>
              <w:t>hier</w:t>
            </w:r>
            <w:r>
              <w:rPr>
                <w:color w:val="000000" w:themeColor="text1"/>
              </w:rPr>
              <w:t xml:space="preserve">, Foliensatz 2 </w:t>
            </w:r>
            <w:hyperlink r:id="rId15" w:history="1">
              <w:r>
                <w:rPr>
                  <w:rStyle w:val="Hyperlink"/>
                </w:rPr>
                <w:t>hier</w:t>
              </w:r>
            </w:hyperlink>
            <w:r>
              <w:rPr>
                <w:color w:val="000000" w:themeColor="text1"/>
              </w:rPr>
              <w:t>)</w:t>
            </w:r>
          </w:p>
          <w:p>
            <w:pPr>
              <w:pStyle w:val="Liste2"/>
              <w:rPr>
                <w:color w:val="000000" w:themeColor="text1"/>
              </w:rPr>
            </w:pPr>
            <w:proofErr w:type="spellStart"/>
            <w:r>
              <w:rPr>
                <w:lang w:val="de-DE"/>
              </w:rPr>
              <w:t>CorSurV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verlängert</w:t>
            </w:r>
            <w:proofErr w:type="spellEnd"/>
            <w:r>
              <w:rPr>
                <w:color w:val="000000" w:themeColor="text1"/>
              </w:rPr>
              <w:t xml:space="preserve"> bis 06/2022</w:t>
            </w:r>
          </w:p>
          <w:p>
            <w:pPr>
              <w:pStyle w:val="Liste2"/>
              <w:rPr>
                <w:color w:val="000000" w:themeColor="text1"/>
                <w:lang w:val="de-DE"/>
              </w:rPr>
            </w:pPr>
            <w:r>
              <w:rPr>
                <w:lang w:val="de-DE"/>
              </w:rPr>
              <w:t xml:space="preserve">erfolgreiche Verknüpfung von Sequenzdaten mit </w:t>
            </w:r>
            <w:proofErr w:type="spellStart"/>
            <w:r>
              <w:rPr>
                <w:lang w:val="de-DE"/>
              </w:rPr>
              <w:t>Epidaten</w:t>
            </w:r>
            <w:proofErr w:type="spellEnd"/>
            <w:r>
              <w:rPr>
                <w:lang w:val="de-DE"/>
              </w:rPr>
              <w:t xml:space="preserve">: </w:t>
            </w:r>
            <w:r>
              <w:rPr>
                <w:highlight w:val="yellow"/>
                <w:lang w:val="de-DE"/>
              </w:rPr>
              <w:t>47 % (?)</w:t>
            </w:r>
          </w:p>
          <w:p>
            <w:pPr>
              <w:pStyle w:val="Liste2"/>
              <w:rPr>
                <w:color w:val="000000" w:themeColor="text1"/>
                <w:lang w:val="de-DE"/>
              </w:rPr>
            </w:pPr>
            <w:r>
              <w:rPr>
                <w:color w:val="000000" w:themeColor="text1"/>
                <w:lang w:val="de-DE"/>
              </w:rPr>
              <w:t xml:space="preserve">Darstellung des </w:t>
            </w:r>
            <w:proofErr w:type="spellStart"/>
            <w:r>
              <w:rPr>
                <w:color w:val="000000" w:themeColor="text1"/>
                <w:lang w:val="de-DE"/>
              </w:rPr>
              <w:t>Mappings</w:t>
            </w:r>
            <w:proofErr w:type="spellEnd"/>
            <w:r>
              <w:rPr>
                <w:color w:val="000000" w:themeColor="text1"/>
                <w:lang w:val="de-DE"/>
              </w:rPr>
              <w:t xml:space="preserve"> auf </w:t>
            </w:r>
            <w:proofErr w:type="spellStart"/>
            <w:r>
              <w:rPr>
                <w:color w:val="000000" w:themeColor="text1"/>
                <w:lang w:val="de-DE"/>
              </w:rPr>
              <w:t>primärsequenzierende</w:t>
            </w:r>
            <w:proofErr w:type="spellEnd"/>
            <w:r>
              <w:rPr>
                <w:color w:val="000000" w:themeColor="text1"/>
                <w:lang w:val="de-DE"/>
              </w:rPr>
              <w:t xml:space="preserve"> Labore: einige Labore übermitteln nie eine ID, Ursachen unklar –</w:t>
            </w:r>
            <w:r>
              <w:rPr>
                <w:color w:val="000000" w:themeColor="text1"/>
                <w:lang w:val="de-DE"/>
              </w:rPr>
              <w:lastRenderedPageBreak/>
              <w:t>Kontakt mit betroffenen Laboren aufnehmen, um Ursachen und Lösung für fehlende Übermittlung zu suchen</w:t>
            </w:r>
          </w:p>
          <w:p>
            <w:pPr>
              <w:pStyle w:val="Liste2"/>
              <w:rPr>
                <w:color w:val="000000" w:themeColor="text1"/>
                <w:lang w:val="de-DE"/>
              </w:rPr>
            </w:pPr>
            <w:r>
              <w:rPr>
                <w:lang w:val="de-DE"/>
              </w:rPr>
              <w:t>Delta</w:t>
            </w:r>
            <w:r>
              <w:rPr>
                <w:color w:val="000000" w:themeColor="text1"/>
                <w:lang w:val="de-DE"/>
              </w:rPr>
              <w:t xml:space="preserve"> ist das „neue Normal“, viele Sublinien</w:t>
            </w:r>
          </w:p>
          <w:p>
            <w:pPr>
              <w:pStyle w:val="Liste2"/>
              <w:rPr>
                <w:color w:val="000000" w:themeColor="text1"/>
                <w:lang w:val="de-DE"/>
              </w:rPr>
            </w:pPr>
            <w:r>
              <w:rPr>
                <w:lang w:val="de-DE"/>
              </w:rPr>
              <w:t>ursprüngliche</w:t>
            </w:r>
            <w:r>
              <w:rPr>
                <w:color w:val="000000" w:themeColor="text1"/>
                <w:lang w:val="de-DE"/>
              </w:rPr>
              <w:t xml:space="preserve"> Delta-Linie: 28 % Anteil in DE</w:t>
            </w:r>
          </w:p>
          <w:p>
            <w:pPr>
              <w:pStyle w:val="Liste2"/>
              <w:rPr>
                <w:color w:val="000000" w:themeColor="text1"/>
                <w:lang w:val="de-DE"/>
              </w:rPr>
            </w:pPr>
            <w:r>
              <w:rPr>
                <w:color w:val="000000" w:themeColor="text1"/>
                <w:lang w:val="de-DE"/>
              </w:rPr>
              <w:t>Delta-Sub-</w:t>
            </w:r>
            <w:proofErr w:type="spellStart"/>
            <w:r>
              <w:rPr>
                <w:color w:val="000000" w:themeColor="text1"/>
                <w:lang w:val="de-DE"/>
              </w:rPr>
              <w:t>Sublinie</w:t>
            </w:r>
            <w:proofErr w:type="spellEnd"/>
            <w:r>
              <w:rPr>
                <w:color w:val="000000" w:themeColor="text1"/>
                <w:lang w:val="de-DE"/>
              </w:rPr>
              <w:t xml:space="preserve"> AY.4.2: zwei zusätzliche Mutationen im Spike-Gen, Verdacht auf erhöhte Übertragbarkeit; in GB als VUI deklariert, dort in der Verbreitung stark zunehmend; in DE bislang vergleichsweise wenige Nachweise (s. oben: VOC/VUI in Deutschland)</w:t>
            </w:r>
          </w:p>
          <w:p>
            <w:pPr>
              <w:pStyle w:val="Liste2"/>
              <w:numPr>
                <w:ilvl w:val="0"/>
                <w:numId w:val="0"/>
              </w:numPr>
              <w:ind w:left="833"/>
              <w:rPr>
                <w:color w:val="000000" w:themeColor="text1"/>
                <w:lang w:val="de-DE"/>
              </w:rPr>
            </w:pPr>
          </w:p>
          <w:p>
            <w:pPr>
              <w:pStyle w:val="Liste2"/>
              <w:numPr>
                <w:ilvl w:val="0"/>
                <w:numId w:val="0"/>
              </w:numPr>
              <w:ind w:left="833" w:hanging="360"/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Diskussion: </w:t>
            </w:r>
          </w:p>
          <w:p>
            <w:pPr>
              <w:pStyle w:val="Liste2"/>
              <w:numPr>
                <w:ilvl w:val="0"/>
                <w:numId w:val="8"/>
              </w:numPr>
              <w:rPr>
                <w:i/>
                <w:color w:val="000000" w:themeColor="text1"/>
                <w:lang w:val="de-DE"/>
              </w:rPr>
            </w:pPr>
            <w:r>
              <w:rPr>
                <w:i/>
                <w:lang w:val="de-DE"/>
              </w:rPr>
              <w:t xml:space="preserve">geografische Verbreitung von AY.4.2? – </w:t>
            </w:r>
            <w:proofErr w:type="spellStart"/>
            <w:r>
              <w:rPr>
                <w:i/>
                <w:lang w:val="de-DE"/>
              </w:rPr>
              <w:t>Aw</w:t>
            </w:r>
            <w:proofErr w:type="spellEnd"/>
            <w:r>
              <w:rPr>
                <w:i/>
                <w:lang w:val="de-DE"/>
              </w:rPr>
              <w:t>: keine Peaks, sondern kontinuierliche Zunahme der Nachweise, d. h. keine Hinweise auf lokale Ausbruchsgeschehen</w:t>
            </w:r>
          </w:p>
          <w:p>
            <w:pPr>
              <w:pStyle w:val="Liste2"/>
              <w:numPr>
                <w:ilvl w:val="0"/>
                <w:numId w:val="0"/>
              </w:numPr>
              <w:ind w:left="833"/>
              <w:rPr>
                <w:color w:val="000000" w:themeColor="text1"/>
                <w:lang w:val="de-DE"/>
              </w:rPr>
            </w:pPr>
          </w:p>
          <w:p>
            <w:pPr>
              <w:pStyle w:val="Liste1"/>
              <w:rPr>
                <w:i/>
                <w:color w:val="D99594" w:themeColor="accent2" w:themeTint="99"/>
              </w:rPr>
            </w:pPr>
            <w:proofErr w:type="spellStart"/>
            <w:r>
              <w:rPr>
                <w:b/>
                <w:color w:val="000000" w:themeColor="text1"/>
              </w:rPr>
              <w:t>Syndromische</w:t>
            </w:r>
            <w:proofErr w:type="spellEnd"/>
            <w:r>
              <w:rPr>
                <w:b/>
                <w:color w:val="000000" w:themeColor="text1"/>
              </w:rPr>
              <w:t xml:space="preserve"> Surveillance</w:t>
            </w:r>
            <w:r>
              <w:rPr>
                <w:color w:val="000000" w:themeColor="text1"/>
              </w:rPr>
              <w:t xml:space="preserve"> (Folien </w:t>
            </w:r>
            <w:hyperlink r:id="rId16" w:history="1">
              <w:r>
                <w:rPr>
                  <w:rStyle w:val="Hyperlink"/>
                </w:rPr>
                <w:t>hier</w:t>
              </w:r>
            </w:hyperlink>
            <w:r>
              <w:rPr>
                <w:color w:val="000000" w:themeColor="text1"/>
              </w:rPr>
              <w:t>)</w:t>
            </w:r>
            <w:r>
              <w:rPr>
                <w:rStyle w:val="TagMiZchn"/>
                <w:color w:val="000000" w:themeColor="text1"/>
              </w:rPr>
              <w:t xml:space="preserve"> </w:t>
            </w:r>
            <w:r>
              <w:rPr>
                <w:rStyle w:val="TagMiZchn"/>
              </w:rPr>
              <w:t xml:space="preserve">(nur mittwochs) </w:t>
            </w:r>
          </w:p>
          <w:p>
            <w:pPr>
              <w:pStyle w:val="Liste2"/>
              <w:rPr>
                <w:color w:val="000000" w:themeColor="text1"/>
                <w:lang w:val="de-DE"/>
              </w:rPr>
            </w:pPr>
            <w:r>
              <w:rPr>
                <w:i/>
                <w:color w:val="000000" w:themeColor="text1"/>
                <w:lang w:val="de-DE"/>
              </w:rPr>
              <w:t>Grippeweb:</w:t>
            </w:r>
            <w:r>
              <w:rPr>
                <w:color w:val="000000" w:themeColor="text1"/>
                <w:lang w:val="de-DE"/>
              </w:rPr>
              <w:t xml:space="preserve"> ARE-Rate auf gleichem Stand wie 2019/2020, deutlich höher als 2020/2021; im Vergleich zur Vorwoche: Anstieg der ARE-Rate, Ausnahme: Altersgruppe 35-59</w:t>
            </w:r>
          </w:p>
          <w:p>
            <w:pPr>
              <w:pStyle w:val="Liste2"/>
              <w:rPr>
                <w:color w:val="000000" w:themeColor="text1"/>
                <w:lang w:val="de-DE"/>
              </w:rPr>
            </w:pPr>
            <w:r>
              <w:rPr>
                <w:i/>
                <w:color w:val="000000" w:themeColor="text1"/>
                <w:lang w:val="de-DE"/>
              </w:rPr>
              <w:t>Arztbesuche wegen ARE:</w:t>
            </w:r>
            <w:r>
              <w:rPr>
                <w:color w:val="000000" w:themeColor="text1" w:themeShade="A6"/>
                <w:lang w:val="de-DE"/>
              </w:rPr>
              <w:t xml:space="preserve"> </w:t>
            </w:r>
            <w:r>
              <w:rPr>
                <w:color w:val="000000" w:themeColor="text1"/>
                <w:lang w:val="de-DE"/>
              </w:rPr>
              <w:t>aktuell deutlich mehr Konsultationen als in den vorigen Saisons - vermutete Ursachen: mehr Menschen gehen auch bei schwacher Symptomatik zwecks Testung zum Arzt, RSV-Zirkulation; Altersgruppe 0-4: weiterhin hohes Niveau, aber keine weitere Zunahme</w:t>
            </w:r>
          </w:p>
          <w:p>
            <w:pPr>
              <w:pStyle w:val="Liste2"/>
              <w:rPr>
                <w:color w:val="000000" w:themeColor="text1" w:themeShade="A6"/>
                <w:lang w:val="de-DE"/>
              </w:rPr>
            </w:pPr>
            <w:r>
              <w:rPr>
                <w:i/>
                <w:color w:val="000000" w:themeColor="text1"/>
                <w:lang w:val="de-DE"/>
              </w:rPr>
              <w:t>ICOSARI-KH-Surveillance – SARI-Fälle:</w:t>
            </w:r>
            <w:r>
              <w:rPr>
                <w:color w:val="000000" w:themeColor="text1"/>
                <w:lang w:val="de-DE"/>
              </w:rPr>
              <w:t xml:space="preserve"> ausgeprägter Peak in Altersgruppe 0-4, Krankheitslast in dieser Altersgruppe v. a. bedingt durch RSV (67 %); zunehmend SARI-Fälle auch in Altersgruppen 35-59 (73 % COVID-19), 60-79 (58 % COVID-19), 80+ (47 % COVID-19)</w:t>
            </w:r>
          </w:p>
          <w:p>
            <w:pPr>
              <w:pStyle w:val="Liste2"/>
              <w:rPr>
                <w:color w:val="000000" w:themeColor="text1"/>
                <w:lang w:val="de-DE"/>
              </w:rPr>
            </w:pPr>
            <w:r>
              <w:rPr>
                <w:i/>
                <w:color w:val="000000" w:themeColor="text1"/>
                <w:lang w:val="de-DE"/>
              </w:rPr>
              <w:t>ICOSARI-KH-Surveillance – Anteil COVID-19 an SARI-Fällen:</w:t>
            </w:r>
            <w:r>
              <w:rPr>
                <w:color w:val="000000" w:themeColor="text1"/>
                <w:lang w:val="de-DE"/>
              </w:rPr>
              <w:t xml:space="preserve"> COVID-19-Anteil nimmt zu, KW 45: 38 % (ITS: 64 %)</w:t>
            </w:r>
          </w:p>
          <w:p>
            <w:pPr>
              <w:pStyle w:val="Liste2"/>
              <w:rPr>
                <w:i/>
                <w:color w:val="000000" w:themeColor="text1"/>
                <w:lang w:val="de-DE"/>
              </w:rPr>
            </w:pPr>
            <w:r>
              <w:rPr>
                <w:i/>
                <w:color w:val="000000" w:themeColor="text1"/>
                <w:lang w:val="de-DE"/>
              </w:rPr>
              <w:t>COVID-SARI-Fälle, Herbst 2020 und 2021 im Vergleich:</w:t>
            </w:r>
          </w:p>
          <w:p>
            <w:pPr>
              <w:pStyle w:val="Liste2"/>
              <w:numPr>
                <w:ilvl w:val="0"/>
                <w:numId w:val="0"/>
              </w:numPr>
              <w:ind w:left="833"/>
              <w:rPr>
                <w:color w:val="000000" w:themeColor="text1"/>
                <w:lang w:val="de-DE"/>
              </w:rPr>
            </w:pPr>
            <w:r>
              <w:rPr>
                <w:color w:val="000000" w:themeColor="text1"/>
                <w:lang w:val="de-DE"/>
              </w:rPr>
              <w:t>ähnliches Fallzahlniveau in allen Altersgruppen</w:t>
            </w:r>
          </w:p>
          <w:p>
            <w:pPr>
              <w:pStyle w:val="Liste2"/>
              <w:rPr>
                <w:i/>
                <w:color w:val="000000" w:themeColor="text1"/>
                <w:lang w:val="de-DE"/>
              </w:rPr>
            </w:pPr>
            <w:r>
              <w:rPr>
                <w:i/>
                <w:color w:val="000000" w:themeColor="text1"/>
                <w:lang w:val="de-DE"/>
              </w:rPr>
              <w:t>Ausbrüche in Kindergärten/Horten/Schulen:</w:t>
            </w:r>
          </w:p>
          <w:p>
            <w:pPr>
              <w:pStyle w:val="Liste2"/>
              <w:numPr>
                <w:ilvl w:val="0"/>
                <w:numId w:val="0"/>
              </w:numPr>
              <w:ind w:left="833"/>
              <w:rPr>
                <w:color w:val="000000" w:themeColor="text1"/>
                <w:lang w:val="de-DE"/>
              </w:rPr>
            </w:pPr>
            <w:r>
              <w:rPr>
                <w:color w:val="000000" w:themeColor="text1"/>
                <w:lang w:val="de-DE"/>
              </w:rPr>
              <w:t xml:space="preserve">Kitas/Horte: Anteil der AG 15+ zunehmend, die meisten Ausbrüche in BW und SN, durchschnittlich 5 Fälle pro Ausbruch; </w:t>
            </w:r>
          </w:p>
          <w:p>
            <w:pPr>
              <w:pStyle w:val="Liste2"/>
              <w:numPr>
                <w:ilvl w:val="0"/>
                <w:numId w:val="0"/>
              </w:numPr>
              <w:ind w:left="833"/>
              <w:rPr>
                <w:color w:val="000000" w:themeColor="text1"/>
                <w:lang w:val="de-DE"/>
              </w:rPr>
            </w:pPr>
            <w:r>
              <w:rPr>
                <w:color w:val="000000" w:themeColor="text1"/>
                <w:lang w:val="de-DE"/>
              </w:rPr>
              <w:t xml:space="preserve">Schulen: deutlich mehr Ausbrüche als 2020, 856 Ausbrüche in den letzten 4 Wochen; durchschnittlich 5 Fälle pro Ausbruch; </w:t>
            </w:r>
          </w:p>
          <w:p>
            <w:pPr>
              <w:pStyle w:val="Liste2"/>
              <w:rPr>
                <w:i/>
                <w:color w:val="000000" w:themeColor="text1"/>
                <w:lang w:val="de-DE"/>
              </w:rPr>
            </w:pPr>
            <w:r>
              <w:rPr>
                <w:i/>
                <w:color w:val="000000" w:themeColor="text1"/>
                <w:lang w:val="de-DE"/>
              </w:rPr>
              <w:t xml:space="preserve">Hospitalisierte Kinder: </w:t>
            </w:r>
          </w:p>
          <w:p>
            <w:pPr>
              <w:pStyle w:val="Liste2"/>
              <w:numPr>
                <w:ilvl w:val="0"/>
                <w:numId w:val="0"/>
              </w:numPr>
              <w:ind w:left="833"/>
              <w:rPr>
                <w:color w:val="000000" w:themeColor="text1"/>
                <w:lang w:val="de-DE"/>
              </w:rPr>
            </w:pPr>
            <w:r>
              <w:rPr>
                <w:color w:val="000000" w:themeColor="text1"/>
                <w:lang w:val="de-DE"/>
              </w:rPr>
              <w:t>RSV: bis KW 39 starker Anstieg der SARI-Fälle, zuletzt 300-400 SARI-Fälle wöchentlich; COVID-19: keine Steigerung, in KW 43 ca. 80-90 Hospitalisierte, wobei die Hospitalisierung möglicherweise aus anderen Gründen erfolgte und COVID-19 als Nebendiagnose festgestellt wurde;</w:t>
            </w:r>
          </w:p>
          <w:p>
            <w:pPr>
              <w:pStyle w:val="Liste2"/>
              <w:numPr>
                <w:ilvl w:val="0"/>
                <w:numId w:val="0"/>
              </w:numPr>
              <w:ind w:left="833"/>
              <w:rPr>
                <w:color w:val="000000" w:themeColor="text1"/>
                <w:lang w:val="de-DE"/>
              </w:rPr>
            </w:pPr>
            <w:r>
              <w:rPr>
                <w:color w:val="000000" w:themeColor="text1"/>
                <w:lang w:val="de-DE"/>
              </w:rPr>
              <w:t>Fazit: die Krankheitslast bei Kindern geht ausdrücklich von RSV aus</w:t>
            </w:r>
          </w:p>
          <w:p>
            <w:pPr>
              <w:pStyle w:val="Liste2"/>
              <w:numPr>
                <w:ilvl w:val="0"/>
                <w:numId w:val="0"/>
              </w:numPr>
              <w:rPr>
                <w:color w:val="000000" w:themeColor="text1"/>
                <w:lang w:val="de-DE"/>
              </w:rPr>
            </w:pPr>
          </w:p>
          <w:p>
            <w:pPr>
              <w:pStyle w:val="Liste2"/>
              <w:numPr>
                <w:ilvl w:val="0"/>
                <w:numId w:val="0"/>
              </w:numPr>
              <w:ind w:left="833" w:hanging="360"/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Diskussion: </w:t>
            </w:r>
          </w:p>
          <w:p>
            <w:pPr>
              <w:pStyle w:val="Liste2"/>
              <w:numPr>
                <w:ilvl w:val="0"/>
                <w:numId w:val="8"/>
              </w:numPr>
              <w:rPr>
                <w:i/>
                <w:color w:val="000000" w:themeColor="text1"/>
                <w:lang w:val="de-DE"/>
              </w:rPr>
            </w:pPr>
            <w:r>
              <w:rPr>
                <w:i/>
                <w:lang w:val="de-DE"/>
              </w:rPr>
              <w:t xml:space="preserve">voraussichtlicher Verlauf der Grippesaison? – </w:t>
            </w:r>
            <w:proofErr w:type="spellStart"/>
            <w:r>
              <w:rPr>
                <w:i/>
                <w:lang w:val="de-DE"/>
              </w:rPr>
              <w:t>Aw</w:t>
            </w:r>
            <w:proofErr w:type="spellEnd"/>
            <w:r>
              <w:rPr>
                <w:i/>
                <w:lang w:val="de-DE"/>
              </w:rPr>
              <w:t xml:space="preserve">: Verhalten der Bevölkerung wird sich verändern, noch bevor politische </w:t>
            </w:r>
            <w:r>
              <w:rPr>
                <w:i/>
                <w:lang w:val="de-DE"/>
              </w:rPr>
              <w:lastRenderedPageBreak/>
              <w:t>Maßnahmen ergriffen werden; die Verhaltensänderungen werden auch den Verlauf der Influenzawelle bestimmen</w:t>
            </w:r>
          </w:p>
          <w:p>
            <w:pPr>
              <w:pStyle w:val="Liste2"/>
              <w:numPr>
                <w:ilvl w:val="0"/>
                <w:numId w:val="8"/>
              </w:numPr>
              <w:rPr>
                <w:i/>
                <w:color w:val="000000" w:themeColor="text1"/>
                <w:lang w:val="de-DE"/>
              </w:rPr>
            </w:pPr>
            <w:r>
              <w:rPr>
                <w:i/>
                <w:lang w:val="de-DE"/>
              </w:rPr>
              <w:t xml:space="preserve">Folie 11 zeigt zuletzt Rückgänge der Ausbruchszahlen in Schulen – Bewertung? – </w:t>
            </w:r>
            <w:proofErr w:type="spellStart"/>
            <w:r>
              <w:rPr>
                <w:i/>
                <w:lang w:val="de-DE"/>
              </w:rPr>
              <w:t>Aw</w:t>
            </w:r>
            <w:proofErr w:type="spellEnd"/>
            <w:r>
              <w:rPr>
                <w:i/>
                <w:lang w:val="de-DE"/>
              </w:rPr>
              <w:t>: Rückgänge nicht überbewerten, GÄ derzeit stark belastet, die vermeintlichen Rückgänge werden sich durch nachträgliche Übermittlungen aufheben</w:t>
            </w:r>
          </w:p>
          <w:p>
            <w:pPr>
              <w:pStyle w:val="Liste2"/>
              <w:numPr>
                <w:ilvl w:val="0"/>
                <w:numId w:val="8"/>
              </w:numPr>
              <w:rPr>
                <w:i/>
                <w:color w:val="000000" w:themeColor="text1"/>
                <w:lang w:val="de-DE"/>
              </w:rPr>
            </w:pPr>
            <w:r>
              <w:rPr>
                <w:i/>
                <w:color w:val="000000" w:themeColor="text1"/>
                <w:lang w:val="de-DE"/>
              </w:rPr>
              <w:t xml:space="preserve">Kinder spielen in der Transmission von SARS-CoV-2 eine große Rolle, der Schulbetrieb wird reaktiv durch Klassen- und Schulschließungen blockiert. Haben wir einen Ansprechpartner für verlässliche Informationen/Zahlen zu Schließungen? – </w:t>
            </w:r>
            <w:proofErr w:type="spellStart"/>
            <w:r>
              <w:rPr>
                <w:i/>
                <w:color w:val="000000" w:themeColor="text1"/>
                <w:lang w:val="de-DE"/>
              </w:rPr>
              <w:t>Aw</w:t>
            </w:r>
            <w:proofErr w:type="spellEnd"/>
            <w:r>
              <w:rPr>
                <w:i/>
                <w:color w:val="000000" w:themeColor="text1"/>
                <w:lang w:val="de-DE"/>
              </w:rPr>
              <w:t>: möglicherweise BMFSJ, BMBF, KMK</w:t>
            </w:r>
          </w:p>
          <w:p>
            <w:pPr>
              <w:pStyle w:val="Liste2"/>
              <w:numPr>
                <w:ilvl w:val="0"/>
                <w:numId w:val="8"/>
              </w:numPr>
              <w:rPr>
                <w:i/>
                <w:color w:val="000000" w:themeColor="text1"/>
                <w:lang w:val="de-DE"/>
              </w:rPr>
            </w:pPr>
            <w:r>
              <w:rPr>
                <w:i/>
                <w:color w:val="000000" w:themeColor="text1"/>
                <w:lang w:val="de-DE"/>
              </w:rPr>
              <w:t>PCR-Pooltestungen in NW: ab jetzt Rückstellprobe zu jeder Probe - beschleunigt Informationswege, weil Kinder aus positiven Pools nicht erneut beprobt werden müssen</w:t>
            </w:r>
          </w:p>
          <w:p>
            <w:pPr>
              <w:pStyle w:val="Liste2"/>
              <w:numPr>
                <w:ilvl w:val="0"/>
                <w:numId w:val="0"/>
              </w:numPr>
              <w:rPr>
                <w:lang w:val="de-DE"/>
              </w:rPr>
            </w:pPr>
          </w:p>
          <w:p>
            <w:pPr>
              <w:pStyle w:val="Liste1"/>
              <w:rPr>
                <w:rStyle w:val="TagMiZchn"/>
                <w:b w:val="0"/>
              </w:rPr>
            </w:pPr>
            <w:r>
              <w:rPr>
                <w:b/>
              </w:rPr>
              <w:t>Virologische Surveillance, NRZ Influenza</w:t>
            </w:r>
            <w:r>
              <w:t xml:space="preserve"> (Folien </w:t>
            </w:r>
            <w:hyperlink r:id="rId17" w:history="1">
              <w:r>
                <w:rPr>
                  <w:rStyle w:val="Hyperlink"/>
                </w:rPr>
                <w:t>hier</w:t>
              </w:r>
            </w:hyperlink>
            <w:r>
              <w:t xml:space="preserve">) </w:t>
            </w:r>
            <w:r>
              <w:rPr>
                <w:rStyle w:val="TagMiZchn"/>
              </w:rPr>
              <w:t xml:space="preserve">(nur mittwochs)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in KW 45 bisher höchste Zahl an Einsendungen (266); Altersgruppe 0-4 überproportional vertreten</w:t>
            </w:r>
          </w:p>
          <w:p>
            <w:pPr>
              <w:pStyle w:val="Liste2"/>
            </w:pPr>
            <w:proofErr w:type="spellStart"/>
            <w:r>
              <w:t>insgesamt</w:t>
            </w:r>
            <w:proofErr w:type="spellEnd"/>
            <w:r>
              <w:t xml:space="preserve"> </w:t>
            </w:r>
            <w:proofErr w:type="spellStart"/>
            <w:r>
              <w:t>zweithöchste</w:t>
            </w:r>
            <w:proofErr w:type="spellEnd"/>
            <w:r>
              <w:t xml:space="preserve"> </w:t>
            </w:r>
            <w:proofErr w:type="spellStart"/>
            <w:r>
              <w:t>Positivrate</w:t>
            </w:r>
            <w:proofErr w:type="spellEnd"/>
            <w:r>
              <w:t>: 62 %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SARS-CoV-2: Anteil ähnlich wie Vorwoche, Ct-Werte ungewöhnlich niedrig, d. h. hohe Viruslast, letzte Woche Kontamination eines Puffers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Influenza: gelegentliche Nachweise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Influenza weltweit: im Vergleich zur Vorsaison aktuell stärkerer Anstieg, u. a. Influenza B (Victoria), H3N2 in RU und US dominierend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Basisimmunität gering, Potential für Influenzawelle gegeben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endemische Coronaviren: OC43 weiterhin um 10 %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sonstige Atemwegsviren: bei RSV leichter Rückgang, HRV wie üblich um 20 %, PIV leicht rückläufig, HMPV auf niedrigem Niveau </w:t>
            </w:r>
          </w:p>
          <w:p>
            <w:pPr>
              <w:pStyle w:val="Liste2"/>
              <w:numPr>
                <w:ilvl w:val="0"/>
                <w:numId w:val="0"/>
              </w:numPr>
              <w:ind w:left="833"/>
              <w:rPr>
                <w:lang w:val="de-DE"/>
              </w:rPr>
            </w:pPr>
          </w:p>
          <w:p>
            <w:pPr>
              <w:pStyle w:val="Liste1"/>
              <w:rPr>
                <w:rStyle w:val="TagMiZchn"/>
                <w:b w:val="0"/>
                <w:bCs/>
              </w:rPr>
            </w:pPr>
            <w:r>
              <w:rPr>
                <w:b/>
              </w:rPr>
              <w:t>DIVI-Intensivregister</w:t>
            </w:r>
            <w:r>
              <w:t xml:space="preserve"> (Folien </w:t>
            </w:r>
            <w:hyperlink r:id="rId18" w:history="1">
              <w:r>
                <w:rPr>
                  <w:rStyle w:val="Hyperlink"/>
                </w:rPr>
                <w:t>hier</w:t>
              </w:r>
            </w:hyperlink>
            <w:r>
              <w:t xml:space="preserve">) </w:t>
            </w:r>
            <w:r>
              <w:rPr>
                <w:rStyle w:val="TagMiZchn"/>
                <w:bCs/>
              </w:rPr>
              <w:t xml:space="preserve">(nur mittwochs)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starker Anstieg bei COVID-19-ITS-Neuaufnahmen, Stand 16.11.: +1.781 in den vergangenen 7 Tagen (+20 % im Vergleich zur Vorwoche)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absolute Anstiege in allen Altersgruppen; Altersgruppe 60+ macht einen Anteil von 64,4 % aus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hoher Anteil schwerer Fälle, um 80 Todesfälle täglich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in 7-8 BL &gt; 12 % Anteil COVID</w:t>
            </w:r>
            <w:r>
              <w:rPr>
                <w:lang w:val="de-DE"/>
              </w:rPr>
              <w:noBreakHyphen/>
              <w:t>19 an Gesamtzahl betreibbarer ITS-Betten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Höchststand bei Meldungen zu Personalmangel, 38 % der Intensivbereiche haben keine Kapazitäten im High-Care-Bereich (unabhängig von Behandlungsgrund), 72 % der Intensivbereiche geben „begrenzte bzw. keine Verfügbarkeit“ an</w:t>
            </w:r>
          </w:p>
          <w:p>
            <w:pPr>
              <w:pStyle w:val="Liste2"/>
              <w:rPr>
                <w:lang w:val="de-DE"/>
              </w:rPr>
            </w:pPr>
            <w:proofErr w:type="spellStart"/>
            <w:r>
              <w:rPr>
                <w:lang w:val="de-DE"/>
              </w:rPr>
              <w:t>SPoCK</w:t>
            </w:r>
            <w:proofErr w:type="spellEnd"/>
            <w:r>
              <w:rPr>
                <w:lang w:val="de-DE"/>
              </w:rPr>
              <w:t>: in allen Regionen/Kleeblättern wird ein starker Anstieg der COVID</w:t>
            </w:r>
            <w:r>
              <w:rPr>
                <w:lang w:val="de-DE"/>
              </w:rPr>
              <w:noBreakHyphen/>
              <w:t>19-ITS-Patienten prognostiziert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Lage spitzt sich zu</w:t>
            </w:r>
          </w:p>
          <w:p>
            <w:pPr>
              <w:pStyle w:val="Liste2"/>
              <w:numPr>
                <w:ilvl w:val="0"/>
                <w:numId w:val="0"/>
              </w:numPr>
              <w:ind w:left="473"/>
              <w:rPr>
                <w:lang w:val="de-DE"/>
              </w:rPr>
            </w:pPr>
          </w:p>
          <w:p>
            <w:pPr>
              <w:pStyle w:val="Liste2"/>
              <w:numPr>
                <w:ilvl w:val="0"/>
                <w:numId w:val="0"/>
              </w:numPr>
              <w:ind w:left="833" w:hanging="360"/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Diskussion: </w:t>
            </w:r>
          </w:p>
          <w:p>
            <w:pPr>
              <w:pStyle w:val="Liste2"/>
              <w:numPr>
                <w:ilvl w:val="0"/>
                <w:numId w:val="8"/>
              </w:numPr>
              <w:spacing w:after="240"/>
              <w:ind w:left="828" w:hanging="357"/>
              <w:contextualSpacing w:val="0"/>
              <w:rPr>
                <w:i/>
                <w:lang w:val="de-DE"/>
              </w:rPr>
            </w:pPr>
            <w:r>
              <w:rPr>
                <w:i/>
                <w:lang w:val="de-DE"/>
              </w:rPr>
              <w:lastRenderedPageBreak/>
              <w:t xml:space="preserve">Personalmangel für die verringerten Kapazitäten ursächlich? – </w:t>
            </w:r>
            <w:proofErr w:type="spellStart"/>
            <w:r>
              <w:rPr>
                <w:i/>
                <w:lang w:val="de-DE"/>
              </w:rPr>
              <w:t>Aw</w:t>
            </w:r>
            <w:proofErr w:type="spellEnd"/>
            <w:r>
              <w:rPr>
                <w:i/>
                <w:lang w:val="de-DE"/>
              </w:rPr>
              <w:t>: Personalmangel korreliert mit Rückgang der Kapazitäten, Ausgleichszahlungen spielen möglicherweise auch eine Rolle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 3 (Hamouda)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 37 (Eckmanns)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 32 (Sievers)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MF 2 (Semmler), MF 1 (Fuchs)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 36 (Buda)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 17 (Dürrwald)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MF 4 (Esins)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 xml:space="preserve">Internationales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Update digitale Projekte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FG21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Aktuelle Risikobewertung</w:t>
            </w:r>
          </w:p>
          <w:p>
            <w:pPr>
              <w:pStyle w:val="Liste2"/>
              <w:ind w:left="397" w:hanging="227"/>
              <w:rPr>
                <w:lang w:val="de-DE"/>
              </w:rPr>
            </w:pPr>
            <w:r>
              <w:rPr>
                <w:lang w:val="de-DE"/>
              </w:rPr>
              <w:t xml:space="preserve">angepasste Risikobewertung wurde zirkuliert (Dokument </w:t>
            </w:r>
            <w:hyperlink r:id="rId19" w:history="1">
              <w:r>
                <w:rPr>
                  <w:rStyle w:val="Hyperlink"/>
                  <w:lang w:val="de-DE"/>
                </w:rPr>
                <w:t>hier</w:t>
              </w:r>
            </w:hyperlink>
            <w:r>
              <w:rPr>
                <w:lang w:val="de-DE"/>
              </w:rPr>
              <w:t>)</w:t>
            </w:r>
          </w:p>
          <w:p>
            <w:pPr>
              <w:pStyle w:val="Liste2"/>
              <w:ind w:left="397" w:hanging="227"/>
              <w:rPr>
                <w:lang w:val="de-DE"/>
              </w:rPr>
            </w:pPr>
            <w:r>
              <w:rPr>
                <w:lang w:val="de-DE"/>
              </w:rPr>
              <w:t xml:space="preserve">weitere Anpassungen werden gemeinschaftlich in der Krisenstabssitzung diskutiert und vorgenommen, u. a. zu Kontaktreduktion, wichtigen Infektionsumfeldern, Empfehlung der STIKO zu Auffrischimpfungen, Sorge </w:t>
            </w:r>
            <w:proofErr w:type="gramStart"/>
            <w:r>
              <w:rPr>
                <w:lang w:val="de-DE"/>
              </w:rPr>
              <w:t>um zunehmende</w:t>
            </w:r>
            <w:proofErr w:type="gramEnd"/>
            <w:r>
              <w:rPr>
                <w:lang w:val="de-DE"/>
              </w:rPr>
              <w:t xml:space="preserve"> Belastung des Gesundheitswesens und abnehmende Behandlungskapazitäten unabhängig vom Behandlungsgrund</w:t>
            </w: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</w:pPr>
          </w:p>
          <w:p>
            <w:pPr>
              <w:pStyle w:val="Liste2"/>
              <w:numPr>
                <w:ilvl w:val="0"/>
                <w:numId w:val="0"/>
              </w:numPr>
              <w:ind w:left="397"/>
              <w:rPr>
                <w:lang w:val="de-DE"/>
              </w:rPr>
            </w:pPr>
            <w:r>
              <w:rPr>
                <w:b/>
                <w:lang w:val="de-DE"/>
              </w:rPr>
              <w:t>TODO</w:t>
            </w:r>
            <w:r>
              <w:rPr>
                <w:b/>
                <w:i/>
                <w:lang w:val="de-DE"/>
              </w:rPr>
              <w:t>:</w:t>
            </w:r>
            <w:r>
              <w:rPr>
                <w:i/>
                <w:lang w:val="de-DE"/>
              </w:rPr>
              <w:t xml:space="preserve"> Zirkulation des Dokuments, Nutzung der aktualisierten Risikobewertung für morgigen Wochenbericht (FG 36), nächste Vorstellung der Risikobewertung im Krisenstab kommenden Freitag (19.11.)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 38 (Rexroth)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Kommunikation</w:t>
            </w:r>
          </w:p>
          <w:p>
            <w:pPr>
              <w:pStyle w:val="2"/>
            </w:pPr>
            <w:r>
              <w:t>BZgA</w:t>
            </w:r>
          </w:p>
          <w:p>
            <w:pPr>
              <w:pStyle w:val="Liste2"/>
              <w:ind w:left="397" w:hanging="227"/>
            </w:pPr>
            <w:r>
              <w:rPr>
                <w:lang w:val="de-DE"/>
              </w:rPr>
              <w:t>kein</w:t>
            </w:r>
            <w:r>
              <w:t xml:space="preserve"> </w:t>
            </w:r>
            <w:proofErr w:type="spellStart"/>
            <w:r>
              <w:t>Beitrag</w:t>
            </w:r>
            <w:proofErr w:type="spellEnd"/>
            <w:r>
              <w:t xml:space="preserve"> </w:t>
            </w:r>
          </w:p>
          <w:p>
            <w:pPr>
              <w:pStyle w:val="2"/>
            </w:pPr>
            <w:r>
              <w:t>Presse</w:t>
            </w:r>
          </w:p>
          <w:p>
            <w:pPr>
              <w:pStyle w:val="Liste2"/>
              <w:ind w:left="397" w:hanging="227"/>
              <w:rPr>
                <w:lang w:val="de-DE"/>
              </w:rPr>
            </w:pPr>
            <w:r>
              <w:rPr>
                <w:lang w:val="de-DE"/>
              </w:rPr>
              <w:t>hohe Aufrufzahlen von RKI-Twitter und -Internetseiten im Vergleich zu Oktober, hohe Aufmerksamkeit</w:t>
            </w:r>
          </w:p>
          <w:p>
            <w:pPr>
              <w:pStyle w:val="Liste2"/>
              <w:ind w:left="397" w:hanging="227"/>
            </w:pPr>
            <w:r>
              <w:rPr>
                <w:lang w:val="de-DE"/>
              </w:rPr>
              <w:t>Twitter</w:t>
            </w:r>
            <w:r>
              <w:t xml:space="preserve">: </w:t>
            </w:r>
            <w:proofErr w:type="spellStart"/>
            <w:r>
              <w:t>Begleitung</w:t>
            </w:r>
            <w:proofErr w:type="spellEnd"/>
            <w:r>
              <w:t xml:space="preserve"> des </w:t>
            </w:r>
            <w:proofErr w:type="spellStart"/>
            <w:r>
              <w:t>Wochenberichts</w:t>
            </w:r>
            <w:proofErr w:type="spellEnd"/>
            <w:r>
              <w:t xml:space="preserve"> morgen</w:t>
            </w:r>
          </w:p>
          <w:p>
            <w:pPr>
              <w:pStyle w:val="Liste2"/>
              <w:ind w:left="397" w:hanging="227"/>
              <w:rPr>
                <w:lang w:val="de-DE"/>
              </w:rPr>
            </w:pPr>
            <w:r>
              <w:rPr>
                <w:lang w:val="de-DE"/>
              </w:rPr>
              <w:t xml:space="preserve">BPK kommenden Freitag (19.11.): Thematisierung der angepassten Risikobewertung/ Gefährdungslage (siehe </w:t>
            </w:r>
            <w:r>
              <w:rPr>
                <w:i/>
                <w:lang w:val="de-DE"/>
              </w:rPr>
              <w:t>TOP</w:t>
            </w:r>
            <w:r>
              <w:rPr>
                <w:lang w:val="de-DE"/>
              </w:rPr>
              <w:t> </w:t>
            </w:r>
            <w:r>
              <w:rPr>
                <w:i/>
                <w:lang w:val="de-DE"/>
              </w:rPr>
              <w:t>4, Risikobewertung</w:t>
            </w:r>
            <w:r>
              <w:rPr>
                <w:lang w:val="de-DE"/>
              </w:rPr>
              <w:t xml:space="preserve">), Sprechzettel in Vorbereitung </w:t>
            </w:r>
          </w:p>
          <w:p>
            <w:pPr>
              <w:pStyle w:val="Liste2"/>
              <w:ind w:left="397" w:hanging="227"/>
              <w:rPr>
                <w:lang w:val="de-DE"/>
              </w:rPr>
            </w:pPr>
            <w:r>
              <w:rPr>
                <w:lang w:val="de-DE"/>
              </w:rPr>
              <w:t>Vorschlag für BPK: Grippeweb-Grafik zeigen</w:t>
            </w:r>
          </w:p>
          <w:p>
            <w:pPr>
              <w:pStyle w:val="2"/>
            </w:pPr>
            <w:r>
              <w:t>P1</w:t>
            </w:r>
          </w:p>
          <w:p>
            <w:pPr>
              <w:pStyle w:val="Liste2"/>
              <w:ind w:left="397" w:hanging="227"/>
              <w:rPr>
                <w:lang w:val="de-DE"/>
              </w:rPr>
            </w:pPr>
            <w:r>
              <w:rPr>
                <w:lang w:val="de-DE"/>
              </w:rPr>
              <w:t>Vorstellung 2G-/3G-Flyer kommenden Freitag im Krisenstab</w:t>
            </w:r>
          </w:p>
          <w:p>
            <w:pPr>
              <w:pStyle w:val="Liste2"/>
              <w:numPr>
                <w:ilvl w:val="0"/>
                <w:numId w:val="0"/>
              </w:numPr>
              <w:ind w:left="397"/>
              <w:rPr>
                <w:lang w:val="de-DE"/>
              </w:rPr>
            </w:pPr>
          </w:p>
          <w:p>
            <w:pPr>
              <w:pStyle w:val="Liste2"/>
              <w:numPr>
                <w:ilvl w:val="0"/>
                <w:numId w:val="0"/>
              </w:numPr>
              <w:ind w:left="397"/>
              <w:rPr>
                <w:b/>
                <w:lang w:val="de-DE"/>
              </w:rPr>
            </w:pPr>
            <w:r>
              <w:rPr>
                <w:b/>
                <w:lang w:val="de-DE"/>
              </w:rPr>
              <w:t>Diskussion:</w:t>
            </w:r>
          </w:p>
          <w:p>
            <w:pPr>
              <w:pStyle w:val="Liste2"/>
              <w:numPr>
                <w:ilvl w:val="0"/>
                <w:numId w:val="0"/>
              </w:numPr>
              <w:ind w:left="397"/>
              <w:rPr>
                <w:i/>
                <w:lang w:val="de-DE"/>
              </w:rPr>
            </w:pPr>
            <w:r>
              <w:rPr>
                <w:i/>
                <w:lang w:val="de-DE"/>
              </w:rPr>
              <w:t>Können wir die Unterschiede in der Inzidenz bei geimpften und ungeimpften Personen deutlicher herausstellen? Aus den BL liegen relativ gute Zahlen vor.</w:t>
            </w:r>
            <w:r>
              <w:rPr>
                <w:lang w:val="de-DE"/>
              </w:rPr>
              <w:t xml:space="preserve"> – </w:t>
            </w:r>
            <w:r>
              <w:rPr>
                <w:i/>
                <w:lang w:val="de-DE"/>
              </w:rPr>
              <w:t>FG 33: Berichterstattung zu Impfeffektivität jetzt wöchentlich (statt alle vier Wochen).</w:t>
            </w:r>
          </w:p>
          <w:p>
            <w:pPr>
              <w:pStyle w:val="Liste1"/>
              <w:numPr>
                <w:ilvl w:val="0"/>
                <w:numId w:val="0"/>
              </w:numPr>
              <w:ind w:left="831"/>
              <w:rPr>
                <w:i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BZgA (</w:t>
            </w:r>
            <w:proofErr w:type="spellStart"/>
            <w:r>
              <w:rPr>
                <w:sz w:val="22"/>
                <w:szCs w:val="22"/>
              </w:rPr>
              <w:t>Benser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 (Wenchel)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P1 (Lein)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RKI-Strategie Fragen</w:t>
            </w:r>
          </w:p>
          <w:p>
            <w:pPr>
              <w:pStyle w:val="2"/>
            </w:pPr>
            <w:r>
              <w:t>Allgemein</w:t>
            </w:r>
          </w:p>
          <w:p>
            <w:pPr>
              <w:pStyle w:val="Liste2"/>
              <w:ind w:left="397" w:hanging="227"/>
              <w:rPr>
                <w:lang w:val="de-DE"/>
              </w:rPr>
            </w:pPr>
            <w:bookmarkStart w:id="2" w:name="_Hlk87451547"/>
            <w:proofErr w:type="spellStart"/>
            <w:r>
              <w:rPr>
                <w:lang w:val="de-DE"/>
              </w:rPr>
              <w:lastRenderedPageBreak/>
              <w:t>ControlCOVID</w:t>
            </w:r>
            <w:proofErr w:type="spellEnd"/>
            <w:r>
              <w:rPr>
                <w:lang w:val="de-DE"/>
              </w:rPr>
              <w:t>: auf die letzte Woche besprochene „minimal-invasive“ Anpassung der Testempfehlungen für Alten- und Pflegeheime wird verzichtet</w:t>
            </w:r>
          </w:p>
          <w:p>
            <w:pPr>
              <w:pStyle w:val="Liste2"/>
              <w:ind w:left="397" w:hanging="227"/>
              <w:rPr>
                <w:lang w:val="de-DE"/>
              </w:rPr>
            </w:pPr>
            <w:r>
              <w:rPr>
                <w:lang w:val="de-DE"/>
              </w:rPr>
              <w:t>Begriff der „qualitativ hochwertigen Antigen-Tests“ soll auf der COVID-19-Diagnostik-Seite (rki.de/covid-19-diagnostik) definiert werden</w:t>
            </w:r>
          </w:p>
          <w:bookmarkEnd w:id="2"/>
          <w:p>
            <w:pPr>
              <w:pStyle w:val="2"/>
              <w:rPr>
                <w:i/>
              </w:rPr>
            </w:pPr>
            <w:r>
              <w:t>RKI-intern</w:t>
            </w:r>
          </w:p>
          <w:p>
            <w:pPr>
              <w:pStyle w:val="Liste2"/>
              <w:spacing w:after="240"/>
              <w:ind w:left="397" w:hanging="227"/>
              <w:contextualSpacing w:val="0"/>
            </w:pPr>
            <w:r>
              <w:t>(</w:t>
            </w:r>
            <w:r>
              <w:rPr>
                <w:lang w:val="de-DE"/>
              </w:rPr>
              <w:t>nicht</w:t>
            </w:r>
            <w:r>
              <w:t xml:space="preserve">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GB"/>
              </w:rPr>
              <w:lastRenderedPageBreak/>
              <w:t>Abt. 3</w:t>
            </w:r>
            <w:r>
              <w:rPr>
                <w:sz w:val="22"/>
                <w:szCs w:val="22"/>
              </w:rPr>
              <w:t xml:space="preserve"> / Alle</w:t>
            </w:r>
          </w:p>
          <w:p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Dokumente</w:t>
            </w:r>
          </w:p>
          <w:p>
            <w:pPr>
              <w:pStyle w:val="Liste2"/>
              <w:ind w:left="397" w:hanging="227"/>
              <w:rPr>
                <w:lang w:val="de-DE"/>
              </w:rPr>
            </w:pPr>
            <w:r>
              <w:rPr>
                <w:lang w:val="de-DE"/>
              </w:rPr>
              <w:t xml:space="preserve">Empfehlungen Kontaktpersonen-Management (Dokument </w:t>
            </w:r>
            <w:hyperlink r:id="rId20" w:history="1">
              <w:r>
                <w:rPr>
                  <w:rStyle w:val="Hyperlink"/>
                  <w:lang w:val="de-DE"/>
                </w:rPr>
                <w:t>hier</w:t>
              </w:r>
            </w:hyperlink>
            <w:r>
              <w:rPr>
                <w:lang w:val="de-DE"/>
              </w:rPr>
              <w:t>)</w:t>
            </w:r>
          </w:p>
          <w:p>
            <w:pPr>
              <w:pStyle w:val="Liste2"/>
              <w:ind w:left="397" w:hanging="227"/>
              <w:rPr>
                <w:lang w:val="de-DE"/>
              </w:rPr>
            </w:pPr>
            <w:r>
              <w:rPr>
                <w:lang w:val="de-DE"/>
              </w:rPr>
              <w:t>Veröffentlichung geplant für Freitag (19.11.)</w:t>
            </w:r>
          </w:p>
          <w:p>
            <w:pPr>
              <w:pStyle w:val="Liste2"/>
              <w:ind w:left="397" w:hanging="227"/>
              <w:rPr>
                <w:lang w:val="de-DE"/>
              </w:rPr>
            </w:pPr>
            <w:r>
              <w:rPr>
                <w:lang w:val="de-DE"/>
              </w:rPr>
              <w:t>bei Ermittlung von KP je nach Kapazität des GA stärkerer Fokus auf sensible Bereiche und Situationen mit hohem Übertragungspotential (Abschnitt 2.1, Abschnitt 3.2.1); Empfehlung zur Selbstquarantäne vor Anordnung durch das GA (Abschnitt 3.2.2); Einschränkung der Ausnahme von der Quarantäne für geimpfte KP (Abschnitt 3.2.2)</w:t>
            </w:r>
          </w:p>
          <w:p>
            <w:pPr>
              <w:pStyle w:val="Liste2"/>
              <w:ind w:left="397" w:hanging="227"/>
              <w:rPr>
                <w:lang w:val="de-DE"/>
              </w:rPr>
            </w:pPr>
            <w:r>
              <w:rPr>
                <w:lang w:val="de-DE"/>
              </w:rPr>
              <w:t xml:space="preserve">Einschränkung der Ausnahme von der Quarantäne für geimpfte KP: Empfehlung steht im Widerspruch zu § 10 </w:t>
            </w:r>
            <w:proofErr w:type="spellStart"/>
            <w:r>
              <w:rPr>
                <w:lang w:val="de-DE"/>
              </w:rPr>
              <w:t>SchAusnahmV</w:t>
            </w:r>
            <w:proofErr w:type="spellEnd"/>
          </w:p>
          <w:p>
            <w:pPr>
              <w:pStyle w:val="Liste2"/>
              <w:numPr>
                <w:ilvl w:val="0"/>
                <w:numId w:val="0"/>
              </w:numPr>
              <w:ind w:left="833" w:hanging="360"/>
              <w:rPr>
                <w:lang w:val="de-DE"/>
              </w:rPr>
            </w:pPr>
          </w:p>
          <w:p>
            <w:pPr>
              <w:pStyle w:val="Liste2"/>
              <w:numPr>
                <w:ilvl w:val="0"/>
                <w:numId w:val="0"/>
              </w:numPr>
              <w:ind w:left="397"/>
              <w:rPr>
                <w:b/>
                <w:lang w:val="de-DE"/>
              </w:rPr>
            </w:pPr>
            <w:r>
              <w:rPr>
                <w:b/>
                <w:lang w:val="de-DE"/>
              </w:rPr>
              <w:t>Diskussion:</w:t>
            </w:r>
          </w:p>
          <w:p>
            <w:pPr>
              <w:pStyle w:val="Liste2"/>
              <w:numPr>
                <w:ilvl w:val="0"/>
                <w:numId w:val="0"/>
              </w:numPr>
              <w:ind w:left="397"/>
              <w:rPr>
                <w:i/>
                <w:lang w:val="de-DE"/>
              </w:rPr>
            </w:pPr>
            <w:r>
              <w:rPr>
                <w:i/>
                <w:lang w:val="de-DE"/>
              </w:rPr>
              <w:t>Empfehlung zur Quarantäne für geimpfte KP wird aufgrund der Widersprüche zu gesetzlichen Bestimmungen Rückfragen erzeugen - Implikationen bedenken – Empfehlungen für Quarantäne werden den Verlauf des Infektionsgeschehens nur minimal beeinflussen, dienen v. a. der Entlastung des ÖGD – Änderungen vom Minister unkommentiert zur Kenntnis genommen – Formulierung anpassen, um Empfehlungscharakter deutlich zu machen</w:t>
            </w:r>
          </w:p>
          <w:p>
            <w:pPr>
              <w:pStyle w:val="Liste2"/>
              <w:numPr>
                <w:ilvl w:val="0"/>
                <w:numId w:val="0"/>
              </w:numPr>
              <w:ind w:left="397"/>
              <w:rPr>
                <w:i/>
                <w:lang w:val="de-DE"/>
              </w:rPr>
            </w:pPr>
          </w:p>
          <w:p>
            <w:pPr>
              <w:pStyle w:val="Liste2"/>
              <w:numPr>
                <w:ilvl w:val="0"/>
                <w:numId w:val="0"/>
              </w:numPr>
              <w:ind w:left="397"/>
              <w:rPr>
                <w:lang w:val="de-DE"/>
              </w:rPr>
            </w:pPr>
            <w:r>
              <w:rPr>
                <w:b/>
                <w:i/>
                <w:lang w:val="de-DE"/>
              </w:rPr>
              <w:t>TODO:</w:t>
            </w:r>
            <w:r>
              <w:rPr>
                <w:i/>
                <w:lang w:val="de-DE"/>
              </w:rPr>
              <w:t xml:space="preserve"> Formulierungsvorschläge heute an FG 36, Dokument morgen (18.11.) zur Kenntnis an AGI, Veröffentlichung durch Pressestelle am Freitag (19.11.)</w:t>
            </w:r>
          </w:p>
          <w:p>
            <w:pPr>
              <w:pStyle w:val="Liste2"/>
              <w:numPr>
                <w:ilvl w:val="0"/>
                <w:numId w:val="0"/>
              </w:numPr>
              <w:ind w:left="397"/>
              <w:rPr>
                <w:lang w:val="de-DE"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 36 (Haas)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Update Impfen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2"/>
              <w:spacing w:after="240"/>
              <w:ind w:left="397" w:hanging="227"/>
              <w:contextualSpacing w:val="0"/>
            </w:pPr>
            <w:r>
              <w:t>(nicht berichtet)</w:t>
            </w:r>
          </w:p>
          <w:p>
            <w:pPr>
              <w:pStyle w:val="2"/>
            </w:pPr>
            <w:r>
              <w:t>STIKO</w:t>
            </w:r>
          </w:p>
          <w:p>
            <w:pPr>
              <w:pStyle w:val="Liste2"/>
              <w:spacing w:after="240"/>
              <w:ind w:left="397" w:hanging="227"/>
              <w:contextualSpacing w:val="0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FG33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Labordiagnostik</w:t>
            </w:r>
          </w:p>
          <w:p>
            <w:pPr>
              <w:pStyle w:val="2"/>
            </w:pPr>
            <w:r>
              <w:t>FG17</w:t>
            </w:r>
          </w:p>
          <w:p>
            <w:pPr>
              <w:pStyle w:val="Liste2"/>
              <w:spacing w:after="240"/>
              <w:ind w:left="397" w:hanging="227"/>
              <w:contextualSpacing w:val="0"/>
              <w:rPr>
                <w:i/>
              </w:rPr>
            </w:pPr>
            <w:r>
              <w:t xml:space="preserve"> </w:t>
            </w:r>
            <w:proofErr w:type="spellStart"/>
            <w:r>
              <w:t>siehe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TOP 1, Lage national </w:t>
            </w:r>
          </w:p>
          <w:p>
            <w:pPr>
              <w:pStyle w:val="2"/>
            </w:pPr>
            <w:r>
              <w:t>ZBS1</w:t>
            </w:r>
          </w:p>
          <w:p>
            <w:pPr>
              <w:pStyle w:val="Liste2"/>
              <w:spacing w:after="240"/>
              <w:ind w:left="397" w:hanging="227"/>
              <w:contextualSpacing w:val="0"/>
            </w:pP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anwesend</w:t>
            </w:r>
            <w:proofErr w:type="spellEnd"/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FG17 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ZBS1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10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 xml:space="preserve">Klinisches Management/Entlassungsmanagement </w:t>
            </w:r>
            <w:r>
              <w:rPr>
                <w:i/>
                <w:color w:val="FF0000"/>
                <w:sz w:val="20"/>
              </w:rPr>
              <w:t>(ausnahmsweise auch mittwochs)</w:t>
            </w:r>
          </w:p>
          <w:p>
            <w:pPr>
              <w:pStyle w:val="Liste2"/>
              <w:ind w:left="397" w:hanging="227"/>
              <w:rPr>
                <w:lang w:val="de-DE"/>
              </w:rPr>
            </w:pPr>
            <w:r>
              <w:rPr>
                <w:lang w:val="de-DE"/>
              </w:rPr>
              <w:t>Kleeblätter Süd und Ost rechnen mit strategischer Patientenverlegung ab nächster Woche; West und Süd-West: Verlegung nur regional; Nord: mit Ausnahme von SH entspannt</w:t>
            </w:r>
          </w:p>
          <w:p>
            <w:pPr>
              <w:pStyle w:val="Liste2"/>
              <w:spacing w:after="240"/>
              <w:ind w:left="397" w:hanging="227"/>
              <w:contextualSpacing w:val="0"/>
              <w:rPr>
                <w:lang w:val="de-DE"/>
              </w:rPr>
            </w:pPr>
            <w:r>
              <w:rPr>
                <w:lang w:val="de-DE"/>
              </w:rPr>
              <w:t>COVRIIN berät zu konkreten Vorschläge ans BMG, u. a. zu frühzeitiger Verlegung, struktureller Verlegung, AK-Therapie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 7 (Herzog)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Maßnahmen zum Infektionsschutz</w:t>
            </w:r>
          </w:p>
          <w:p>
            <w:pPr>
              <w:pStyle w:val="Liste2"/>
              <w:spacing w:after="240"/>
              <w:ind w:left="397" w:hanging="227"/>
              <w:contextualSpacing w:val="0"/>
              <w:rPr>
                <w:i/>
              </w:rPr>
            </w:pPr>
            <w:r>
              <w:rPr>
                <w:lang w:val="de-DE"/>
              </w:rPr>
              <w:t>(nicht</w:t>
            </w:r>
            <w:r>
              <w:t xml:space="preserve"> </w:t>
            </w:r>
            <w:proofErr w:type="spellStart"/>
            <w:r>
              <w:t>berichtet</w:t>
            </w:r>
            <w:proofErr w:type="spellEnd"/>
            <w:r>
              <w:t>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FG14 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2"/>
              </w:rPr>
            </w:pPr>
            <w:r>
              <w:t>Surveillance</w:t>
            </w:r>
          </w:p>
          <w:p>
            <w:pPr>
              <w:pStyle w:val="Liste2"/>
              <w:spacing w:after="240"/>
              <w:ind w:left="397" w:hanging="227"/>
              <w:contextualSpacing w:val="0"/>
            </w:pPr>
            <w:r>
              <w:t>(</w:t>
            </w: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berichtet</w:t>
            </w:r>
            <w:proofErr w:type="spellEnd"/>
            <w:r>
              <w:t>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32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824" w:type="dxa"/>
          </w:tcPr>
          <w:p>
            <w:pPr>
              <w:spacing w:after="120" w:line="276" w:lineRule="auto"/>
              <w:rPr>
                <w:b/>
                <w:sz w:val="28"/>
              </w:rPr>
            </w:pPr>
            <w:r>
              <w:rPr>
                <w:rStyle w:val="1Zchn"/>
              </w:rPr>
              <w:t>Transport und Grenzübergangsstellen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2"/>
              <w:spacing w:after="240"/>
              <w:ind w:left="397" w:hanging="227"/>
              <w:contextualSpacing w:val="0"/>
            </w:pPr>
            <w:r>
              <w:t>(</w:t>
            </w: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berichtet</w:t>
            </w:r>
            <w:proofErr w:type="spellEnd"/>
            <w:r>
              <w:t>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FG38 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Information aus dem Lagezentrum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2"/>
              <w:spacing w:after="240"/>
              <w:ind w:left="397" w:hanging="227"/>
              <w:contextualSpacing w:val="0"/>
            </w:pPr>
            <w:r>
              <w:t>(</w:t>
            </w: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berichtet</w:t>
            </w:r>
            <w:proofErr w:type="spellEnd"/>
            <w:r>
              <w:t>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Wichtige Termine</w:t>
            </w:r>
          </w:p>
          <w:p>
            <w:pPr>
              <w:pStyle w:val="Liste2"/>
              <w:spacing w:after="240"/>
              <w:ind w:left="397" w:hanging="227"/>
              <w:contextualSpacing w:val="0"/>
            </w:pPr>
            <w:r>
              <w:t>keine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Andere Themen</w:t>
            </w:r>
          </w:p>
          <w:p>
            <w:pPr>
              <w:pStyle w:val="Liste2"/>
              <w:spacing w:after="240"/>
              <w:ind w:left="397" w:hanging="227"/>
              <w:contextualSpacing w:val="0"/>
              <w:rPr>
                <w:b/>
              </w:rPr>
            </w:pPr>
            <w:proofErr w:type="spellStart"/>
            <w:r>
              <w:t>Nächste</w:t>
            </w:r>
            <w:proofErr w:type="spellEnd"/>
            <w:r>
              <w:t xml:space="preserve"> </w:t>
            </w:r>
            <w:proofErr w:type="spellStart"/>
            <w:r>
              <w:t>Sitzung</w:t>
            </w:r>
            <w:proofErr w:type="spellEnd"/>
            <w:r>
              <w:t xml:space="preserve">: Freitag, 19.11.2021, 11:00 </w:t>
            </w:r>
            <w:proofErr w:type="spellStart"/>
            <w:r>
              <w:t>Uhr</w:t>
            </w:r>
            <w:proofErr w:type="spellEnd"/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Ende: 13:33 Uhr</w:t>
      </w:r>
    </w:p>
    <w:sectPr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812AE"/>
    <w:multiLevelType w:val="hybridMultilevel"/>
    <w:tmpl w:val="E9564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000DBE">
      <w:start w:val="2"/>
      <w:numFmt w:val="bullet"/>
      <w:lvlText w:val="-"/>
      <w:lvlJc w:val="left"/>
      <w:pPr>
        <w:ind w:left="3600" w:hanging="360"/>
      </w:pPr>
      <w:rPr>
        <w:rFonts w:ascii="Cambria" w:eastAsiaTheme="minorHAnsi" w:hAnsi="Cambria" w:cstheme="minorBidi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C5A26"/>
    <w:multiLevelType w:val="hybridMultilevel"/>
    <w:tmpl w:val="ED56AD94"/>
    <w:lvl w:ilvl="0" w:tplc="BAF86938">
      <w:start w:val="1"/>
      <w:numFmt w:val="bullet"/>
      <w:pStyle w:val="Liste1"/>
      <w:lvlText w:val=""/>
      <w:lvlJc w:val="left"/>
      <w:pPr>
        <w:ind w:left="473" w:hanging="360"/>
      </w:pPr>
      <w:rPr>
        <w:rFonts w:ascii="Symbol" w:hAnsi="Symbol" w:hint="default"/>
        <w:color w:val="000000" w:themeColor="text1"/>
      </w:rPr>
    </w:lvl>
    <w:lvl w:ilvl="1" w:tplc="3EEEC43C">
      <w:start w:val="1"/>
      <w:numFmt w:val="bullet"/>
      <w:pStyle w:val="Liste3"/>
      <w:lvlText w:val=""/>
      <w:lvlJc w:val="left"/>
      <w:pPr>
        <w:ind w:left="1193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" w15:restartNumberingAfterBreak="0">
    <w:nsid w:val="2B397807"/>
    <w:multiLevelType w:val="hybridMultilevel"/>
    <w:tmpl w:val="4DC03620"/>
    <w:lvl w:ilvl="0" w:tplc="D49CFACC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8C672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AB08AF"/>
    <w:multiLevelType w:val="hybridMultilevel"/>
    <w:tmpl w:val="B706D476"/>
    <w:lvl w:ilvl="0" w:tplc="4448E738">
      <w:start w:val="1"/>
      <w:numFmt w:val="bullet"/>
      <w:pStyle w:val="Liste2"/>
      <w:lvlText w:val="o"/>
      <w:lvlJc w:val="left"/>
      <w:pPr>
        <w:ind w:left="833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E3015"/>
    <w:multiLevelType w:val="hybridMultilevel"/>
    <w:tmpl w:val="305A6876"/>
    <w:lvl w:ilvl="0" w:tplc="25548A7C">
      <w:start w:val="7"/>
      <w:numFmt w:val="bullet"/>
      <w:lvlText w:val="-"/>
      <w:lvlJc w:val="left"/>
      <w:pPr>
        <w:ind w:left="831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505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customStyle="1" w:styleId="highlight">
    <w:name w:val="highlight"/>
    <w:basedOn w:val="Absatz-Standardschriftart"/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  <w:style w:type="paragraph" w:customStyle="1" w:styleId="1">
    <w:name w:val="Ü1"/>
    <w:basedOn w:val="Standard"/>
    <w:link w:val="1Zchn"/>
    <w:qFormat/>
    <w:pPr>
      <w:spacing w:after="120" w:line="276" w:lineRule="auto"/>
    </w:pPr>
    <w:rPr>
      <w:b/>
      <w:sz w:val="28"/>
    </w:rPr>
  </w:style>
  <w:style w:type="paragraph" w:customStyle="1" w:styleId="2">
    <w:name w:val="Ü2"/>
    <w:basedOn w:val="Standard"/>
    <w:link w:val="2Zchn"/>
    <w:qFormat/>
    <w:pPr>
      <w:spacing w:before="120" w:after="120" w:line="276" w:lineRule="auto"/>
    </w:pPr>
    <w:rPr>
      <w:b/>
    </w:rPr>
  </w:style>
  <w:style w:type="character" w:customStyle="1" w:styleId="1Zchn">
    <w:name w:val="Ü1 Zchn"/>
    <w:basedOn w:val="Absatz-Standardschriftart"/>
    <w:link w:val="1"/>
    <w:rPr>
      <w:b/>
      <w:sz w:val="28"/>
    </w:rPr>
  </w:style>
  <w:style w:type="paragraph" w:customStyle="1" w:styleId="3">
    <w:name w:val="Ü3"/>
    <w:basedOn w:val="Listenabsatz"/>
    <w:link w:val="3Zchn"/>
    <w:qFormat/>
    <w:pPr>
      <w:numPr>
        <w:numId w:val="5"/>
      </w:numPr>
      <w:spacing w:before="120" w:after="0"/>
    </w:pPr>
    <w:rPr>
      <w:b/>
      <w:sz w:val="22"/>
      <w:szCs w:val="22"/>
    </w:rPr>
  </w:style>
  <w:style w:type="character" w:customStyle="1" w:styleId="2Zchn">
    <w:name w:val="Ü2 Zchn"/>
    <w:basedOn w:val="Absatz-Standardschriftart"/>
    <w:link w:val="2"/>
    <w:rPr>
      <w:b/>
    </w:rPr>
  </w:style>
  <w:style w:type="paragraph" w:customStyle="1" w:styleId="Liste1">
    <w:name w:val="Liste1"/>
    <w:basedOn w:val="Listenabsatz"/>
    <w:link w:val="Liste1Zchn"/>
    <w:qFormat/>
    <w:pPr>
      <w:numPr>
        <w:numId w:val="6"/>
      </w:numPr>
      <w:spacing w:after="0"/>
    </w:pPr>
    <w:rPr>
      <w:sz w:val="22"/>
      <w:szCs w:val="22"/>
    </w:rPr>
  </w:style>
  <w:style w:type="character" w:customStyle="1" w:styleId="3Zchn">
    <w:name w:val="Ü3 Zchn"/>
    <w:basedOn w:val="Absatz-Standardschriftart"/>
    <w:link w:val="3"/>
    <w:rPr>
      <w:b/>
      <w:sz w:val="22"/>
      <w:szCs w:val="22"/>
    </w:rPr>
  </w:style>
  <w:style w:type="paragraph" w:customStyle="1" w:styleId="Liste2">
    <w:name w:val="Liste2"/>
    <w:basedOn w:val="Listenabsatz"/>
    <w:link w:val="Liste2Zchn"/>
    <w:qFormat/>
    <w:pPr>
      <w:numPr>
        <w:numId w:val="7"/>
      </w:numPr>
      <w:spacing w:after="0"/>
    </w:pPr>
    <w:rPr>
      <w:sz w:val="22"/>
      <w:szCs w:val="22"/>
      <w:lang w:val="en-GB"/>
    </w:rPr>
  </w:style>
  <w:style w:type="character" w:customStyle="1" w:styleId="Liste1Zchn">
    <w:name w:val="Liste1 Zchn"/>
    <w:basedOn w:val="ListenabsatzZchn"/>
    <w:link w:val="Liste1"/>
    <w:rPr>
      <w:sz w:val="22"/>
      <w:szCs w:val="22"/>
    </w:rPr>
  </w:style>
  <w:style w:type="paragraph" w:customStyle="1" w:styleId="Liste3">
    <w:name w:val="Liste3"/>
    <w:basedOn w:val="Listenabsatz"/>
    <w:link w:val="Liste3Zchn"/>
    <w:qFormat/>
    <w:pPr>
      <w:numPr>
        <w:ilvl w:val="1"/>
        <w:numId w:val="6"/>
      </w:numPr>
      <w:spacing w:after="0"/>
    </w:pPr>
    <w:rPr>
      <w:sz w:val="22"/>
      <w:szCs w:val="22"/>
    </w:rPr>
  </w:style>
  <w:style w:type="character" w:customStyle="1" w:styleId="Liste2Zchn">
    <w:name w:val="Liste2 Zchn"/>
    <w:basedOn w:val="ListenabsatzZchn"/>
    <w:link w:val="Liste2"/>
    <w:rPr>
      <w:sz w:val="22"/>
      <w:szCs w:val="22"/>
      <w:lang w:val="en-GB"/>
    </w:rPr>
  </w:style>
  <w:style w:type="paragraph" w:customStyle="1" w:styleId="TagFr">
    <w:name w:val="Tag_Fr"/>
    <w:basedOn w:val="Standard"/>
    <w:link w:val="TagFrZchn"/>
    <w:qFormat/>
    <w:pPr>
      <w:spacing w:after="120" w:line="276" w:lineRule="auto"/>
    </w:pPr>
    <w:rPr>
      <w:b/>
      <w:i/>
      <w:color w:val="8DB3E2" w:themeColor="text2" w:themeTint="66"/>
      <w:sz w:val="22"/>
      <w:szCs w:val="22"/>
    </w:rPr>
  </w:style>
  <w:style w:type="character" w:customStyle="1" w:styleId="Liste3Zchn">
    <w:name w:val="Liste3 Zchn"/>
    <w:basedOn w:val="ListenabsatzZchn"/>
    <w:link w:val="Liste3"/>
    <w:rPr>
      <w:sz w:val="22"/>
      <w:szCs w:val="22"/>
    </w:rPr>
  </w:style>
  <w:style w:type="paragraph" w:customStyle="1" w:styleId="TagMi">
    <w:name w:val="Tag_Mi"/>
    <w:basedOn w:val="Standard"/>
    <w:link w:val="TagMiZchn"/>
    <w:qFormat/>
    <w:pPr>
      <w:spacing w:after="0"/>
      <w:ind w:left="113"/>
    </w:pPr>
    <w:rPr>
      <w:b/>
      <w:i/>
      <w:color w:val="D99594" w:themeColor="accent2" w:themeTint="99"/>
    </w:rPr>
  </w:style>
  <w:style w:type="character" w:customStyle="1" w:styleId="TagFrZchn">
    <w:name w:val="Tag_Fr Zchn"/>
    <w:basedOn w:val="Absatz-Standardschriftart"/>
    <w:link w:val="TagFr"/>
    <w:rPr>
      <w:b/>
      <w:i/>
      <w:color w:val="8DB3E2" w:themeColor="text2" w:themeTint="66"/>
      <w:sz w:val="22"/>
      <w:szCs w:val="22"/>
    </w:rPr>
  </w:style>
  <w:style w:type="paragraph" w:customStyle="1" w:styleId="TagMo">
    <w:name w:val="Tag_Mo"/>
    <w:basedOn w:val="Standard"/>
    <w:link w:val="TagMoZchn"/>
    <w:qFormat/>
    <w:pPr>
      <w:spacing w:after="0" w:line="276" w:lineRule="auto"/>
    </w:pPr>
    <w:rPr>
      <w:b/>
      <w:i/>
      <w:color w:val="C2D69B" w:themeColor="accent3" w:themeTint="99"/>
    </w:rPr>
  </w:style>
  <w:style w:type="character" w:customStyle="1" w:styleId="TagMiZchn">
    <w:name w:val="Tag_Mi Zchn"/>
    <w:basedOn w:val="ListenabsatzZchn"/>
    <w:link w:val="TagMi"/>
    <w:rPr>
      <w:b/>
      <w:i/>
      <w:color w:val="D99594" w:themeColor="accent2" w:themeTint="99"/>
    </w:rPr>
  </w:style>
  <w:style w:type="paragraph" w:customStyle="1" w:styleId="ToDo">
    <w:name w:val="ToDo"/>
    <w:basedOn w:val="Standard"/>
    <w:link w:val="ToDoZchn"/>
    <w:qFormat/>
    <w:pPr>
      <w:spacing w:before="120" w:after="120"/>
    </w:pPr>
    <w:rPr>
      <w:i/>
      <w:sz w:val="22"/>
      <w:szCs w:val="22"/>
    </w:rPr>
  </w:style>
  <w:style w:type="character" w:customStyle="1" w:styleId="TagMoZchn">
    <w:name w:val="Tag_Mo Zchn"/>
    <w:basedOn w:val="Absatz-Standardschriftart"/>
    <w:link w:val="TagMo"/>
    <w:rPr>
      <w:b/>
      <w:i/>
      <w:color w:val="C2D69B" w:themeColor="accent3" w:themeTint="99"/>
    </w:rPr>
  </w:style>
  <w:style w:type="character" w:customStyle="1" w:styleId="ToDoZchn">
    <w:name w:val="ToDo Zchn"/>
    <w:basedOn w:val="Absatz-Standardschriftart"/>
    <w:link w:val="ToDo"/>
    <w:rPr>
      <w:i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file:///S:\Wissdaten\RKI_nCoV-Lage\1.Lagemanagement\1.3.Besprechungen_TKs\1.Lage_AG\2021-11-17_Lage_AG\211117_SARS-CoV-2%20in%20ARS_Krisenstabssitzung.pptx" TargetMode="External"/><Relationship Id="rId18" Type="http://schemas.openxmlformats.org/officeDocument/2006/relationships/hyperlink" Target="file:///S:\Wissdaten\RKI_nCoV-Lage\1.Lagemanagement\1.3.Besprechungen_TKs\1.Lage_AG\2021-11-17_Lage_AG\2021-11-17_Intensivregister_SPoCK.ppt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S:\Wissdaten\RKI_nCoV-Lage\1.Lagemanagement\1.3.Besprechungen_TKs\1.Lage_AG\2021-11-17_Lage_AG\Testzahlerfassung%20am%20RKI_2021-11-17_SB_JS.pptx" TargetMode="External"/><Relationship Id="rId17" Type="http://schemas.openxmlformats.org/officeDocument/2006/relationships/hyperlink" Target="file:///S:\Wissdaten\RKI_nCoV-Lage\1.Lagemanagement\1.3.Besprechungen_TKs\1.Lage_AG\2021-11-17_Lage_AG\211117%20NRZ%20Influenzaviren%20Lage.ppt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S:\Wissdaten\RKI_nCoV-Lage\1.Lagemanagement\1.3.Besprechungen_TKs\1.Lage_AG\2021-11-17_Lage_AG\syndrom-ARE-SARI-COVID_bis_KW45_2021_f&#252;r-Krisenstab.pptx" TargetMode="External"/><Relationship Id="rId20" Type="http://schemas.openxmlformats.org/officeDocument/2006/relationships/hyperlink" Target="file:///S:\Wissdaten\RKI_nCoV-Lage\1.Lagemanagement\1.3.Besprechungen_TKs\1.Lage_AG\2021-11-17_Lage_AG\Kontaktpersonenmanagement_2021-11-16_oK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S:\Wissdaten\RKI_nCoV-Lage\1.Lagemanagement\1.3.Besprechungen_TKs\1.Lage_AG\2021-11-17_Lage_AG\LageNational_2021-11-17.ppt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S:\Wissdaten\RKI_nCoV-Lage\1.Lagemanagement\1.3.Besprechungen_TKs\1.Lage_AG\2021-11-17_Lage_AG\Krisenstab-MF1-Viruspopulation-2021-11-16.pptx" TargetMode="Externa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file:///S:\Wissdaten\RKI_nCoV-Lage\1.Lagemanagement\1.3.Besprechungen_TKs\1.Lage_AG\2021-11-17_Lage_AG\RKI-Risikobewertung-COVID_2021-11-17.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/S:\Wissdaten\RKI_nCoV-Lage\1.Lagemanagement\1.3.Besprechungen_TKs\1.Lage_AG\2021-11-17_Lage_AG\VOC202111117_LageAG.pptx" TargetMode="Externa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C2250-97F7-43BE-B26C-7520A82EB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2179</Words>
  <Characters>13729</Characters>
  <Application>Microsoft Office Word</Application>
  <DocSecurity>0</DocSecurity>
  <Lines>114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 Rexroth</dc:creator>
  <cp:lastModifiedBy>Lein, Ines</cp:lastModifiedBy>
  <cp:revision>57</cp:revision>
  <cp:lastPrinted>2020-05-06T16:43:00Z</cp:lastPrinted>
  <dcterms:created xsi:type="dcterms:W3CDTF">2021-11-10T16:34:00Z</dcterms:created>
  <dcterms:modified xsi:type="dcterms:W3CDTF">2021-11-19T09:15:00Z</dcterms:modified>
</cp:coreProperties>
</file>