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24.11.2021,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r>
        <w:rPr>
          <w:b/>
          <w:sz w:val="22"/>
        </w:rPr>
        <w:t xml:space="preserve">Moderation: Lars Schaade </w:t>
      </w: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1"/>
          <w:numId w:val="2"/>
        </w:numPr>
        <w:spacing w:after="0"/>
        <w:contextualSpacing w:val="0"/>
        <w:rPr>
          <w:sz w:val="22"/>
          <w:szCs w:val="22"/>
        </w:rPr>
      </w:pPr>
      <w:r>
        <w:rPr>
          <w:sz w:val="22"/>
          <w:szCs w:val="22"/>
        </w:rPr>
        <w:t>Marc Thanheiser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r>
        <w:rPr>
          <w:sz w:val="22"/>
          <w:szCs w:val="22"/>
        </w:rPr>
        <w:t xml:space="preserve">Ralf </w:t>
      </w:r>
      <w:proofErr w:type="spellStart"/>
      <w:r>
        <w:rPr>
          <w:sz w:val="22"/>
          <w:szCs w:val="22"/>
        </w:rPr>
        <w:t>Dürrwald</w:t>
      </w:r>
      <w:proofErr w:type="spellEnd"/>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highlight w:val="yellow"/>
        </w:rPr>
      </w:pPr>
      <w:r>
        <w:rPr>
          <w:sz w:val="22"/>
          <w:szCs w:val="22"/>
          <w:highlight w:val="yellow"/>
        </w:rPr>
        <w:t>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1"/>
          <w:numId w:val="3"/>
        </w:numPr>
        <w:spacing w:after="0"/>
        <w:contextualSpacing w:val="0"/>
        <w:rPr>
          <w:sz w:val="22"/>
          <w:szCs w:val="22"/>
        </w:rPr>
      </w:pPr>
      <w:r>
        <w:rPr>
          <w:sz w:val="22"/>
          <w:szCs w:val="22"/>
        </w:rPr>
        <w:t>Annegret Schneider</w:t>
      </w:r>
    </w:p>
    <w:p>
      <w:pPr>
        <w:pStyle w:val="Listenabsatz"/>
        <w:numPr>
          <w:ilvl w:val="0"/>
          <w:numId w:val="3"/>
        </w:numPr>
        <w:spacing w:after="0"/>
        <w:contextualSpacing w:val="0"/>
        <w:rPr>
          <w:sz w:val="22"/>
          <w:szCs w:val="22"/>
        </w:rPr>
      </w:pPr>
      <w:r>
        <w:rPr>
          <w:sz w:val="22"/>
          <w:szCs w:val="22"/>
        </w:rPr>
        <w:t>MF1</w:t>
      </w:r>
    </w:p>
    <w:p>
      <w:pPr>
        <w:pStyle w:val="Listenabsatz"/>
        <w:numPr>
          <w:ilvl w:val="0"/>
          <w:numId w:val="3"/>
        </w:numPr>
        <w:spacing w:after="0"/>
        <w:ind w:firstLine="414"/>
        <w:rPr>
          <w:sz w:val="22"/>
          <w:szCs w:val="22"/>
        </w:rPr>
      </w:pPr>
      <w:r>
        <w:rPr>
          <w:sz w:val="22"/>
          <w:szCs w:val="22"/>
        </w:rPr>
        <w:t>Stefan Fuchs</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proofErr w:type="spellStart"/>
            <w:r>
              <w:t>nicht</w:t>
            </w:r>
            <w:proofErr w:type="spellEnd"/>
            <w:r>
              <w:t xml:space="preserve"> </w:t>
            </w:r>
            <w:proofErr w:type="spellStart"/>
            <w:r>
              <w:t>berichtet</w:t>
            </w:r>
            <w:proofErr w:type="spellEnd"/>
          </w:p>
          <w:p>
            <w:pPr>
              <w:pStyle w:val="Liste2"/>
              <w:numPr>
                <w:ilvl w:val="0"/>
                <w:numId w:val="0"/>
              </w:numPr>
              <w:ind w:left="833" w:hanging="360"/>
              <w:rPr>
                <w:lang w:val="de-DE"/>
              </w:rPr>
            </w:pPr>
          </w:p>
          <w:p>
            <w:pPr>
              <w:pStyle w:val="Liste2"/>
              <w:numPr>
                <w:ilvl w:val="0"/>
                <w:numId w:val="0"/>
              </w:numPr>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5.497.795 (+66.884), davon 99.768(+335) Todesfälle </w:t>
            </w:r>
          </w:p>
          <w:p>
            <w:pPr>
              <w:pStyle w:val="Liste2"/>
            </w:pPr>
            <w:r>
              <w:t xml:space="preserve">7-Tage-Inzidenz:  404,5/100.000 </w:t>
            </w:r>
            <w:proofErr w:type="spellStart"/>
            <w:r>
              <w:t>Einw</w:t>
            </w:r>
            <w:proofErr w:type="spellEnd"/>
            <w:r>
              <w:t>.</w:t>
            </w:r>
          </w:p>
          <w:p>
            <w:pPr>
              <w:pStyle w:val="Liste2"/>
            </w:pPr>
            <w:proofErr w:type="spellStart"/>
            <w:r>
              <w:t>Hospitalisierungsinzidenz</w:t>
            </w:r>
            <w:proofErr w:type="spellEnd"/>
            <w:r>
              <w:t xml:space="preserve">: 5,7/ 100.000 </w:t>
            </w:r>
            <w:proofErr w:type="spellStart"/>
            <w:r>
              <w:t>Einw</w:t>
            </w:r>
            <w:proofErr w:type="spellEnd"/>
            <w:r>
              <w:t xml:space="preserve">. </w:t>
            </w:r>
          </w:p>
          <w:p>
            <w:pPr>
              <w:pStyle w:val="Liste2"/>
              <w:rPr>
                <w:lang w:val="de-DE"/>
              </w:rPr>
            </w:pPr>
            <w:proofErr w:type="spellStart"/>
            <w:r>
              <w:rPr>
                <w:lang w:val="de-DE"/>
              </w:rPr>
              <w:t>Impfmonitoring</w:t>
            </w:r>
            <w:proofErr w:type="spellEnd"/>
            <w:r>
              <w:rPr>
                <w:lang w:val="de-DE"/>
              </w:rPr>
              <w:t>: Geimpfte mit 1. Dosis 58.791.289 (70,7%), mit vollständiger Impfung 56.637.852 (68,1%), mit Auffrischimpfung 6.641.501</w:t>
            </w:r>
          </w:p>
          <w:p>
            <w:pPr>
              <w:pStyle w:val="Liste2"/>
              <w:rPr>
                <w:lang w:val="de-DE"/>
              </w:rPr>
            </w:pPr>
            <w:r>
              <w:rPr>
                <w:lang w:val="de-DE"/>
              </w:rPr>
              <w:t>Verlauf der 7-Tage-Inzidenz der Bundesländer:</w:t>
            </w:r>
          </w:p>
          <w:p>
            <w:pPr>
              <w:pStyle w:val="Liste3"/>
              <w:numPr>
                <w:ilvl w:val="1"/>
                <w:numId w:val="40"/>
              </w:numPr>
            </w:pPr>
            <w:r>
              <w:t>Anstieg in allen BL, sehr steiler Anstieg in Sachsen, Thüringen und Saarland</w:t>
            </w:r>
          </w:p>
          <w:p>
            <w:pPr>
              <w:pStyle w:val="Liste3"/>
              <w:numPr>
                <w:ilvl w:val="1"/>
                <w:numId w:val="40"/>
              </w:numPr>
            </w:pPr>
            <w:r>
              <w:t>7d-R-Wert &gt;1</w:t>
            </w:r>
          </w:p>
          <w:p>
            <w:pPr>
              <w:pStyle w:val="Liste3"/>
              <w:numPr>
                <w:ilvl w:val="1"/>
                <w:numId w:val="40"/>
              </w:numPr>
            </w:pPr>
            <w:r>
              <w:t>22 LK mit Inzidenz &gt;1000 und 1/3 der LK mit Inzidenz &gt;500</w:t>
            </w:r>
          </w:p>
          <w:p>
            <w:pPr>
              <w:pStyle w:val="Liste3"/>
              <w:numPr>
                <w:ilvl w:val="1"/>
                <w:numId w:val="40"/>
              </w:numPr>
            </w:pPr>
            <w:r>
              <w:t>Inzidenz nach AG und Meldewoche: wöchentlicher Inzidenzanstieg von 100, Anstieg in allen AG</w:t>
            </w:r>
          </w:p>
          <w:p>
            <w:pPr>
              <w:pStyle w:val="Liste2"/>
              <w:rPr>
                <w:rStyle w:val="TagMiZchn"/>
                <w:b w:val="0"/>
                <w:bCs/>
                <w:lang w:val="de-DE"/>
              </w:rPr>
            </w:pPr>
            <w:r>
              <w:rPr>
                <w:rStyle w:val="3Zchn"/>
                <w:b w:val="0"/>
                <w:lang w:val="de-DE"/>
              </w:rPr>
              <w:t>Testkapazität und Testungen</w:t>
            </w:r>
            <w:r>
              <w:rPr>
                <w:lang w:val="de-DE"/>
              </w:rPr>
              <w:t xml:space="preserve"> </w:t>
            </w:r>
            <w:r>
              <w:rPr>
                <w:rStyle w:val="TagMiZchn"/>
                <w:bCs/>
                <w:lang w:val="de-DE"/>
              </w:rPr>
              <w:t xml:space="preserve">(nur mittwochs) </w:t>
            </w:r>
          </w:p>
          <w:p>
            <w:pPr>
              <w:pStyle w:val="Liste2"/>
            </w:pPr>
            <w:proofErr w:type="spellStart"/>
            <w:r>
              <w:t>Folien</w:t>
            </w:r>
            <w:proofErr w:type="spellEnd"/>
            <w:r>
              <w:t xml:space="preserve"> </w:t>
            </w:r>
            <w:hyperlink r:id="rId15" w:history="1">
              <w:proofErr w:type="spellStart"/>
              <w:r>
                <w:rPr>
                  <w:rStyle w:val="Hyperlink"/>
                </w:rPr>
                <w:t>hier</w:t>
              </w:r>
              <w:proofErr w:type="spellEnd"/>
            </w:hyperlink>
          </w:p>
          <w:p>
            <w:pPr>
              <w:pStyle w:val="Liste2"/>
              <w:rPr>
                <w:lang w:val="de-DE"/>
              </w:rPr>
            </w:pPr>
            <w:r>
              <w:rPr>
                <w:lang w:val="de-DE"/>
              </w:rPr>
              <w:t>200.000 Testungen mehr als in der Vorwoche</w:t>
            </w:r>
          </w:p>
          <w:p>
            <w:pPr>
              <w:pStyle w:val="Liste2"/>
              <w:rPr>
                <w:lang w:val="de-DE"/>
              </w:rPr>
            </w:pPr>
            <w:proofErr w:type="spellStart"/>
            <w:r>
              <w:rPr>
                <w:lang w:val="de-DE"/>
              </w:rPr>
              <w:t>Testpositivenrate</w:t>
            </w:r>
            <w:proofErr w:type="spellEnd"/>
            <w:r>
              <w:rPr>
                <w:lang w:val="de-DE"/>
              </w:rPr>
              <w:t xml:space="preserve"> ca. 20%</w:t>
            </w:r>
          </w:p>
          <w:p>
            <w:pPr>
              <w:pStyle w:val="Liste2"/>
              <w:rPr>
                <w:lang w:val="de-DE"/>
              </w:rPr>
            </w:pPr>
            <w:r>
              <w:rPr>
                <w:lang w:val="de-DE"/>
              </w:rPr>
              <w:t xml:space="preserve">Anzahl Testungen = 1,8 </w:t>
            </w:r>
            <w:proofErr w:type="spellStart"/>
            <w:r>
              <w:rPr>
                <w:lang w:val="de-DE"/>
              </w:rPr>
              <w:t>Mio</w:t>
            </w:r>
            <w:proofErr w:type="spellEnd"/>
            <w:r>
              <w:rPr>
                <w:lang w:val="de-DE"/>
              </w:rPr>
              <w:t xml:space="preserve">, Kapazität liegt bei ca. 2,2 </w:t>
            </w:r>
            <w:proofErr w:type="spellStart"/>
            <w:r>
              <w:rPr>
                <w:lang w:val="de-DE"/>
              </w:rPr>
              <w:t>Mio</w:t>
            </w:r>
            <w:proofErr w:type="spellEnd"/>
          </w:p>
          <w:p>
            <w:pPr>
              <w:pStyle w:val="Liste2"/>
              <w:rPr>
                <w:lang w:val="de-DE"/>
              </w:rPr>
            </w:pPr>
            <w:r>
              <w:rPr>
                <w:lang w:val="de-DE"/>
              </w:rPr>
              <w:t>Einzelne BL haben Auslastungsgrenze überschritten, z.B. Brandenburg, Thüringen, BaWü. Sachsen</w:t>
            </w:r>
          </w:p>
          <w:p>
            <w:pPr>
              <w:pStyle w:val="Liste2"/>
              <w:rPr>
                <w:lang w:val="de-DE"/>
              </w:rPr>
            </w:pPr>
            <w:r>
              <w:rPr>
                <w:lang w:val="de-DE"/>
              </w:rPr>
              <w:t xml:space="preserve">50% der Labore haben eine </w:t>
            </w:r>
            <w:proofErr w:type="spellStart"/>
            <w:r>
              <w:rPr>
                <w:lang w:val="de-DE"/>
              </w:rPr>
              <w:t>Testpositivenrate</w:t>
            </w:r>
            <w:proofErr w:type="spellEnd"/>
            <w:r>
              <w:rPr>
                <w:lang w:val="de-DE"/>
              </w:rPr>
              <w:t xml:space="preserve"> von &gt;20%</w:t>
            </w:r>
          </w:p>
          <w:p>
            <w:pPr>
              <w:pStyle w:val="Liste2"/>
              <w:numPr>
                <w:ilvl w:val="0"/>
                <w:numId w:val="0"/>
              </w:numPr>
              <w:ind w:left="833" w:hanging="360"/>
              <w:rPr>
                <w:lang w:val="de-DE"/>
              </w:rPr>
            </w:pPr>
          </w:p>
          <w:p>
            <w:pPr>
              <w:pStyle w:val="Liste2"/>
            </w:pPr>
            <w:r>
              <w:t>ARS-</w:t>
            </w:r>
            <w:proofErr w:type="spellStart"/>
            <w:r>
              <w:t>Daten</w:t>
            </w:r>
            <w:proofErr w:type="spellEnd"/>
            <w:r>
              <w:t xml:space="preserve"> </w:t>
            </w:r>
          </w:p>
          <w:p>
            <w:pPr>
              <w:pStyle w:val="Liste2"/>
            </w:pPr>
            <w:proofErr w:type="spellStart"/>
            <w:r>
              <w:t>nicht</w:t>
            </w:r>
            <w:proofErr w:type="spellEnd"/>
            <w:r>
              <w:t xml:space="preserve"> </w:t>
            </w:r>
            <w:proofErr w:type="spellStart"/>
            <w:r>
              <w:t>berichtet</w:t>
            </w:r>
            <w:proofErr w:type="spellEnd"/>
          </w:p>
          <w:p>
            <w:pPr>
              <w:pStyle w:val="Liste2"/>
            </w:pPr>
            <w:r>
              <w:t>VOC-</w:t>
            </w:r>
            <w:proofErr w:type="spellStart"/>
            <w:r>
              <w:t>Bericht</w:t>
            </w:r>
            <w:proofErr w:type="spellEnd"/>
          </w:p>
          <w:p>
            <w:pPr>
              <w:pStyle w:val="Liste2"/>
            </w:pPr>
            <w:proofErr w:type="spellStart"/>
            <w:r>
              <w:t>nicht</w:t>
            </w:r>
            <w:proofErr w:type="spellEnd"/>
            <w:r>
              <w:t xml:space="preserve"> </w:t>
            </w:r>
            <w:proofErr w:type="spellStart"/>
            <w:r>
              <w:t>berichtet</w:t>
            </w:r>
            <w:proofErr w:type="spellEnd"/>
          </w:p>
          <w:p>
            <w:pPr>
              <w:pStyle w:val="Liste2"/>
            </w:pPr>
            <w:r>
              <w:t>Molekulare Surveillance (nur mittwochs)</w:t>
            </w:r>
          </w:p>
          <w:p>
            <w:pPr>
              <w:pStyle w:val="Liste2"/>
            </w:pPr>
            <w:proofErr w:type="spellStart"/>
            <w:r>
              <w:t>nicht</w:t>
            </w:r>
            <w:proofErr w:type="spellEnd"/>
            <w:r>
              <w:t xml:space="preserve"> </w:t>
            </w:r>
            <w:proofErr w:type="spellStart"/>
            <w:r>
              <w:t>berichtet</w:t>
            </w:r>
            <w:proofErr w:type="spellEnd"/>
          </w:p>
          <w:p>
            <w:pPr>
              <w:pStyle w:val="Liste2"/>
            </w:pPr>
            <w:proofErr w:type="spellStart"/>
            <w:r>
              <w:t>Syndromische</w:t>
            </w:r>
            <w:proofErr w:type="spellEnd"/>
            <w: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pPr>
            <w:proofErr w:type="spellStart"/>
            <w:r>
              <w:t>nicht</w:t>
            </w:r>
            <w:proofErr w:type="spellEnd"/>
            <w:r>
              <w:t xml:space="preserve"> </w:t>
            </w:r>
            <w:proofErr w:type="spellStart"/>
            <w:r>
              <w:t>berichtet</w:t>
            </w:r>
            <w:proofErr w:type="spellEnd"/>
          </w:p>
          <w:p>
            <w:pPr>
              <w:pStyle w:val="Liste2"/>
              <w:rPr>
                <w:rStyle w:val="TagMiZchn"/>
                <w:b w:val="0"/>
                <w:lang w:val="de-DE"/>
              </w:rPr>
            </w:pPr>
            <w:r>
              <w:rPr>
                <w:lang w:val="de-DE"/>
              </w:rPr>
              <w:t xml:space="preserve">Virologische Surveillance, NRZ Influenza-Daten </w:t>
            </w:r>
            <w:r>
              <w:rPr>
                <w:rStyle w:val="TagMiZchn"/>
                <w:lang w:val="de-DE"/>
              </w:rPr>
              <w:t xml:space="preserve">(nur mittwochs) </w:t>
            </w:r>
          </w:p>
          <w:p>
            <w:pPr>
              <w:pStyle w:val="Liste2"/>
            </w:pPr>
            <w:proofErr w:type="spellStart"/>
            <w:r>
              <w:t>nicht</w:t>
            </w:r>
            <w:proofErr w:type="spellEnd"/>
            <w:r>
              <w:t xml:space="preserve"> </w:t>
            </w:r>
            <w:proofErr w:type="spellStart"/>
            <w:r>
              <w:t>berichtet</w:t>
            </w:r>
            <w:proofErr w:type="spellEnd"/>
          </w:p>
          <w:p>
            <w:pPr>
              <w:pStyle w:val="Liste2"/>
              <w:rPr>
                <w:rStyle w:val="TagMiZchn"/>
                <w:b w:val="0"/>
                <w:bCs/>
                <w:lang w:val="de-DE"/>
              </w:rPr>
            </w:pPr>
            <w:r>
              <w:rPr>
                <w:lang w:val="de-DE"/>
              </w:rPr>
              <w:t xml:space="preserve">Zahlen zum DIVI-Intensivregister </w:t>
            </w:r>
            <w:r>
              <w:rPr>
                <w:rStyle w:val="TagMiZchn"/>
                <w:bCs/>
                <w:lang w:val="de-DE"/>
              </w:rPr>
              <w:t>(nur mittwochs)</w:t>
            </w:r>
          </w:p>
          <w:p>
            <w:pPr>
              <w:pStyle w:val="Liste2"/>
            </w:pPr>
            <w:proofErr w:type="spellStart"/>
            <w:r>
              <w:t>Folien</w:t>
            </w:r>
            <w:proofErr w:type="spellEnd"/>
            <w:r>
              <w:t xml:space="preserve"> </w:t>
            </w:r>
            <w:hyperlink r:id="rId16" w:history="1">
              <w:proofErr w:type="spellStart"/>
              <w:r>
                <w:rPr>
                  <w:rStyle w:val="Hyperlink"/>
                </w:rPr>
                <w:t>hier</w:t>
              </w:r>
              <w:proofErr w:type="spellEnd"/>
            </w:hyperlink>
          </w:p>
          <w:p>
            <w:pPr>
              <w:pStyle w:val="Liste2"/>
              <w:rPr>
                <w:lang w:val="de-DE"/>
              </w:rPr>
            </w:pPr>
            <w:r>
              <w:rPr>
                <w:lang w:val="de-DE"/>
              </w:rPr>
              <w:t>4041 COVID-19 Patienten auf den ITS (+2055 in den letzten 7d)</w:t>
            </w:r>
          </w:p>
          <w:p>
            <w:pPr>
              <w:pStyle w:val="Liste2"/>
              <w:rPr>
                <w:lang w:val="de-DE"/>
              </w:rPr>
            </w:pPr>
            <w:r>
              <w:rPr>
                <w:lang w:val="de-DE"/>
              </w:rPr>
              <w:t>Anstieg in allen BL, 9BL mit ITS-Auslastung von &gt;12%</w:t>
            </w:r>
          </w:p>
          <w:p>
            <w:pPr>
              <w:pStyle w:val="Liste2"/>
              <w:rPr>
                <w:lang w:val="de-DE"/>
              </w:rPr>
            </w:pPr>
            <w:r>
              <w:rPr>
                <w:lang w:val="de-DE"/>
              </w:rPr>
              <w:lastRenderedPageBreak/>
              <w:t>Behandlungsbelegung nach Schweregrad: Anstieg der Patienten mit invasiver Beatmung, ca. 100 Patienten versterben pro Tag auf ITS</w:t>
            </w:r>
          </w:p>
          <w:p>
            <w:pPr>
              <w:pStyle w:val="Liste2"/>
              <w:rPr>
                <w:lang w:val="de-DE"/>
              </w:rPr>
            </w:pPr>
            <w:r>
              <w:rPr>
                <w:lang w:val="de-DE"/>
              </w:rPr>
              <w:t xml:space="preserve">Altersstruktur von 3813 ITS-Patienten (96% aller </w:t>
            </w:r>
            <w:proofErr w:type="spellStart"/>
            <w:r>
              <w:rPr>
                <w:lang w:val="de-DE"/>
              </w:rPr>
              <w:t>gemeldeteten</w:t>
            </w:r>
            <w:proofErr w:type="spellEnd"/>
            <w:r>
              <w:rPr>
                <w:lang w:val="de-DE"/>
              </w:rPr>
              <w:t xml:space="preserve"> ITS Patienten): Anstieg in allen Altersgruppen, besonders stark bei den 50-79-Jährigen, Anstieg von 5 auf 28 Patientinnen in der Altersgruppe 0-17 in den letzten 5 Wochen</w:t>
            </w:r>
          </w:p>
          <w:p>
            <w:pPr>
              <w:pStyle w:val="Liste2"/>
              <w:rPr>
                <w:lang w:val="de-DE"/>
              </w:rPr>
            </w:pPr>
            <w:proofErr w:type="spellStart"/>
            <w:r>
              <w:rPr>
                <w:lang w:val="de-DE"/>
              </w:rPr>
              <w:t>Personal-und</w:t>
            </w:r>
            <w:proofErr w:type="spellEnd"/>
            <w:r>
              <w:rPr>
                <w:lang w:val="de-DE"/>
              </w:rPr>
              <w:t xml:space="preserve"> Raummangel: 75% teilweiser oder kompletter Verfügbarkeitseinschränkung</w:t>
            </w:r>
          </w:p>
          <w:p>
            <w:pPr>
              <w:pStyle w:val="Liste2"/>
              <w:rPr>
                <w:lang w:val="de-DE"/>
              </w:rPr>
            </w:pPr>
            <w:proofErr w:type="spellStart"/>
            <w:r>
              <w:rPr>
                <w:lang w:val="de-DE"/>
              </w:rPr>
              <w:t>SPoCK</w:t>
            </w:r>
            <w:proofErr w:type="spellEnd"/>
            <w:r>
              <w:rPr>
                <w:lang w:val="de-DE"/>
              </w:rPr>
              <w:t>: Anstieg in den nächsten 3 Wochen im Osten, Süden und Südosten</w:t>
            </w:r>
          </w:p>
          <w:p>
            <w:pPr>
              <w:pStyle w:val="Liste2"/>
              <w:rPr>
                <w:lang w:val="de-DE"/>
              </w:rPr>
            </w:pP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freitags</w:t>
            </w:r>
            <w:proofErr w:type="spellEnd"/>
            <w:r>
              <w:rPr>
                <w:b/>
                <w:i/>
                <w:color w:val="95B3D7" w:themeColor="accent1" w:themeTint="99"/>
                <w:sz w:val="20"/>
              </w:rPr>
              <w:t>)</w:t>
            </w:r>
          </w:p>
          <w:p>
            <w:pPr>
              <w:pStyle w:val="Liste2"/>
            </w:pPr>
            <w:proofErr w:type="spellStart"/>
            <w:r>
              <w:t>nicht</w:t>
            </w:r>
            <w:proofErr w:type="spellEnd"/>
            <w:r>
              <w:t xml:space="preserve"> </w:t>
            </w:r>
            <w:proofErr w:type="spellStart"/>
            <w:r>
              <w:t>berichtet</w:t>
            </w:r>
            <w:proofErr w:type="spellEnd"/>
          </w:p>
          <w:p>
            <w:pPr>
              <w:pStyle w:val="Liste2"/>
              <w:numPr>
                <w:ilvl w:val="0"/>
                <w:numId w:val="0"/>
              </w:numPr>
            </w:pPr>
          </w:p>
          <w:p>
            <w:pPr>
              <w:pStyle w:val="Liste2"/>
              <w:numPr>
                <w:ilvl w:val="0"/>
                <w:numId w:val="0"/>
              </w:numPr>
            </w:pPr>
            <w:proofErr w:type="spellStart"/>
            <w:r>
              <w:t>Diskussion</w:t>
            </w:r>
            <w:proofErr w:type="spellEnd"/>
          </w:p>
          <w:p>
            <w:pPr>
              <w:pStyle w:val="Liste2"/>
              <w:numPr>
                <w:ilvl w:val="0"/>
                <w:numId w:val="0"/>
              </w:numPr>
            </w:pPr>
          </w:p>
          <w:p>
            <w:pPr>
              <w:pStyle w:val="Liste2"/>
              <w:numPr>
                <w:ilvl w:val="0"/>
                <w:numId w:val="0"/>
              </w:numPr>
              <w:rPr>
                <w:lang w:val="de-DE"/>
              </w:rPr>
            </w:pPr>
            <w:r>
              <w:rPr>
                <w:lang w:val="de-DE"/>
              </w:rPr>
              <w:t>Frage: Wie hoch ist die Surge Kapazität (d.h. Umwandlung von non-COVID-19 Betten in COVID-19 ITS Betten)</w:t>
            </w:r>
          </w:p>
          <w:p>
            <w:pPr>
              <w:pStyle w:val="Liste2"/>
              <w:numPr>
                <w:ilvl w:val="0"/>
                <w:numId w:val="0"/>
              </w:numPr>
              <w:rPr>
                <w:lang w:val="de-DE"/>
              </w:rPr>
            </w:pPr>
            <w:r>
              <w:rPr>
                <w:lang w:val="de-DE"/>
              </w:rPr>
              <w:t xml:space="preserve">Antwort: Die Notfall-Reserve-Kapazität ist als Kenngröße dafür nicht geeignet, da sie hauptsächlich </w:t>
            </w:r>
            <w:proofErr w:type="spellStart"/>
            <w:r>
              <w:rPr>
                <w:lang w:val="de-DE"/>
              </w:rPr>
              <w:t>low</w:t>
            </w:r>
            <w:proofErr w:type="spellEnd"/>
            <w:r>
              <w:rPr>
                <w:lang w:val="de-DE"/>
              </w:rPr>
              <w:t>-care ITS Betten beinhaltet. Daher Orientierung an den Beatmung- und ECMO-Kapazitäten.</w:t>
            </w:r>
          </w:p>
          <w:p>
            <w:pPr>
              <w:pStyle w:val="Liste2"/>
              <w:numPr>
                <w:ilvl w:val="0"/>
                <w:numId w:val="0"/>
              </w:numPr>
              <w:rPr>
                <w:lang w:val="de-DE"/>
              </w:rPr>
            </w:pPr>
          </w:p>
          <w:p>
            <w:pPr>
              <w:pStyle w:val="Liste2"/>
              <w:numPr>
                <w:ilvl w:val="0"/>
                <w:numId w:val="0"/>
              </w:numPr>
              <w:rPr>
                <w:lang w:val="de-DE"/>
              </w:rPr>
            </w:pPr>
            <w:r>
              <w:rPr>
                <w:lang w:val="de-DE"/>
              </w:rPr>
              <w:t>Frage: Warum bleibt Anzahl verfügbarer ITS Betten konstant, obwohl COVID-19 ITS Patientenzahl stark ansteigt?</w:t>
            </w:r>
          </w:p>
          <w:p>
            <w:pPr>
              <w:pStyle w:val="Liste2"/>
              <w:numPr>
                <w:ilvl w:val="0"/>
                <w:numId w:val="0"/>
              </w:numPr>
              <w:rPr>
                <w:lang w:val="de-DE"/>
              </w:rPr>
            </w:pPr>
            <w:r>
              <w:rPr>
                <w:lang w:val="de-DE"/>
              </w:rPr>
              <w:t>Antwort: Anteil von Non-COVID-19 Patienten wird gedrückt, z.B. durch Verschiebung von Operationen. Um das zu illustrieren, ist eine neue Grafik notwendig</w:t>
            </w:r>
          </w:p>
          <w:p>
            <w:pPr>
              <w:pStyle w:val="Liste2"/>
              <w:numPr>
                <w:ilvl w:val="0"/>
                <w:numId w:val="0"/>
              </w:numPr>
              <w:rPr>
                <w:lang w:val="de-DE"/>
              </w:rPr>
            </w:pPr>
          </w:p>
          <w:p>
            <w:pPr>
              <w:pStyle w:val="Liste2"/>
              <w:numPr>
                <w:ilvl w:val="0"/>
                <w:numId w:val="0"/>
              </w:numPr>
              <w:rPr>
                <w:b/>
                <w:lang w:val="de-DE"/>
              </w:rPr>
            </w:pPr>
            <w:r>
              <w:rPr>
                <w:b/>
                <w:lang w:val="de-DE"/>
              </w:rPr>
              <w:t>ToDo1</w:t>
            </w:r>
          </w:p>
          <w:p>
            <w:pPr>
              <w:pStyle w:val="Liste2"/>
              <w:numPr>
                <w:ilvl w:val="0"/>
                <w:numId w:val="0"/>
              </w:numPr>
              <w:rPr>
                <w:i/>
                <w:lang w:val="de-DE"/>
              </w:rPr>
            </w:pPr>
            <w:r>
              <w:rPr>
                <w:i/>
                <w:lang w:val="de-DE"/>
              </w:rPr>
              <w:t>Graphische Darstellung des Verlaufs COVID-19/Non-COVID-19 ITS Patienten und der Verfügbarkeit freier ECMO-Betten (Fischer)</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FG32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Hamouda</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(Dokument </w:t>
            </w:r>
            <w:hyperlink r:id="rId17" w:history="1">
              <w:r>
                <w:rPr>
                  <w:rStyle w:val="Hyperlink"/>
                </w:rPr>
                <w:t>hier</w:t>
              </w:r>
            </w:hyperlink>
            <w:r>
              <w:t>):</w:t>
            </w:r>
          </w:p>
          <w:p>
            <w:pPr>
              <w:pStyle w:val="Liste1"/>
            </w:pPr>
            <w:r>
              <w:t xml:space="preserve">Fokus wurde auf Grundimmunisierung statt wie bisher auf </w:t>
            </w:r>
            <w:proofErr w:type="spellStart"/>
            <w:r>
              <w:t>Boosterimpfung</w:t>
            </w:r>
            <w:proofErr w:type="spellEnd"/>
            <w:r>
              <w:t xml:space="preserve"> verschoben</w:t>
            </w:r>
          </w:p>
          <w:p>
            <w:pPr>
              <w:pStyle w:val="Liste1"/>
            </w:pPr>
            <w:r>
              <w:t>Hervorhebung der Belastung des Gesundheitssystems</w:t>
            </w:r>
          </w:p>
          <w:p>
            <w:pPr>
              <w:pStyle w:val="Liste1"/>
            </w:pPr>
            <w:r>
              <w:t>ärztliche Konsultation ggf. Therapieoptionen wahrnehmen: „</w:t>
            </w:r>
            <w:r>
              <w:rPr>
                <w:rFonts w:ascii="Times New Roman" w:eastAsia="Times New Roman" w:hAnsi="Times New Roman" w:cs="Times New Roman"/>
                <w:sz w:val="24"/>
                <w:szCs w:val="24"/>
                <w:lang w:eastAsia="de-DE"/>
              </w:rPr>
              <w:t xml:space="preserve">Durch frühzeitige ärztliche Konsultation können individuell therapeutische Möglichkeiten geprüft werden (z.B. antivirale Therapie). Die Therapie schwerer Krankheitsverläufe ist </w:t>
            </w:r>
            <w:r>
              <w:rPr>
                <w:rFonts w:ascii="Times New Roman" w:eastAsia="Times New Roman" w:hAnsi="Times New Roman" w:cs="Times New Roman"/>
                <w:sz w:val="24"/>
                <w:szCs w:val="24"/>
                <w:lang w:eastAsia="de-DE"/>
              </w:rPr>
              <w:lastRenderedPageBreak/>
              <w:t>komplex und erst wenige Therapieansätze haben sich hier in klinischen Studien als wirksam erwiesen.“</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Aktivitäten neu: Webseite aktualisiert zu neuen Entwicklungen, z.B. Novellierung Infektionsschutzgesetzt, STIKO Empfehlung</w:t>
            </w:r>
          </w:p>
          <w:p>
            <w:pPr>
              <w:pStyle w:val="Liste1"/>
            </w:pPr>
            <w:r>
              <w:t>Merkblatt zum Verhalten über die Feiertage: Impfschutz, AHA-L, Testung, Kontaktreduzierung, Boostern</w:t>
            </w:r>
          </w:p>
          <w:p>
            <w:pPr>
              <w:pStyle w:val="Liste1"/>
            </w:pPr>
            <w:r>
              <w:t>Info zur EMA Zulassung für Kinder ab 5 Jahren</w:t>
            </w:r>
          </w:p>
          <w:p>
            <w:pPr>
              <w:pStyle w:val="Liste1"/>
            </w:pPr>
            <w:r>
              <w:t>Flyer zu 2G/3G/2G+</w:t>
            </w:r>
          </w:p>
          <w:p>
            <w:pPr>
              <w:pStyle w:val="Liste1"/>
              <w:numPr>
                <w:ilvl w:val="0"/>
                <w:numId w:val="0"/>
              </w:numPr>
              <w:ind w:left="473" w:hanging="360"/>
            </w:pPr>
          </w:p>
          <w:p>
            <w:pPr>
              <w:pStyle w:val="Liste1"/>
              <w:numPr>
                <w:ilvl w:val="0"/>
                <w:numId w:val="0"/>
              </w:numPr>
              <w:ind w:left="473" w:hanging="360"/>
            </w:pPr>
            <w:r>
              <w:t>Frage aus Krisenstab: Was wird unter 2G+ verstanden? Antwort: Definition unbekannt, Vorschlag aus Krisenstab wird gern übernommen</w:t>
            </w:r>
          </w:p>
          <w:p>
            <w:pPr>
              <w:pStyle w:val="2"/>
            </w:pPr>
            <w:r>
              <w:t>Presse</w:t>
            </w:r>
          </w:p>
          <w:p>
            <w:pPr>
              <w:pStyle w:val="Liste1"/>
            </w:pPr>
            <w:r>
              <w:t>Wahrscheinliche Überschreitung der 100.000 Marke an Verstorbenen am nächsten Tag, daher ggf. ein Twitter Thread dazu und zum Ausgleich kein Begleit-Tweet zum Wochenbericht</w:t>
            </w:r>
          </w:p>
          <w:p>
            <w:pPr>
              <w:pStyle w:val="Liste1"/>
            </w:pPr>
            <w:r>
              <w:t xml:space="preserve">erfolgreiches Hintergrundgespräch für Journalisten zur Hospitalisierungsinzidenz durchgeführt durch </w:t>
            </w:r>
            <w:proofErr w:type="spellStart"/>
            <w:r>
              <w:t>Hamouda</w:t>
            </w:r>
            <w:proofErr w:type="spellEnd"/>
            <w:r>
              <w:t>, Diercke und M. an der Heiden</w:t>
            </w:r>
          </w:p>
          <w:p>
            <w:pPr>
              <w:pStyle w:val="2"/>
            </w:pPr>
            <w:r>
              <w:t>P1</w:t>
            </w:r>
          </w:p>
          <w:p>
            <w:pPr>
              <w:pStyle w:val="Liste1"/>
              <w:rPr>
                <w:i/>
              </w:rPr>
            </w:pPr>
            <w:r>
              <w:t>Diskussion über 2G/3G Flyer (</w:t>
            </w:r>
            <w:hyperlink r:id="rId18" w:history="1">
              <w:r>
                <w:rPr>
                  <w:rStyle w:val="Hyperlink"/>
                </w:rPr>
                <w:t>hier</w:t>
              </w:r>
            </w:hyperlink>
            <w:r>
              <w:t>)</w:t>
            </w:r>
          </w:p>
          <w:p>
            <w:pPr>
              <w:pStyle w:val="Liste1"/>
              <w:rPr>
                <w:i/>
              </w:rPr>
            </w:pPr>
            <w:r>
              <w:t>Ersetzten des begriffs ‚Veranstaltung‘ durch ‚Treffen/Zusammenkünfte‘</w:t>
            </w:r>
          </w:p>
          <w:p>
            <w:pPr>
              <w:pStyle w:val="Liste1"/>
              <w:rPr>
                <w:i/>
              </w:rPr>
            </w:pPr>
            <w:r>
              <w:t>Streichen der 2G/3G-Personengrafik nach langer Diskussion, da Grafik häufig zu Missverständnissen führt und Anteile stark Inzidenzabhängig sind</w:t>
            </w:r>
          </w:p>
          <w:p>
            <w:pPr>
              <w:pStyle w:val="Liste1"/>
              <w:rPr>
                <w:i/>
              </w:rPr>
            </w:pPr>
            <w:r>
              <w:t>Weitere Illustrationen überprüfen und ggf. streichen: z.B. Entfernen des Probentropfens in Schnelltest-Bild, Entfernen des Bilds mit dem Pärchen mit Maske auf dem Sofa</w:t>
            </w:r>
          </w:p>
          <w:p>
            <w:pPr>
              <w:pStyle w:val="Liste1"/>
              <w:rPr>
                <w:i/>
              </w:rPr>
            </w:pPr>
            <w:r>
              <w:t>Da Eingangs bereits erwähnt wird, dass das Tragen von Masken wichtig ist, soll darauf unter 5. nicht mehr eingegangen werden</w:t>
            </w:r>
          </w:p>
          <w:p>
            <w:pPr>
              <w:pStyle w:val="Liste1"/>
              <w:rPr>
                <w:i/>
              </w:rPr>
            </w:pPr>
            <w:r>
              <w:t>Unter 5. nicht auf Alten- und Pflegeheime eingehen, da diese eigene SOPs haben, Nur auf private Treffen außerhalb des eigenen Haushalts eingehen</w:t>
            </w:r>
          </w:p>
          <w:p>
            <w:pPr>
              <w:pStyle w:val="Liste1"/>
              <w:numPr>
                <w:ilvl w:val="0"/>
                <w:numId w:val="0"/>
              </w:numPr>
              <w:ind w:left="473" w:hanging="360"/>
              <w:rPr>
                <w:i/>
              </w:rPr>
            </w:pPr>
          </w:p>
          <w:p>
            <w:pPr>
              <w:pStyle w:val="Liste1"/>
              <w:numPr>
                <w:ilvl w:val="0"/>
                <w:numId w:val="0"/>
              </w:numPr>
              <w:ind w:left="473" w:hanging="360"/>
              <w:rPr>
                <w:b/>
              </w:rPr>
            </w:pPr>
            <w:r>
              <w:rPr>
                <w:b/>
              </w:rPr>
              <w:t>ToDo2</w:t>
            </w:r>
          </w:p>
          <w:p>
            <w:pPr>
              <w:pStyle w:val="Liste1"/>
              <w:numPr>
                <w:ilvl w:val="0"/>
                <w:numId w:val="0"/>
              </w:numPr>
              <w:ind w:left="473" w:hanging="360"/>
              <w:rPr>
                <w:i/>
              </w:rPr>
            </w:pPr>
            <w:r>
              <w:rPr>
                <w:i/>
              </w:rPr>
              <w:t>Bitte das ‚+‘ bei 2G+ definieren: Es handelt sich um Geimpfte oder Genesene, die zusätzlich negativ getestet sind. Nicht auf Art der Testung eingehen. Mit P1 2G/3G Flyer (Leuker) abstimmen. (Ommen)</w:t>
            </w:r>
          </w:p>
        </w:tc>
        <w:tc>
          <w:tcPr>
            <w:tcW w:w="1463" w:type="dxa"/>
          </w:tcPr>
          <w:p>
            <w:pPr>
              <w:rPr>
                <w:sz w:val="22"/>
                <w:szCs w:val="22"/>
              </w:rPr>
            </w:pPr>
          </w:p>
          <w:p>
            <w:pPr>
              <w:rPr>
                <w:sz w:val="22"/>
                <w:szCs w:val="22"/>
              </w:rPr>
            </w:pPr>
            <w:r>
              <w:rPr>
                <w:sz w:val="22"/>
                <w:szCs w:val="22"/>
              </w:rPr>
              <w:t>BZgA (Ommen)</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 (Leuker)</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nabsatz"/>
              <w:numPr>
                <w:ilvl w:val="0"/>
                <w:numId w:val="47"/>
              </w:numPr>
            </w:pPr>
            <w:r>
              <w:lastRenderedPageBreak/>
              <w:t xml:space="preserve">1. Verschiedene Datenangebote zur Hospitalisierungsinzidenz: Was soll das RKI kommunizieren, wie häufig, auf welcher geographischen Ebene? (7-Tageswert tagesaktuell, eingefroren, nachkorrigiert, </w:t>
            </w:r>
            <w:proofErr w:type="spellStart"/>
            <w:r>
              <w:t>Nowcast</w:t>
            </w:r>
            <w:proofErr w:type="spellEnd"/>
            <w:r>
              <w:t>…)</w:t>
            </w:r>
          </w:p>
          <w:p>
            <w:pPr>
              <w:pStyle w:val="Liste1"/>
            </w:pPr>
            <w:r>
              <w:t>Diskussion über die Darstellung der Hospitalisierungsinzidenz für die einzelnen Bundesländer</w:t>
            </w:r>
          </w:p>
          <w:p>
            <w:pPr>
              <w:pStyle w:val="Liste1"/>
            </w:pPr>
            <w:r>
              <w:t>Es wurde angeregt, im Vorfeld zu klären, welcher Wert Maßgeblich für Regelungen sei, dies aber im Laufe der Diskussion wieder verworfen, da BL oft eigene Werte heranziehen. Stattdessen sollen alle verfügbaren Werte ähnlich wie beim R-Wert täglich veröffentlicht werden und ggf. eine regelmäßige Einschätzung erfolgen, wie die Werte zu interpretieren sind. Der eingefrorene Wert sollte als Richtwert empfohlen werden</w:t>
            </w:r>
          </w:p>
          <w:p>
            <w:pPr>
              <w:pStyle w:val="Liste1"/>
            </w:pPr>
            <w:r>
              <w:t>Durch die Veröffentlichung aller Werte soll verdeutlicht werden, dass die aktuelle Untererfassung der tatsächlichen Hospitalisierungsinzidenz nicht durch das RKI zu verantworten ist, sondern durch die unvollständige Meldung der Länder</w:t>
            </w:r>
          </w:p>
          <w:p>
            <w:pPr>
              <w:pStyle w:val="Liste1"/>
              <w:numPr>
                <w:ilvl w:val="0"/>
                <w:numId w:val="0"/>
              </w:numPr>
              <w:ind w:left="113"/>
            </w:pPr>
          </w:p>
          <w:p>
            <w:pPr>
              <w:pStyle w:val="Listenabsatz"/>
              <w:numPr>
                <w:ilvl w:val="0"/>
                <w:numId w:val="47"/>
              </w:numPr>
              <w:spacing w:after="200"/>
            </w:pPr>
            <w:r>
              <w:t>2. Anliegen aus der AGI: Wegfall von PCR-Testindikationen zur Entlastung der PCR-Kapazitäten</w:t>
            </w:r>
          </w:p>
          <w:p>
            <w:pPr>
              <w:pStyle w:val="Liste1"/>
              <w:numPr>
                <w:ilvl w:val="0"/>
                <w:numId w:val="0"/>
              </w:numPr>
              <w:ind w:left="113"/>
            </w:pPr>
            <w:r>
              <w:t xml:space="preserve">Es wurde aus der AGI angeregt, dass Ermöglichungstests, z.B. Freitestung nach Quarantäne, 2G+ und Pooltestung an Schulen nicht mehr empfohlen werden. Nach einer Diskussion wurde entschieden, dass auf die nationale Teststrategie verwiesen wird mit einem Disclaimer, dass die BL je nach Kapazität davon abweichen dürfen. RKI Papiere dazu (Kontaktpersonennachverfolgung, </w:t>
            </w:r>
            <w:proofErr w:type="spellStart"/>
            <w:r>
              <w:t>Entlassmanagement</w:t>
            </w:r>
            <w:proofErr w:type="spellEnd"/>
            <w:r>
              <w:t>, Testkonzepte für Schulen) werden aus diesem Anlass nicht geändert.</w:t>
            </w:r>
          </w:p>
          <w:p>
            <w:pPr>
              <w:pStyle w:val="Liste1"/>
              <w:numPr>
                <w:ilvl w:val="0"/>
                <w:numId w:val="0"/>
              </w:numPr>
              <w:ind w:left="473" w:hanging="360"/>
            </w:pPr>
          </w:p>
          <w:p>
            <w:pPr>
              <w:pStyle w:val="Liste1"/>
              <w:numPr>
                <w:ilvl w:val="0"/>
                <w:numId w:val="47"/>
              </w:numPr>
            </w:pPr>
            <w:r>
              <w:t>3. AG zur Antiviralen Therapie</w:t>
            </w:r>
          </w:p>
          <w:p>
            <w:pPr>
              <w:pStyle w:val="Liste1"/>
              <w:numPr>
                <w:ilvl w:val="0"/>
                <w:numId w:val="0"/>
              </w:numPr>
              <w:ind w:left="360"/>
            </w:pPr>
            <w:r>
              <w:t>Herr Schade regt an, dass sich eine Arbeitsgruppe bildet, die sich ergebnisoffen damit auseinandersetzt, ob das RKI eine antivirale Therapie aus Public Health Gesichtspunkten empfehlen kann oder nicht. Es sollen Aspekte der Frühtherapie und Prophylaxe (Chemo- Prophylaxe als Auftrag der STIKO) berücksichtig werden.</w:t>
            </w:r>
          </w:p>
          <w:p>
            <w:pPr>
              <w:pStyle w:val="2"/>
            </w:pPr>
            <w:r>
              <w:t>RKI-intern</w:t>
            </w:r>
          </w:p>
          <w:p>
            <w:pPr>
              <w:pStyle w:val="Liste1"/>
              <w:numPr>
                <w:ilvl w:val="0"/>
                <w:numId w:val="0"/>
              </w:numPr>
            </w:pPr>
            <w:r>
              <w:t>nicht berichtet</w:t>
            </w:r>
          </w:p>
          <w:p>
            <w:pPr>
              <w:pStyle w:val="Liste1"/>
              <w:numPr>
                <w:ilvl w:val="0"/>
                <w:numId w:val="0"/>
              </w:numPr>
            </w:pPr>
          </w:p>
          <w:p>
            <w:pPr>
              <w:pStyle w:val="Liste1"/>
              <w:numPr>
                <w:ilvl w:val="0"/>
                <w:numId w:val="0"/>
              </w:numPr>
              <w:rPr>
                <w:b/>
              </w:rPr>
            </w:pPr>
            <w:r>
              <w:rPr>
                <w:b/>
              </w:rPr>
              <w:t>ToDo3</w:t>
            </w:r>
          </w:p>
          <w:p>
            <w:pPr>
              <w:pStyle w:val="Liste1"/>
              <w:numPr>
                <w:ilvl w:val="0"/>
                <w:numId w:val="0"/>
              </w:numPr>
              <w:rPr>
                <w:i/>
              </w:rPr>
            </w:pPr>
            <w:r>
              <w:rPr>
                <w:i/>
              </w:rPr>
              <w:t xml:space="preserve">Tägliche Veröffentlichung der </w:t>
            </w:r>
            <w:proofErr w:type="spellStart"/>
            <w:r>
              <w:rPr>
                <w:i/>
              </w:rPr>
              <w:t>Nowcasting</w:t>
            </w:r>
            <w:proofErr w:type="spellEnd"/>
            <w:r>
              <w:rPr>
                <w:i/>
              </w:rPr>
              <w:t>-, adjustierten sowie eingefrorenen Werte für die 7-Tage-Hospitalisierungsinzidenz (Diercke, Rexroth)</w:t>
            </w:r>
          </w:p>
          <w:p>
            <w:pPr>
              <w:pStyle w:val="Liste1"/>
              <w:numPr>
                <w:ilvl w:val="0"/>
                <w:numId w:val="0"/>
              </w:numPr>
              <w:rPr>
                <w:i/>
              </w:rPr>
            </w:pPr>
          </w:p>
          <w:p>
            <w:pPr>
              <w:pStyle w:val="Liste1"/>
              <w:numPr>
                <w:ilvl w:val="0"/>
                <w:numId w:val="0"/>
              </w:numPr>
              <w:rPr>
                <w:b/>
              </w:rPr>
            </w:pPr>
            <w:r>
              <w:rPr>
                <w:b/>
              </w:rPr>
              <w:t>ToDo4</w:t>
            </w:r>
          </w:p>
          <w:p>
            <w:pPr>
              <w:pStyle w:val="Liste1"/>
              <w:numPr>
                <w:ilvl w:val="0"/>
                <w:numId w:val="0"/>
              </w:numPr>
              <w:rPr>
                <w:i/>
              </w:rPr>
            </w:pPr>
            <w:r>
              <w:rPr>
                <w:i/>
              </w:rPr>
              <w:t xml:space="preserve">Textvorlage zur Testindikation </w:t>
            </w:r>
            <w:r>
              <w:rPr>
                <w:i/>
                <w:highlight w:val="yellow"/>
              </w:rPr>
              <w:t>(für Wochenbericht?)</w:t>
            </w:r>
            <w:r>
              <w:rPr>
                <w:i/>
              </w:rPr>
              <w:t xml:space="preserve"> von J. Seifried (siehe letzte Folie </w:t>
            </w:r>
            <w:hyperlink r:id="rId19" w:history="1">
              <w:r>
                <w:rPr>
                  <w:rStyle w:val="Hyperlink"/>
                  <w:i/>
                </w:rPr>
                <w:t>Testzahl</w:t>
              </w:r>
              <w:bookmarkStart w:id="1" w:name="_GoBack"/>
              <w:bookmarkEnd w:id="1"/>
              <w:r>
                <w:rPr>
                  <w:rStyle w:val="Hyperlink"/>
                  <w:i/>
                </w:rPr>
                <w:t>e</w:t>
              </w:r>
              <w:r>
                <w:rPr>
                  <w:rStyle w:val="Hyperlink"/>
                  <w:i/>
                </w:rPr>
                <w:t>rfassung</w:t>
              </w:r>
            </w:hyperlink>
            <w:r>
              <w:rPr>
                <w:i/>
              </w:rPr>
              <w:t>) um einen Disclaimer ergänzen (Seifried, Mielke, Haas)</w:t>
            </w:r>
          </w:p>
          <w:p>
            <w:pPr>
              <w:pStyle w:val="Liste1"/>
              <w:numPr>
                <w:ilvl w:val="0"/>
                <w:numId w:val="0"/>
              </w:numPr>
              <w:rPr>
                <w:b/>
              </w:rPr>
            </w:pPr>
          </w:p>
          <w:p>
            <w:pPr>
              <w:pStyle w:val="Liste1"/>
              <w:numPr>
                <w:ilvl w:val="0"/>
                <w:numId w:val="0"/>
              </w:numPr>
              <w:rPr>
                <w:b/>
              </w:rPr>
            </w:pPr>
            <w:r>
              <w:rPr>
                <w:b/>
              </w:rPr>
              <w:lastRenderedPageBreak/>
              <w:t>ToDo5</w:t>
            </w:r>
          </w:p>
          <w:p>
            <w:pPr>
              <w:pStyle w:val="Liste1"/>
              <w:numPr>
                <w:ilvl w:val="0"/>
                <w:numId w:val="0"/>
              </w:numPr>
              <w:rPr>
                <w:i/>
              </w:rPr>
            </w:pPr>
            <w:r>
              <w:rPr>
                <w:i/>
              </w:rPr>
              <w:t xml:space="preserve">Arbeitsgruppe bilden, die sich damit beschäftigt, ob eine antivirale Therapie aus Public Health Sicht z.B. zur Chemo-Prophylaxe, empfohlen werden kann oder nicht. Nach Fertigstellung soll eine Abstimmung mit FG33 und Fachgesellschaften erfolgen. Erstes Zwischenergebnis vor Weihnachten im Krisenstab präsentieren. Federführung der AG: </w:t>
            </w:r>
            <w:proofErr w:type="spellStart"/>
            <w:r>
              <w:rPr>
                <w:i/>
              </w:rPr>
              <w:t>Niebank</w:t>
            </w:r>
            <w:proofErr w:type="spellEnd"/>
            <w:r>
              <w:rPr>
                <w:i/>
              </w:rPr>
              <w:t>, Zuarbeit durch: ZBS7, FG36, FG17 (Oh), Abstimmung mit FG33, Fachgesellschaften</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lastRenderedPageBreak/>
              <w:t>Abt. 3</w:t>
            </w:r>
            <w:r>
              <w:rPr>
                <w:sz w:val="22"/>
                <w:szCs w:val="22"/>
                <w:lang w:val="en-GB"/>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rPr>
                <w:lang w:val="de-DE"/>
              </w:rP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lastRenderedPageBreak/>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Freitag, 26.11.2021,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726"/>
    <w:multiLevelType w:val="hybridMultilevel"/>
    <w:tmpl w:val="51F6DF6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DD2A2C0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AB08AF"/>
    <w:multiLevelType w:val="hybridMultilevel"/>
    <w:tmpl w:val="2D72DAFA"/>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1"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7"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6"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5"/>
  </w:num>
  <w:num w:numId="3">
    <w:abstractNumId w:val="4"/>
  </w:num>
  <w:num w:numId="4">
    <w:abstractNumId w:val="22"/>
  </w:num>
  <w:num w:numId="5">
    <w:abstractNumId w:val="10"/>
  </w:num>
  <w:num w:numId="6">
    <w:abstractNumId w:val="23"/>
  </w:num>
  <w:num w:numId="7">
    <w:abstractNumId w:val="29"/>
  </w:num>
  <w:num w:numId="8">
    <w:abstractNumId w:val="17"/>
  </w:num>
  <w:num w:numId="9">
    <w:abstractNumId w:val="6"/>
  </w:num>
  <w:num w:numId="10">
    <w:abstractNumId w:val="34"/>
  </w:num>
  <w:num w:numId="11">
    <w:abstractNumId w:val="28"/>
  </w:num>
  <w:num w:numId="12">
    <w:abstractNumId w:val="19"/>
  </w:num>
  <w:num w:numId="13">
    <w:abstractNumId w:val="16"/>
  </w:num>
  <w:num w:numId="14">
    <w:abstractNumId w:val="24"/>
  </w:num>
  <w:num w:numId="15">
    <w:abstractNumId w:val="21"/>
  </w:num>
  <w:num w:numId="16">
    <w:abstractNumId w:val="1"/>
  </w:num>
  <w:num w:numId="17">
    <w:abstractNumId w:val="15"/>
  </w:num>
  <w:num w:numId="18">
    <w:abstractNumId w:val="32"/>
  </w:num>
  <w:num w:numId="19">
    <w:abstractNumId w:val="13"/>
  </w:num>
  <w:num w:numId="20">
    <w:abstractNumId w:val="30"/>
  </w:num>
  <w:num w:numId="21">
    <w:abstractNumId w:val="9"/>
  </w:num>
  <w:num w:numId="22">
    <w:abstractNumId w:val="11"/>
  </w:num>
  <w:num w:numId="23">
    <w:abstractNumId w:val="3"/>
  </w:num>
  <w:num w:numId="24">
    <w:abstractNumId w:val="25"/>
  </w:num>
  <w:num w:numId="25">
    <w:abstractNumId w:val="18"/>
  </w:num>
  <w:num w:numId="26">
    <w:abstractNumId w:val="2"/>
  </w:num>
  <w:num w:numId="27">
    <w:abstractNumId w:val="27"/>
  </w:num>
  <w:num w:numId="28">
    <w:abstractNumId w:val="33"/>
  </w:num>
  <w:num w:numId="29">
    <w:abstractNumId w:val="17"/>
  </w:num>
  <w:num w:numId="30">
    <w:abstractNumId w:val="17"/>
  </w:num>
  <w:num w:numId="31">
    <w:abstractNumId w:val="31"/>
  </w:num>
  <w:num w:numId="32">
    <w:abstractNumId w:val="26"/>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0"/>
  </w:num>
  <w:num w:numId="41">
    <w:abstractNumId w:val="10"/>
  </w:num>
  <w:num w:numId="42">
    <w:abstractNumId w:val="8"/>
  </w:num>
  <w:num w:numId="43">
    <w:abstractNumId w:val="35"/>
  </w:num>
  <w:num w:numId="44">
    <w:abstractNumId w:val="12"/>
  </w:num>
  <w:num w:numId="45">
    <w:abstractNumId w:val="36"/>
  </w:num>
  <w:num w:numId="46">
    <w:abstractNumId w:val="20"/>
  </w:num>
  <w:num w:numId="4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2G3G_Flyer_Nov_2311_v1.pdf"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RKI-Risikobewertung-COVID_2021-11-24-Krisenstab.docx" TargetMode="External"/><Relationship Id="rId2" Type="http://schemas.openxmlformats.org/officeDocument/2006/relationships/numbering" Target="numbering.xml"/><Relationship Id="rId16" Type="http://schemas.openxmlformats.org/officeDocument/2006/relationships/hyperlink" Target="2021-11-24_Intensivregister_SPoCK.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Testzahlerfassung%20am%20RKI_2021-11-24_SB_JS.pptx" TargetMode="External"/><Relationship Id="rId10" Type="http://schemas.openxmlformats.org/officeDocument/2006/relationships/footer" Target="footer1.xml"/><Relationship Id="rId19" Type="http://schemas.openxmlformats.org/officeDocument/2006/relationships/hyperlink" Target="Testzahlerfassung%20am%20RKI_2021-11-24_SB_JS.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1-11-24.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49AF8-4D7E-4562-A287-70824B6B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1368</Words>
  <Characters>8620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15</cp:revision>
  <cp:lastPrinted>2020-05-06T16:43:00Z</cp:lastPrinted>
  <dcterms:created xsi:type="dcterms:W3CDTF">2021-11-24T13:55:00Z</dcterms:created>
  <dcterms:modified xsi:type="dcterms:W3CDTF">2021-11-24T19:48:00Z</dcterms:modified>
</cp:coreProperties>
</file>