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01.12.2021,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Moderation: Osamah Hamouda</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contextualSpacing w:val="0"/>
        <w:rPr>
          <w:sz w:val="22"/>
          <w:szCs w:val="22"/>
        </w:rPr>
      </w:pPr>
      <w:r>
        <w:rPr>
          <w:sz w:val="22"/>
          <w:szCs w:val="22"/>
        </w:rPr>
        <w:t>Lars Schaade</w:t>
      </w:r>
    </w:p>
    <w:p>
      <w:pPr>
        <w:pStyle w:val="Listenabsatz"/>
        <w:numPr>
          <w:ilvl w:val="1"/>
          <w:numId w:val="2"/>
        </w:numPr>
        <w:spacing w:after="0"/>
        <w:rPr>
          <w:sz w:val="22"/>
          <w:szCs w:val="22"/>
        </w:rPr>
      </w:pPr>
      <w:r>
        <w:rPr>
          <w:sz w:val="22"/>
          <w:szCs w:val="22"/>
        </w:rPr>
        <w:t xml:space="preserve">Esther-Maria </w:t>
      </w:r>
      <w:proofErr w:type="spellStart"/>
      <w:r>
        <w:rPr>
          <w:sz w:val="22"/>
          <w:szCs w:val="22"/>
        </w:rPr>
        <w:t>Antão</w:t>
      </w:r>
      <w:proofErr w:type="spellEnd"/>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szCs w:val="22"/>
        </w:rPr>
      </w:pPr>
      <w:r>
        <w:rPr>
          <w:sz w:val="22"/>
          <w:szCs w:val="22"/>
        </w:rPr>
        <w:t>Thomas Ziese</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0"/>
          <w:numId w:val="2"/>
        </w:numPr>
        <w:spacing w:after="0"/>
        <w:contextualSpacing w:val="0"/>
        <w:rPr>
          <w:sz w:val="22"/>
          <w:szCs w:val="22"/>
        </w:rPr>
      </w:pPr>
      <w:r>
        <w:rPr>
          <w:sz w:val="22"/>
          <w:szCs w:val="22"/>
        </w:rPr>
        <w:t>FG13</w:t>
      </w:r>
    </w:p>
    <w:p>
      <w:pPr>
        <w:pStyle w:val="Listenabsatz"/>
        <w:numPr>
          <w:ilvl w:val="1"/>
          <w:numId w:val="2"/>
        </w:numPr>
        <w:spacing w:after="0" w:line="233" w:lineRule="auto"/>
        <w:contextualSpacing w:val="0"/>
        <w:rPr>
          <w:sz w:val="22"/>
          <w:szCs w:val="22"/>
        </w:rPr>
      </w:pPr>
      <w:r>
        <w:rPr>
          <w:sz w:val="22"/>
          <w:szCs w:val="22"/>
        </w:rPr>
        <w:t>Stephan Fuchs</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Mardjan Arvand</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Ralf Dürrwald</w:t>
      </w:r>
    </w:p>
    <w:p>
      <w:pPr>
        <w:pStyle w:val="Listenabsatz"/>
        <w:numPr>
          <w:ilvl w:val="1"/>
          <w:numId w:val="2"/>
        </w:numPr>
        <w:spacing w:after="0"/>
        <w:contextualSpacing w:val="0"/>
        <w:rPr>
          <w:sz w:val="22"/>
          <w:szCs w:val="22"/>
        </w:rPr>
      </w:pPr>
      <w:r>
        <w:rPr>
          <w:sz w:val="22"/>
          <w:szCs w:val="22"/>
        </w:rPr>
        <w:t>Djin-Ye Oh</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 xml:space="preserve">Wolfgang </w:t>
      </w:r>
      <w:r>
        <w:rPr>
          <w:rStyle w:val="highlight"/>
          <w:sz w:val="22"/>
          <w:szCs w:val="22"/>
        </w:rPr>
        <w:t>Scheida</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1"/>
          <w:numId w:val="2"/>
        </w:numPr>
        <w:spacing w:after="0"/>
        <w:contextualSpacing w:val="0"/>
        <w:rPr>
          <w:sz w:val="22"/>
        </w:rPr>
      </w:pPr>
      <w:r>
        <w:rPr>
          <w:sz w:val="22"/>
        </w:rPr>
        <w:t xml:space="preserve">Justus </w:t>
      </w:r>
      <w:proofErr w:type="spellStart"/>
      <w:r>
        <w:rPr>
          <w:sz w:val="22"/>
        </w:rPr>
        <w:t>Benzler</w:t>
      </w:r>
      <w:proofErr w:type="spellEnd"/>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 xml:space="preserve">Thomas Harder </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spacing w:after="0"/>
        <w:rPr>
          <w:sz w:val="22"/>
          <w:szCs w:val="22"/>
        </w:rPr>
      </w:pP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1"/>
          <w:numId w:val="2"/>
        </w:numPr>
        <w:spacing w:after="0"/>
        <w:contextualSpacing w:val="0"/>
        <w:rPr>
          <w:sz w:val="22"/>
          <w:szCs w:val="22"/>
        </w:rPr>
      </w:pPr>
      <w:r>
        <w:rPr>
          <w:sz w:val="22"/>
          <w:szCs w:val="22"/>
        </w:rPr>
        <w:t>Kristin Tolksdorf</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1"/>
          <w:numId w:val="2"/>
        </w:numPr>
        <w:spacing w:after="0"/>
        <w:contextualSpacing w:val="0"/>
        <w:rPr>
          <w:sz w:val="22"/>
          <w:szCs w:val="22"/>
        </w:rPr>
      </w:pPr>
      <w:r>
        <w:rPr>
          <w:sz w:val="22"/>
          <w:szCs w:val="22"/>
        </w:rPr>
        <w:t>Muna Abu Sin</w:t>
      </w:r>
    </w:p>
    <w:p>
      <w:pPr>
        <w:pStyle w:val="Listenabsatz"/>
        <w:numPr>
          <w:ilvl w:val="1"/>
          <w:numId w:val="2"/>
        </w:numPr>
        <w:spacing w:after="0"/>
        <w:contextualSpacing w:val="0"/>
        <w:rPr>
          <w:sz w:val="22"/>
          <w:szCs w:val="22"/>
        </w:rPr>
      </w:pPr>
      <w:r>
        <w:rPr>
          <w:sz w:val="22"/>
          <w:szCs w:val="22"/>
        </w:rPr>
        <w:t>Mirco Sandfort</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Renke Biallas (Protokoll)</w:t>
      </w:r>
    </w:p>
    <w:p>
      <w:pPr>
        <w:pStyle w:val="Listenabsatz"/>
        <w:numPr>
          <w:ilvl w:val="1"/>
          <w:numId w:val="2"/>
        </w:numPr>
        <w:spacing w:after="0"/>
        <w:contextualSpacing w:val="0"/>
        <w:rPr>
          <w:sz w:val="22"/>
          <w:szCs w:val="22"/>
        </w:rPr>
      </w:pPr>
      <w:r>
        <w:rPr>
          <w:sz w:val="22"/>
          <w:szCs w:val="22"/>
        </w:rPr>
        <w:t>Alba Mendez</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Christian Herzog</w:t>
      </w:r>
    </w:p>
    <w:p>
      <w:pPr>
        <w:pStyle w:val="Listenabsatz"/>
        <w:numPr>
          <w:ilvl w:val="0"/>
          <w:numId w:val="3"/>
        </w:numPr>
        <w:spacing w:after="0"/>
        <w:contextualSpacing w:val="0"/>
        <w:rPr>
          <w:sz w:val="22"/>
          <w:szCs w:val="22"/>
        </w:rPr>
      </w:pPr>
      <w:r>
        <w:rPr>
          <w:sz w:val="22"/>
          <w:szCs w:val="22"/>
        </w:rPr>
        <w:t>MF1</w:t>
      </w:r>
    </w:p>
    <w:p>
      <w:pPr>
        <w:pStyle w:val="Listenabsatz"/>
        <w:numPr>
          <w:ilvl w:val="1"/>
          <w:numId w:val="3"/>
        </w:numPr>
        <w:spacing w:after="0"/>
        <w:contextualSpacing w:val="0"/>
        <w:rPr>
          <w:sz w:val="22"/>
          <w:szCs w:val="22"/>
        </w:rPr>
      </w:pPr>
      <w:r>
        <w:rPr>
          <w:sz w:val="22"/>
          <w:szCs w:val="22"/>
        </w:rPr>
        <w:t>Thorsten Semmler</w:t>
      </w:r>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 xml:space="preserve">John </w:t>
      </w:r>
      <w:proofErr w:type="spellStart"/>
      <w:r>
        <w:rPr>
          <w:sz w:val="22"/>
          <w:szCs w:val="22"/>
        </w:rPr>
        <w:t>Gubernath</w:t>
      </w:r>
      <w:proofErr w:type="spellEnd"/>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Susanne Glasmacher</w:t>
      </w:r>
    </w:p>
    <w:p>
      <w:pPr>
        <w:pStyle w:val="Listenabsatz"/>
        <w:numPr>
          <w:ilvl w:val="1"/>
          <w:numId w:val="3"/>
        </w:numPr>
        <w:spacing w:after="0"/>
        <w:contextualSpacing w:val="0"/>
        <w:rPr>
          <w:sz w:val="22"/>
          <w:szCs w:val="22"/>
        </w:rPr>
      </w:pPr>
      <w:r>
        <w:rPr>
          <w:sz w:val="22"/>
          <w:szCs w:val="22"/>
        </w:rPr>
        <w:t>Marieke Degen</w:t>
      </w:r>
    </w:p>
    <w:p>
      <w:pPr>
        <w:pStyle w:val="Listenabsatz"/>
        <w:numPr>
          <w:ilvl w:val="1"/>
          <w:numId w:val="3"/>
        </w:numPr>
        <w:rPr>
          <w:sz w:val="22"/>
          <w:szCs w:val="22"/>
        </w:rPr>
      </w:pPr>
      <w:r>
        <w:rPr>
          <w:sz w:val="22"/>
          <w:szCs w:val="22"/>
        </w:rPr>
        <w:t xml:space="preserve">Ronja </w:t>
      </w:r>
      <w:proofErr w:type="spellStart"/>
      <w:r>
        <w:rPr>
          <w:sz w:val="22"/>
          <w:szCs w:val="22"/>
        </w:rPr>
        <w:t>Wenchel</w:t>
      </w:r>
      <w:proofErr w:type="spellEnd"/>
      <w:r>
        <w:rPr>
          <w:sz w:val="22"/>
          <w:szCs w:val="22"/>
        </w:rPr>
        <w:t xml:space="preserve"> </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Johanna Hanefeld</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sz w:val="22"/>
          <w:szCs w:val="22"/>
        </w:rPr>
        <w:t xml:space="preserve">Andrea </w:t>
      </w:r>
      <w:proofErr w:type="spellStart"/>
      <w:r>
        <w:rPr>
          <w:sz w:val="22"/>
          <w:szCs w:val="22"/>
        </w:rPr>
        <w:t>Rückle</w:t>
      </w:r>
      <w:proofErr w:type="spellEnd"/>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pStyle w:val="2"/>
            </w:pPr>
            <w:r>
              <w:t xml:space="preserve">National </w:t>
            </w:r>
          </w:p>
          <w:p>
            <w:pPr>
              <w:pStyle w:val="Liste1"/>
            </w:pPr>
            <w:r>
              <w:t xml:space="preserve">Fallzahlen, Todesfälle, Trend, Folien </w:t>
            </w:r>
            <w:hyperlink r:id="rId14" w:history="1">
              <w:r>
                <w:rPr>
                  <w:rStyle w:val="Hyperlink"/>
                </w:rPr>
                <w:t>hier</w:t>
              </w:r>
            </w:hyperlink>
          </w:p>
          <w:p>
            <w:pPr>
              <w:pStyle w:val="Liste1"/>
            </w:pPr>
            <w:proofErr w:type="spellStart"/>
            <w:r>
              <w:t>SurvNet</w:t>
            </w:r>
            <w:proofErr w:type="spellEnd"/>
            <w:r>
              <w:t xml:space="preserve"> übermittelt: </w:t>
            </w:r>
            <w:proofErr w:type="spellStart"/>
            <w:r>
              <w:t>SurvNet</w:t>
            </w:r>
            <w:proofErr w:type="spellEnd"/>
            <w:r>
              <w:t xml:space="preserve"> übermittelt: 5.903.999 (+67.186), davon 101.790 (+446) Todesfälle </w:t>
            </w:r>
          </w:p>
          <w:p>
            <w:pPr>
              <w:pStyle w:val="Liste1"/>
            </w:pPr>
            <w:r>
              <w:t>Anzahl der aktiven Fälle: 864.600 (+22.400)</w:t>
            </w:r>
          </w:p>
          <w:p>
            <w:pPr>
              <w:pStyle w:val="Liste1"/>
            </w:pPr>
            <w:r>
              <w:t xml:space="preserve">7-Tage-Inzidenz:  442,9/100.000 </w:t>
            </w:r>
            <w:proofErr w:type="spellStart"/>
            <w:r>
              <w:t>Einw</w:t>
            </w:r>
            <w:proofErr w:type="spellEnd"/>
            <w:r>
              <w:t>.</w:t>
            </w:r>
          </w:p>
          <w:p>
            <w:pPr>
              <w:pStyle w:val="Liste1"/>
            </w:pPr>
            <w:proofErr w:type="spellStart"/>
            <w:r>
              <w:t>Impfmonitoring</w:t>
            </w:r>
            <w:proofErr w:type="spellEnd"/>
            <w:r>
              <w:t>: Geimpfte mit 1. Dosis 59.407.188 (71,4%), mit vollständiger Impfung 57.024.545 (68,6%), davon 10.377.200 (12,5%) mit Booster-Impfung</w:t>
            </w:r>
          </w:p>
          <w:p>
            <w:pPr>
              <w:pStyle w:val="Liste1"/>
            </w:pPr>
            <w:r>
              <w:t>Verlauf der 7-Tage-Inzidenz der Bundesländer:</w:t>
            </w:r>
          </w:p>
          <w:p>
            <w:pPr>
              <w:pStyle w:val="Liste2"/>
              <w:rPr>
                <w:lang w:val="de-DE"/>
              </w:rPr>
            </w:pPr>
            <w:r>
              <w:rPr>
                <w:lang w:val="de-DE"/>
              </w:rPr>
              <w:t>Starker Rückgang in Sachsen, vermutlich nicht natürlich, sondern durch Kapazitätsmangel</w:t>
            </w:r>
          </w:p>
          <w:p>
            <w:pPr>
              <w:pStyle w:val="Liste2"/>
            </w:pPr>
            <w:proofErr w:type="spellStart"/>
            <w:r>
              <w:t>Abflachen</w:t>
            </w:r>
            <w:proofErr w:type="spellEnd"/>
            <w:r>
              <w:t xml:space="preserve"> in ST &amp; BB</w:t>
            </w:r>
          </w:p>
          <w:p>
            <w:pPr>
              <w:pStyle w:val="Liste2"/>
            </w:pPr>
            <w:r>
              <w:t>Anzahl Kreise mit 7-TI &gt; 50/100.000: 411/411 (+0)</w:t>
            </w:r>
          </w:p>
          <w:p>
            <w:pPr>
              <w:pStyle w:val="Liste2"/>
            </w:pPr>
            <w:r>
              <w:t>Anzahl Kreise mit 7-TI &gt; 500/100.000: 146/411 (-11)</w:t>
            </w:r>
          </w:p>
          <w:p>
            <w:pPr>
              <w:pStyle w:val="Liste2"/>
            </w:pPr>
            <w:r>
              <w:t>Anzahl Kreise mit 7-TI &gt; 1000/100.000: 32/411 (-3)</w:t>
            </w:r>
          </w:p>
          <w:p>
            <w:pPr>
              <w:pStyle w:val="Liste1"/>
            </w:pPr>
            <w:proofErr w:type="spellStart"/>
            <w:r>
              <w:t>Nowcasting</w:t>
            </w:r>
            <w:proofErr w:type="spellEnd"/>
            <w:r>
              <w:t xml:space="preserve"> R-Wert</w:t>
            </w:r>
          </w:p>
          <w:p>
            <w:pPr>
              <w:pStyle w:val="Liste2"/>
              <w:rPr>
                <w:lang w:val="de-DE"/>
              </w:rPr>
            </w:pPr>
            <w:r>
              <w:rPr>
                <w:lang w:val="de-DE"/>
              </w:rPr>
              <w:t>Sinkender Trend auf Bundes- und Länderebene, zurzeit knapp unter 1</w:t>
            </w:r>
          </w:p>
          <w:p>
            <w:pPr>
              <w:pStyle w:val="Liste1"/>
            </w:pPr>
            <w:r>
              <w:t>H</w:t>
            </w:r>
            <w:r>
              <w:rPr>
                <w:rStyle w:val="Liste1Zchn"/>
              </w:rPr>
              <w:t>ospitalisierungsinzidenz</w:t>
            </w:r>
          </w:p>
          <w:p>
            <w:pPr>
              <w:pStyle w:val="Liste2"/>
              <w:rPr>
                <w:lang w:val="de-DE"/>
              </w:rPr>
            </w:pPr>
            <w:r>
              <w:rPr>
                <w:lang w:val="de-DE"/>
              </w:rPr>
              <w:t>Sinkender Trend in Thüringen, aber weiterhin &gt;15 /100.000 EW</w:t>
            </w:r>
          </w:p>
          <w:p>
            <w:pPr>
              <w:pStyle w:val="Liste2"/>
            </w:pPr>
            <w:proofErr w:type="spellStart"/>
            <w:r>
              <w:t>Gesamt</w:t>
            </w:r>
            <w:proofErr w:type="spellEnd"/>
            <w:r>
              <w:t>: 5,61 /100.000 EW</w:t>
            </w:r>
          </w:p>
          <w:p>
            <w:pPr>
              <w:pStyle w:val="Liste2"/>
            </w:pPr>
            <w:r>
              <w:t>&gt;60: 13,00 /100.000 EW</w:t>
            </w:r>
          </w:p>
          <w:p>
            <w:pPr>
              <w:pStyle w:val="Liste1"/>
            </w:pPr>
            <w:r>
              <w:t>Anzahl der Todesfälle</w:t>
            </w:r>
          </w:p>
          <w:p>
            <w:pPr>
              <w:pStyle w:val="Liste2"/>
            </w:pPr>
            <w:proofErr w:type="spellStart"/>
            <w:r>
              <w:t>Weiterhin</w:t>
            </w:r>
            <w:proofErr w:type="spellEnd"/>
            <w:r>
              <w:t xml:space="preserve"> </w:t>
            </w:r>
            <w:proofErr w:type="spellStart"/>
            <w:r>
              <w:t>steigende</w:t>
            </w:r>
            <w:proofErr w:type="spellEnd"/>
            <w:r>
              <w:t xml:space="preserve"> </w:t>
            </w:r>
            <w:proofErr w:type="spellStart"/>
            <w:r>
              <w:t>Anzahl</w:t>
            </w:r>
            <w:proofErr w:type="spellEnd"/>
            <w:r>
              <w:t xml:space="preserve"> der </w:t>
            </w:r>
            <w:proofErr w:type="spellStart"/>
            <w:r>
              <w:t>Todesfälle</w:t>
            </w:r>
            <w:proofErr w:type="spellEnd"/>
          </w:p>
          <w:p>
            <w:pPr>
              <w:pStyle w:val="Liste2"/>
              <w:numPr>
                <w:ilvl w:val="0"/>
                <w:numId w:val="0"/>
              </w:numPr>
              <w:ind w:left="833"/>
            </w:pPr>
          </w:p>
          <w:p>
            <w:pPr>
              <w:rPr>
                <w:b/>
                <w:i/>
              </w:rPr>
            </w:pPr>
            <w:r>
              <w:rPr>
                <w:b/>
                <w:i/>
              </w:rPr>
              <w:t>Diskussion:</w:t>
            </w:r>
          </w:p>
          <w:p>
            <w:pPr>
              <w:pStyle w:val="Liste2"/>
              <w:rPr>
                <w:lang w:val="de-DE"/>
              </w:rPr>
            </w:pPr>
            <w:r>
              <w:rPr>
                <w:lang w:val="de-DE"/>
              </w:rPr>
              <w:t>Die beobachteten Fallzahlen nehmen nicht mehr so rasant zu, wie in den letzten Wochen. Wir können aber trotz Stagnation der Fallzahlen und sinkendem R-Wert keine Entwarnung geben, da das Abbremsen zumindest zum Teil durch örtlich erschöpfte Labor-Kapazitäten und begrenzte Kapazitäten im ÖGD erklärt werden kann.</w:t>
            </w:r>
          </w:p>
          <w:p>
            <w:pPr>
              <w:pStyle w:val="Liste2"/>
              <w:rPr>
                <w:lang w:val="de-DE"/>
              </w:rPr>
            </w:pPr>
            <w:r>
              <w:rPr>
                <w:lang w:val="de-DE"/>
              </w:rPr>
              <w:t>Der R-Wert ist eine Ableitung aus den Meldedaten und eine Abnahme kann auch Folge der Überlastung im ÖGD sein.</w:t>
            </w:r>
          </w:p>
          <w:p>
            <w:pPr>
              <w:pStyle w:val="Liste2"/>
              <w:rPr>
                <w:lang w:val="de-DE"/>
              </w:rPr>
            </w:pPr>
            <w:r>
              <w:rPr>
                <w:lang w:val="de-DE"/>
              </w:rPr>
              <w:t>Die eingeschränkte Aussagekraft des R-Wert bei Überlastung des ÖGD und niedriger Erfassung von Fällen sollte kommuniziert werden. Eine solche Einordnung wäre z.B. im Wochenbericht oder den FAQs möglich</w:t>
            </w:r>
          </w:p>
          <w:p>
            <w:pPr>
              <w:pStyle w:val="Liste2"/>
              <w:rPr>
                <w:lang w:val="de-DE"/>
              </w:rPr>
            </w:pPr>
            <w:r>
              <w:rPr>
                <w:lang w:val="de-DE"/>
              </w:rPr>
              <w:t xml:space="preserve">Je höher die </w:t>
            </w:r>
            <w:proofErr w:type="spellStart"/>
            <w:r>
              <w:rPr>
                <w:lang w:val="de-DE"/>
              </w:rPr>
              <w:t>Positivenanteil</w:t>
            </w:r>
            <w:proofErr w:type="spellEnd"/>
            <w:r>
              <w:rPr>
                <w:lang w:val="de-DE"/>
              </w:rPr>
              <w:t>, desto höher auch der Anteil der Unentdeckten</w:t>
            </w:r>
          </w:p>
          <w:p>
            <w:pPr>
              <w:pStyle w:val="ToDo"/>
            </w:pPr>
            <w:proofErr w:type="spellStart"/>
            <w:r>
              <w:rPr>
                <w:b/>
              </w:rPr>
              <w:t>ToDo</w:t>
            </w:r>
            <w:proofErr w:type="spellEnd"/>
            <w:r>
              <w:rPr>
                <w:b/>
              </w:rPr>
              <w:t>:</w:t>
            </w:r>
            <w:r>
              <w:t xml:space="preserve"> Im Wochenbericht soll die derzeitige Stagnation der Inzidenz gut eingeordnet </w:t>
            </w:r>
            <w:proofErr w:type="spellStart"/>
            <w:r>
              <w:t>weren</w:t>
            </w:r>
            <w:proofErr w:type="spellEnd"/>
            <w:r>
              <w:t>, ebenso der sinkende R-Wert.</w:t>
            </w:r>
          </w:p>
          <w:p>
            <w:pPr>
              <w:pStyle w:val="ToDo"/>
            </w:pPr>
          </w:p>
          <w:p>
            <w:pPr>
              <w:pStyle w:val="2"/>
            </w:pPr>
            <w:r>
              <w:rPr>
                <w:rStyle w:val="3Zchn"/>
                <w:b/>
                <w:sz w:val="24"/>
                <w:szCs w:val="24"/>
              </w:rPr>
              <w:lastRenderedPageBreak/>
              <w:t>Testkapazität und Testungen</w:t>
            </w:r>
            <w:r>
              <w:t xml:space="preserve"> </w:t>
            </w:r>
          </w:p>
          <w:p>
            <w:pPr>
              <w:pStyle w:val="Liste1"/>
              <w:rPr>
                <w:rStyle w:val="TagMiZchn"/>
                <w:b w:val="0"/>
                <w:i w:val="0"/>
                <w:color w:val="auto"/>
              </w:rPr>
            </w:pPr>
            <w:proofErr w:type="spellStart"/>
            <w:r>
              <w:rPr>
                <w:rStyle w:val="TagMiZchn"/>
                <w:b w:val="0"/>
                <w:i w:val="0"/>
                <w:color w:val="auto"/>
              </w:rPr>
              <w:t>Folien</w:t>
            </w:r>
            <w:proofErr w:type="spellEnd"/>
            <w:r>
              <w:rPr>
                <w:rStyle w:val="TagMiZchn"/>
                <w:b w:val="0"/>
                <w:i w:val="0"/>
                <w:color w:val="auto"/>
              </w:rPr>
              <w:t xml:space="preserve"> </w:t>
            </w:r>
            <w:hyperlink r:id="rId15" w:history="1">
              <w:proofErr w:type="spellStart"/>
              <w:r>
                <w:rPr>
                  <w:rStyle w:val="Hyperlink"/>
                </w:rPr>
                <w:t>hier</w:t>
              </w:r>
              <w:proofErr w:type="spellEnd"/>
            </w:hyperlink>
          </w:p>
          <w:p>
            <w:pPr>
              <w:pStyle w:val="Liste1"/>
            </w:pPr>
            <w:r>
              <w:t xml:space="preserve">Anzahl der Testungen nochmal angestiegen, </w:t>
            </w:r>
            <w:proofErr w:type="spellStart"/>
            <w:r>
              <w:t>Positivenanteil</w:t>
            </w:r>
            <w:proofErr w:type="spellEnd"/>
            <w:r>
              <w:t xml:space="preserve"> auch gestiegen (21,19%)</w:t>
            </w:r>
          </w:p>
          <w:p>
            <w:pPr>
              <w:pStyle w:val="Liste1"/>
            </w:pPr>
            <w:r>
              <w:t xml:space="preserve">Je höher der </w:t>
            </w:r>
            <w:proofErr w:type="spellStart"/>
            <w:r>
              <w:t>Positivenanteil</w:t>
            </w:r>
            <w:proofErr w:type="spellEnd"/>
            <w:r>
              <w:t xml:space="preserve"> bei zugleich hohen Fallzahlen, desto höher die Untererfassung</w:t>
            </w:r>
          </w:p>
          <w:p>
            <w:pPr>
              <w:pStyle w:val="Liste1"/>
            </w:pPr>
            <w:r>
              <w:t>Kapazitäten in Bundesländern mit höchsten Inzidenzen äußerst stark belastet</w:t>
            </w:r>
            <w:bookmarkStart w:id="1" w:name="_GoBack"/>
            <w:bookmarkEnd w:id="1"/>
          </w:p>
          <w:p>
            <w:pPr>
              <w:pStyle w:val="Liste1"/>
            </w:pPr>
            <w:proofErr w:type="spellStart"/>
            <w:r>
              <w:t>Positivenquote</w:t>
            </w:r>
            <w:proofErr w:type="spellEnd"/>
            <w:r>
              <w:t xml:space="preserve">: Extrem hohes Niveau: 50% der Labore haben einen </w:t>
            </w:r>
            <w:proofErr w:type="spellStart"/>
            <w:r>
              <w:t>Positivenanteil</w:t>
            </w:r>
            <w:proofErr w:type="spellEnd"/>
            <w:r>
              <w:t xml:space="preserve"> von &gt;20%, 75% liegen &gt;10% </w:t>
            </w:r>
          </w:p>
          <w:p>
            <w:pPr>
              <w:pStyle w:val="Liste1"/>
            </w:pPr>
            <w:r>
              <w:t xml:space="preserve">Laborauslastung: Auslastung in einigen Bundesländern &gt; 90%. </w:t>
            </w:r>
            <w:r>
              <w:sym w:font="Wingdings" w:char="F0E0"/>
            </w:r>
            <w:r>
              <w:t xml:space="preserve"> </w:t>
            </w:r>
            <w:proofErr w:type="spellStart"/>
            <w:r>
              <w:t>Gefahr</w:t>
            </w:r>
            <w:proofErr w:type="spellEnd"/>
            <w:r>
              <w:t xml:space="preserve"> </w:t>
            </w:r>
            <w:proofErr w:type="spellStart"/>
            <w:r>
              <w:t>verzögerter</w:t>
            </w:r>
            <w:proofErr w:type="spellEnd"/>
            <w:r>
              <w:t xml:space="preserve"> </w:t>
            </w:r>
            <w:proofErr w:type="spellStart"/>
            <w:r>
              <w:t>Ergebnisübermittlung</w:t>
            </w:r>
            <w:proofErr w:type="spellEnd"/>
          </w:p>
          <w:p>
            <w:pPr>
              <w:pStyle w:val="Liste3"/>
            </w:pPr>
            <w:r>
              <w:t>Allerdings nicht aus allen übermittelnden Laboren Angaben zur Testkapazität</w:t>
            </w:r>
          </w:p>
          <w:p>
            <w:pPr>
              <w:pStyle w:val="Liste1"/>
            </w:pPr>
            <w:proofErr w:type="spellStart"/>
            <w:r>
              <w:t>Positivenanteil</w:t>
            </w:r>
            <w:proofErr w:type="spellEnd"/>
            <w:r>
              <w:t>: In allen Bundesländern deutlicher Trend nach oben</w:t>
            </w:r>
          </w:p>
          <w:p>
            <w:pPr>
              <w:pStyle w:val="Liste1"/>
            </w:pPr>
            <w:r>
              <w:t xml:space="preserve">ARS-Daten </w:t>
            </w:r>
          </w:p>
          <w:p>
            <w:pPr>
              <w:pStyle w:val="Liste2"/>
              <w:rPr>
                <w:lang w:val="de-DE"/>
              </w:rPr>
            </w:pPr>
            <w:r>
              <w:rPr>
                <w:lang w:val="de-DE"/>
              </w:rPr>
              <w:t>Verzögerungen bei der Testung: zurzeit &gt;1 Tag; vorher um die 0,6 tage</w:t>
            </w:r>
          </w:p>
          <w:p>
            <w:pPr>
              <w:pStyle w:val="Liste1"/>
              <w:numPr>
                <w:ilvl w:val="0"/>
                <w:numId w:val="0"/>
              </w:numPr>
              <w:ind w:left="473" w:hanging="360"/>
            </w:pPr>
          </w:p>
          <w:p>
            <w:pPr>
              <w:rPr>
                <w:b/>
                <w:i/>
              </w:rPr>
            </w:pPr>
            <w:r>
              <w:rPr>
                <w:b/>
                <w:i/>
              </w:rPr>
              <w:t>Diskussion:</w:t>
            </w:r>
          </w:p>
          <w:p>
            <w:pPr>
              <w:pStyle w:val="Liste2"/>
              <w:rPr>
                <w:lang w:val="de-DE"/>
              </w:rPr>
            </w:pPr>
            <w:r>
              <w:rPr>
                <w:lang w:val="de-DE"/>
              </w:rPr>
              <w:t>PCR-Kapazitäten sind teils so knapp, dass sogar symptomatische AG-Test positive Personen nicht PCR-bestätigt werden</w:t>
            </w:r>
          </w:p>
          <w:p>
            <w:pPr>
              <w:pStyle w:val="Liste2"/>
              <w:rPr>
                <w:lang w:val="de-DE"/>
              </w:rPr>
            </w:pPr>
            <w:r>
              <w:rPr>
                <w:lang w:val="de-DE"/>
              </w:rPr>
              <w:t>Eine Turn-</w:t>
            </w:r>
            <w:proofErr w:type="spellStart"/>
            <w:r>
              <w:rPr>
                <w:lang w:val="de-DE"/>
              </w:rPr>
              <w:t>Around</w:t>
            </w:r>
            <w:proofErr w:type="spellEnd"/>
            <w:r>
              <w:rPr>
                <w:lang w:val="de-DE"/>
              </w:rPr>
              <w:t>-Zeit von &lt;24h sollte ebenfalls angestrebt werden.</w:t>
            </w:r>
          </w:p>
          <w:p>
            <w:pPr>
              <w:pStyle w:val="Liste2"/>
              <w:rPr>
                <w:lang w:val="de-DE"/>
              </w:rPr>
            </w:pPr>
            <w:r>
              <w:rPr>
                <w:lang w:val="de-DE"/>
              </w:rPr>
              <w:t>Pro Woche werden ca. 65.000 variantenspezifische PCR-testungen durchgeführt.</w:t>
            </w:r>
          </w:p>
          <w:p>
            <w:pPr>
              <w:pStyle w:val="Liste2"/>
              <w:rPr>
                <w:lang w:val="de-DE"/>
              </w:rPr>
            </w:pPr>
            <w:r>
              <w:rPr>
                <w:lang w:val="de-DE"/>
              </w:rPr>
              <w:t xml:space="preserve">Eine Priorisierung des Einsatzes von PCR-Tests gemäß der Nationalen Teststrategie aktuell geboten </w:t>
            </w:r>
          </w:p>
          <w:p>
            <w:pPr>
              <w:pStyle w:val="2"/>
            </w:pPr>
            <w:r>
              <w:t>VOC-Bericht</w:t>
            </w:r>
          </w:p>
          <w:p>
            <w:pPr>
              <w:pStyle w:val="Liste1"/>
            </w:pPr>
            <w:r>
              <w:t xml:space="preserve">Folien </w:t>
            </w:r>
            <w:hyperlink r:id="rId16" w:history="1">
              <w:r>
                <w:rPr>
                  <w:rStyle w:val="Hyperlink"/>
                </w:rPr>
                <w:t>hier</w:t>
              </w:r>
            </w:hyperlink>
          </w:p>
          <w:p>
            <w:pPr>
              <w:pStyle w:val="Liste1"/>
            </w:pPr>
            <w:r>
              <w:t>Wenig Veränderungen im Vergleich zur Vorwoche (bis 46. KW)</w:t>
            </w:r>
          </w:p>
          <w:p>
            <w:pPr>
              <w:pStyle w:val="Liste1"/>
            </w:pPr>
            <w:r>
              <w:t>Anteil von Omikron: 0% (1 Meldung)</w:t>
            </w:r>
          </w:p>
          <w:p>
            <w:pPr>
              <w:pStyle w:val="Liste1"/>
            </w:pPr>
            <w:r>
              <w:t xml:space="preserve">Variant </w:t>
            </w:r>
            <w:proofErr w:type="spellStart"/>
            <w:r>
              <w:t>under</w:t>
            </w:r>
            <w:proofErr w:type="spellEnd"/>
            <w:r>
              <w:t xml:space="preserve"> Monitoring: stagnierender oder sinkender Anteil</w:t>
            </w:r>
          </w:p>
          <w:p>
            <w:pPr>
              <w:pStyle w:val="Liste1"/>
            </w:pPr>
            <w:r>
              <w:t>VOC Omikron:</w:t>
            </w:r>
          </w:p>
          <w:p>
            <w:pPr>
              <w:pStyle w:val="Liste2"/>
              <w:rPr>
                <w:lang w:val="de-DE"/>
              </w:rPr>
            </w:pPr>
            <w:r>
              <w:rPr>
                <w:lang w:val="de-DE"/>
              </w:rPr>
              <w:t>Nachweise in 18 Ländern, davon 12 in Europa (Stand 30.11.)</w:t>
            </w:r>
          </w:p>
          <w:p>
            <w:pPr>
              <w:pStyle w:val="Liste2"/>
              <w:rPr>
                <w:lang w:val="de-DE"/>
              </w:rPr>
            </w:pPr>
            <w:r>
              <w:rPr>
                <w:lang w:val="de-DE"/>
              </w:rPr>
              <w:t>&gt; 150 bestätigte Fälle, ca. 1000 Verdachtsfälle (Stand 30.11.)</w:t>
            </w:r>
          </w:p>
          <w:p>
            <w:pPr>
              <w:pStyle w:val="Liste2"/>
              <w:rPr>
                <w:lang w:val="de-DE"/>
              </w:rPr>
            </w:pPr>
            <w:r>
              <w:rPr>
                <w:lang w:val="de-DE"/>
              </w:rPr>
              <w:t xml:space="preserve">Diverse Spikeprotein Veränderungen: </w:t>
            </w:r>
            <w:r>
              <w:rPr>
                <w:lang w:val="pt-BR"/>
              </w:rPr>
              <w:t>PCR Auffälligkeit: S-Gen Verlust (n=77), ermöglicht PCR screening</w:t>
            </w:r>
          </w:p>
          <w:p>
            <w:pPr>
              <w:pStyle w:val="Liste2"/>
            </w:pPr>
            <w:proofErr w:type="spellStart"/>
            <w:r>
              <w:t>bisherige</w:t>
            </w:r>
            <w:proofErr w:type="spellEnd"/>
            <w:r>
              <w:t xml:space="preserve"> </w:t>
            </w:r>
            <w:proofErr w:type="spellStart"/>
            <w:r>
              <w:t>Informationen</w:t>
            </w:r>
            <w:proofErr w:type="spellEnd"/>
            <w:r>
              <w:t>:</w:t>
            </w:r>
          </w:p>
          <w:p>
            <w:pPr>
              <w:pStyle w:val="Liste3"/>
              <w:numPr>
                <w:ilvl w:val="2"/>
                <w:numId w:val="6"/>
              </w:numPr>
            </w:pPr>
            <w:r>
              <w:t xml:space="preserve">Starker Fallzahlanstieg in </w:t>
            </w:r>
            <w:proofErr w:type="spellStart"/>
            <w:r>
              <w:t>Tschwane</w:t>
            </w:r>
            <w:proofErr w:type="spellEnd"/>
            <w:r>
              <w:t xml:space="preserve">, Provinz </w:t>
            </w:r>
            <w:proofErr w:type="spellStart"/>
            <w:r>
              <w:t>Gauteng</w:t>
            </w:r>
            <w:proofErr w:type="spellEnd"/>
            <w:r>
              <w:t>, Südafrika R=1,94</w:t>
            </w:r>
          </w:p>
          <w:p>
            <w:pPr>
              <w:pStyle w:val="Liste3"/>
              <w:numPr>
                <w:ilvl w:val="2"/>
                <w:numId w:val="6"/>
              </w:numPr>
            </w:pPr>
            <w:r>
              <w:t>Vorläufige Daten aus SA zeigen erhöhte Reinfektionsrate, ob Omikron die Ursache und/oder es sich um einen anders begründeten Anstieg handelt, ist unklar.</w:t>
            </w:r>
          </w:p>
          <w:p>
            <w:pPr>
              <w:pStyle w:val="Liste3"/>
              <w:numPr>
                <w:ilvl w:val="2"/>
                <w:numId w:val="6"/>
              </w:numPr>
            </w:pPr>
            <w:r>
              <w:rPr>
                <w:lang w:val="pt-BR"/>
              </w:rPr>
              <w:t xml:space="preserve">Bislang keine Info zu Veränderung von Transmissionsfähigkeit, Krankheitsschwere, </w:t>
            </w:r>
            <w:r>
              <w:rPr>
                <w:lang w:val="pt-BR"/>
              </w:rPr>
              <w:lastRenderedPageBreak/>
              <w:t>Immunevasion, Reinfektionsfähigkeit etc. vorhanden.</w:t>
            </w:r>
          </w:p>
          <w:p>
            <w:pPr>
              <w:pStyle w:val="Liste3"/>
              <w:numPr>
                <w:ilvl w:val="2"/>
                <w:numId w:val="6"/>
              </w:numPr>
            </w:pPr>
            <w:r>
              <w:rPr>
                <w:lang w:val="pt-BR"/>
              </w:rPr>
              <w:t>In Europa erste Verdachtsfälle ohne Reiseanamnese (UK, D)</w:t>
            </w:r>
          </w:p>
          <w:p>
            <w:pPr>
              <w:pStyle w:val="Liste3"/>
              <w:numPr>
                <w:ilvl w:val="2"/>
                <w:numId w:val="6"/>
              </w:numPr>
            </w:pPr>
            <w:r>
              <w:rPr>
                <w:lang w:val="pt-BR"/>
              </w:rPr>
              <w:t xml:space="preserve">Großteilig asymptomatisch bis mild-symptomatische Fälle </w:t>
            </w:r>
          </w:p>
          <w:p>
            <w:pPr>
              <w:pStyle w:val="Liste3"/>
              <w:numPr>
                <w:ilvl w:val="2"/>
                <w:numId w:val="6"/>
              </w:numPr>
            </w:pPr>
            <w:r>
              <w:rPr>
                <w:lang w:val="pt-BR"/>
              </w:rPr>
              <w:t>in SA leichter Anstieg der Hospitaliserungen</w:t>
            </w:r>
          </w:p>
          <w:p>
            <w:pPr>
              <w:pStyle w:val="Liste2"/>
              <w:rPr>
                <w:lang w:val="en-US"/>
              </w:rPr>
            </w:pPr>
            <w:r>
              <w:t xml:space="preserve">International: </w:t>
            </w:r>
            <w:proofErr w:type="spellStart"/>
            <w:r>
              <w:t>viele</w:t>
            </w:r>
            <w:proofErr w:type="spellEnd"/>
            <w:r>
              <w:t xml:space="preserve"> travel bans/entry restrictions</w:t>
            </w:r>
          </w:p>
          <w:p>
            <w:pPr>
              <w:pStyle w:val="Liste2"/>
              <w:rPr>
                <w:lang w:val="de-DE"/>
              </w:rPr>
            </w:pPr>
            <w:r>
              <w:rPr>
                <w:lang w:val="de-DE"/>
              </w:rPr>
              <w:t>Fälle (Stand 30.11.)</w:t>
            </w:r>
          </w:p>
          <w:p>
            <w:pPr>
              <w:pStyle w:val="Liste3"/>
            </w:pPr>
            <w:r>
              <w:t>4 Fälle mittels NGS bestätigt (3x BY, 1x HE)</w:t>
            </w:r>
          </w:p>
          <w:p>
            <w:pPr>
              <w:pStyle w:val="Liste3"/>
            </w:pPr>
            <w:r>
              <w:t>3 Fälle aus BY (Reiserückkehrer Südafrika, Milde Symptome, keine Hospitalisiert, vollständiger Impfschutz)</w:t>
            </w:r>
          </w:p>
          <w:p>
            <w:pPr>
              <w:pStyle w:val="Liste3"/>
            </w:pPr>
            <w:r>
              <w:t xml:space="preserve">4 Fälle im Meldesystem (4xHE, </w:t>
            </w:r>
            <w:proofErr w:type="spellStart"/>
            <w:r>
              <w:t>target</w:t>
            </w:r>
            <w:proofErr w:type="spellEnd"/>
            <w:r>
              <w:t xml:space="preserve"> PCR)</w:t>
            </w:r>
          </w:p>
          <w:p>
            <w:pPr>
              <w:pStyle w:val="Liste2"/>
            </w:pPr>
            <w:proofErr w:type="spellStart"/>
            <w:r>
              <w:t>Maßnahmen</w:t>
            </w:r>
            <w:proofErr w:type="spellEnd"/>
            <w:r>
              <w:t>:</w:t>
            </w:r>
          </w:p>
          <w:p>
            <w:pPr>
              <w:pStyle w:val="Liste3"/>
            </w:pPr>
            <w:r>
              <w:t xml:space="preserve">Virusvariantengebiete </w:t>
            </w:r>
            <w:r>
              <w:sym w:font="Wingdings" w:char="F0E0"/>
            </w:r>
            <w:r>
              <w:t xml:space="preserve"> Quarantäne nach Einreise</w:t>
            </w:r>
          </w:p>
          <w:p>
            <w:pPr>
              <w:pStyle w:val="Liste3"/>
            </w:pPr>
            <w:r>
              <w:t>Anpassung Empfehlungen zum KPM</w:t>
            </w:r>
          </w:p>
          <w:p>
            <w:pPr>
              <w:pStyle w:val="Liste3"/>
            </w:pPr>
            <w:r>
              <w:t>Bei Exposition zu Fall mit nachgewiesener</w:t>
            </w:r>
            <w:r>
              <w:br/>
              <w:t>VOC 14 Tage Quarantäne (außer Alpha, Delta)</w:t>
            </w:r>
          </w:p>
          <w:p>
            <w:pPr>
              <w:pStyle w:val="Liste3"/>
            </w:pPr>
            <w:r>
              <w:t>Informationen an BL: Hinweise und Empfehlung zur</w:t>
            </w:r>
            <w:r>
              <w:br/>
              <w:t>varianten-spezifischen PCR, Hinweise zur Eingabe im Meldesystem, Retrospektive Überprüfung aller Genomsequenzen der IMS (DESH-Daten)</w:t>
            </w:r>
          </w:p>
          <w:p>
            <w:pPr>
              <w:pStyle w:val="Liste1"/>
              <w:numPr>
                <w:ilvl w:val="0"/>
                <w:numId w:val="0"/>
              </w:numPr>
              <w:ind w:left="473"/>
            </w:pPr>
          </w:p>
          <w:p>
            <w:pPr>
              <w:rPr>
                <w:b/>
                <w:i/>
              </w:rPr>
            </w:pPr>
            <w:r>
              <w:rPr>
                <w:b/>
                <w:i/>
              </w:rPr>
              <w:t>Diskussion:</w:t>
            </w:r>
          </w:p>
          <w:p>
            <w:pPr>
              <w:pStyle w:val="Liste2"/>
              <w:rPr>
                <w:lang w:val="de-DE"/>
              </w:rPr>
            </w:pPr>
            <w:r>
              <w:rPr>
                <w:lang w:val="de-DE"/>
              </w:rPr>
              <w:t xml:space="preserve">Bei dem Flug aus Südafrika in dem die ersten Fälle mit Omikron in Schiphol nachgewiesen wurden, wurden nicht im Voraus getestet. </w:t>
            </w:r>
          </w:p>
          <w:p>
            <w:pPr>
              <w:pStyle w:val="Liste2"/>
              <w:rPr>
                <w:lang w:val="de-DE"/>
              </w:rPr>
            </w:pPr>
            <w:r>
              <w:rPr>
                <w:lang w:val="de-DE"/>
              </w:rPr>
              <w:t>In Südafrika waren die Inzidenzen bisher niedrig. Seit der neuen Variante erhöht sich die Inzidenz. Dies könnte darauf hindeuten, dass in Südafrika wenig über die Inzidenzen im eigenen Land bekannt ist.</w:t>
            </w:r>
          </w:p>
          <w:p>
            <w:pPr>
              <w:pStyle w:val="Liste2"/>
              <w:rPr>
                <w:lang w:val="de-DE"/>
              </w:rPr>
            </w:pPr>
            <w:r>
              <w:rPr>
                <w:lang w:val="de-DE"/>
              </w:rPr>
              <w:t>In Deutschland kam es zu keinem Aufruf, dass sich diejenigen testen lassen sollen die bereits 10 Tage vor der Bekanntmachung der neuen Virusvariantengebiete einreisten</w:t>
            </w:r>
          </w:p>
          <w:p>
            <w:pPr>
              <w:pStyle w:val="Liste2"/>
              <w:rPr>
                <w:lang w:val="de-DE"/>
              </w:rPr>
            </w:pPr>
            <w:r>
              <w:rPr>
                <w:lang w:val="de-DE"/>
              </w:rPr>
              <w:t xml:space="preserve">Aussagen zur Virulenz, Schwere der Verläufe und </w:t>
            </w:r>
            <w:proofErr w:type="spellStart"/>
            <w:r>
              <w:rPr>
                <w:lang w:val="de-DE"/>
              </w:rPr>
              <w:t>Transmissibilität</w:t>
            </w:r>
            <w:proofErr w:type="spellEnd"/>
            <w:r>
              <w:rPr>
                <w:lang w:val="de-DE"/>
              </w:rPr>
              <w:t xml:space="preserve"> der neuen Variante können erst mit der Zeit getroffen werden, bis dahin sollten entsprechende Maßnahmen getroffen werden, um mögliche schwere Folgen zu verhindern.</w:t>
            </w:r>
          </w:p>
          <w:p>
            <w:pPr>
              <w:pStyle w:val="Liste2"/>
            </w:pPr>
            <w:r>
              <w:rPr>
                <w:lang w:val="de-DE"/>
              </w:rPr>
              <w:t xml:space="preserve">In Deutschland können noch keine abschließenden Aussagen getroffen werden, seit wann die Variante bereits in Deutschland zirkuliert. </w:t>
            </w:r>
            <w:r>
              <w:t xml:space="preserve">In </w:t>
            </w:r>
            <w:proofErr w:type="spellStart"/>
            <w:r>
              <w:t>bereits</w:t>
            </w:r>
            <w:proofErr w:type="spellEnd"/>
            <w:r>
              <w:t xml:space="preserve"> </w:t>
            </w:r>
            <w:proofErr w:type="spellStart"/>
            <w:r>
              <w:t>vorliegenden</w:t>
            </w:r>
            <w:proofErr w:type="spellEnd"/>
            <w:r>
              <w:t xml:space="preserve"> </w:t>
            </w:r>
            <w:proofErr w:type="spellStart"/>
            <w:r>
              <w:t>Sequenzierungen</w:t>
            </w:r>
            <w:proofErr w:type="spellEnd"/>
            <w:r>
              <w:t xml:space="preserve"> konnte kein Omikron nachgewiesen werden.</w:t>
            </w:r>
          </w:p>
          <w:p>
            <w:pPr>
              <w:pStyle w:val="Liste2"/>
              <w:rPr>
                <w:lang w:val="de-DE"/>
              </w:rPr>
            </w:pPr>
            <w:r>
              <w:rPr>
                <w:lang w:val="de-DE"/>
              </w:rPr>
              <w:t>Die Lage in Südafrika ist undurchsichtig, v.a. was die Sequenzierung und Erfassung der Fälle angeht. Im Verlauf ist damit zu rechnen, dass es in den kommenden Wochen zu vermehrten Hospitalisierungen kommen wird. Weitere Aussagen zur Klinik der neuen Variante können noch nicht abschließend getroffen werden.</w:t>
            </w:r>
          </w:p>
          <w:p>
            <w:pPr>
              <w:pStyle w:val="Liste2"/>
              <w:rPr>
                <w:lang w:val="de-DE"/>
              </w:rPr>
            </w:pPr>
            <w:r>
              <w:rPr>
                <w:lang w:val="de-DE"/>
              </w:rPr>
              <w:t>Eine Erhöhung der Sequenzierungsrate sollte erfolgen.</w:t>
            </w:r>
          </w:p>
          <w:p>
            <w:pPr>
              <w:pStyle w:val="Liste2"/>
              <w:numPr>
                <w:ilvl w:val="0"/>
                <w:numId w:val="0"/>
              </w:numPr>
              <w:ind w:left="833" w:hanging="360"/>
              <w:rPr>
                <w:lang w:val="de-DE"/>
              </w:rPr>
            </w:pPr>
          </w:p>
          <w:p>
            <w:pPr>
              <w:pStyle w:val="2"/>
            </w:pPr>
            <w:r>
              <w:lastRenderedPageBreak/>
              <w:t>Molekulare Surveillance</w:t>
            </w:r>
          </w:p>
          <w:p>
            <w:pPr>
              <w:pStyle w:val="Liste1"/>
              <w:rPr>
                <w:lang w:val="en-US"/>
              </w:rPr>
            </w:pPr>
            <w:proofErr w:type="spellStart"/>
            <w:r>
              <w:rPr>
                <w:lang w:val="en-US"/>
              </w:rPr>
              <w:t>Folien</w:t>
            </w:r>
            <w:proofErr w:type="spellEnd"/>
            <w:r>
              <w:rPr>
                <w:lang w:val="en-US"/>
              </w:rPr>
              <w:t xml:space="preserve"> </w:t>
            </w:r>
            <w:hyperlink r:id="rId17" w:history="1">
              <w:proofErr w:type="spellStart"/>
              <w:r>
                <w:rPr>
                  <w:rStyle w:val="Hyperlink"/>
                  <w:lang w:val="en-US"/>
                </w:rPr>
                <w:t>hier</w:t>
              </w:r>
              <w:proofErr w:type="spellEnd"/>
            </w:hyperlink>
          </w:p>
          <w:p>
            <w:pPr>
              <w:pStyle w:val="Liste1"/>
              <w:rPr>
                <w:b/>
                <w:lang w:val="en-US"/>
              </w:rPr>
            </w:pPr>
            <w:proofErr w:type="spellStart"/>
            <w:r>
              <w:rPr>
                <w:b/>
                <w:lang w:val="en-US"/>
              </w:rPr>
              <w:t>Omikron</w:t>
            </w:r>
            <w:proofErr w:type="spellEnd"/>
            <w:r>
              <w:rPr>
                <w:b/>
                <w:lang w:val="en-US"/>
              </w:rPr>
              <w:t>:</w:t>
            </w:r>
          </w:p>
          <w:p>
            <w:pPr>
              <w:pStyle w:val="Liste1"/>
              <w:rPr>
                <w:lang w:val="en-US"/>
              </w:rPr>
            </w:pPr>
            <w:proofErr w:type="spellStart"/>
            <w:r>
              <w:rPr>
                <w:lang w:val="en-US"/>
              </w:rPr>
              <w:t>Mutationsprofil</w:t>
            </w:r>
            <w:proofErr w:type="spellEnd"/>
          </w:p>
          <w:p>
            <w:pPr>
              <w:pStyle w:val="Liste2"/>
              <w:rPr>
                <w:lang w:val="de-DE"/>
              </w:rPr>
            </w:pPr>
            <w:r>
              <w:rPr>
                <w:lang w:val="de-DE"/>
              </w:rPr>
              <w:t>Insgesamt sind 9 Mutationen innerhalb des S-Gens aus anderen VOCs bekannt (</w:t>
            </w:r>
            <w:proofErr w:type="spellStart"/>
            <w:r>
              <w:rPr>
                <w:lang w:val="de-DE"/>
              </w:rPr>
              <w:t>convergente</w:t>
            </w:r>
            <w:proofErr w:type="spellEnd"/>
            <w:r>
              <w:rPr>
                <w:lang w:val="de-DE"/>
              </w:rPr>
              <w:t xml:space="preserve"> Entwicklungen)</w:t>
            </w:r>
          </w:p>
          <w:p>
            <w:pPr>
              <w:pStyle w:val="Liste1"/>
            </w:pPr>
            <w:r>
              <w:t>Phylogenie</w:t>
            </w:r>
          </w:p>
          <w:p>
            <w:pPr>
              <w:pStyle w:val="Liste2"/>
              <w:rPr>
                <w:lang w:val="de-DE"/>
              </w:rPr>
            </w:pPr>
            <w:r>
              <w:rPr>
                <w:lang w:val="de-DE"/>
              </w:rPr>
              <w:t xml:space="preserve">Omikron ist sehr isoliert zu anderen Clustern. </w:t>
            </w:r>
          </w:p>
          <w:p>
            <w:pPr>
              <w:pStyle w:val="Liste2"/>
              <w:rPr>
                <w:lang w:val="de-DE"/>
              </w:rPr>
            </w:pPr>
            <w:r>
              <w:rPr>
                <w:lang w:val="de-DE"/>
              </w:rPr>
              <w:t xml:space="preserve">Erklärung dafür wäre z.B. eine längere unbekannte Zirkulation </w:t>
            </w:r>
          </w:p>
          <w:p>
            <w:pPr>
              <w:pStyle w:val="Liste1"/>
            </w:pPr>
            <w:r>
              <w:t>Mutations-basierte Screening-Verfahren hätten Omikron in Deutschland frühzeitig erkannt</w:t>
            </w:r>
          </w:p>
          <w:p>
            <w:pPr>
              <w:pStyle w:val="Liste1"/>
              <w:numPr>
                <w:ilvl w:val="0"/>
                <w:numId w:val="0"/>
              </w:numPr>
              <w:ind w:left="473"/>
            </w:pPr>
          </w:p>
          <w:p>
            <w:pPr>
              <w:pStyle w:val="2"/>
            </w:pPr>
            <w:proofErr w:type="spellStart"/>
            <w:r>
              <w:t>Syndromische</w:t>
            </w:r>
            <w:proofErr w:type="spellEnd"/>
            <w:r>
              <w:t xml:space="preserve"> Surveillance</w:t>
            </w:r>
            <w:r>
              <w:rPr>
                <w:rStyle w:val="TagMiZchn"/>
              </w:rPr>
              <w:t xml:space="preserve"> </w:t>
            </w:r>
          </w:p>
          <w:p>
            <w:pPr>
              <w:pStyle w:val="Liste1"/>
            </w:pPr>
            <w:proofErr w:type="spellStart"/>
            <w:r>
              <w:t>GrippeWeb</w:t>
            </w:r>
            <w:proofErr w:type="spellEnd"/>
            <w:r>
              <w:t xml:space="preserve"> bis </w:t>
            </w:r>
            <w:proofErr w:type="spellStart"/>
            <w:r>
              <w:t>zur</w:t>
            </w:r>
            <w:proofErr w:type="spellEnd"/>
            <w:r>
              <w:t xml:space="preserve"> 47. KW 2021</w:t>
            </w:r>
          </w:p>
          <w:p>
            <w:pPr>
              <w:pStyle w:val="Liste2"/>
            </w:pPr>
            <w:r>
              <w:t xml:space="preserve">Der Wert (gesamt) </w:t>
            </w:r>
            <w:proofErr w:type="gramStart"/>
            <w:r>
              <w:t>lag  in</w:t>
            </w:r>
            <w:proofErr w:type="gramEnd"/>
            <w:r>
              <w:t xml:space="preserve"> der 47. KW 2021 bei 5.000 / 100.000 EW</w:t>
            </w:r>
          </w:p>
          <w:p>
            <w:pPr>
              <w:pStyle w:val="Liste2"/>
            </w:pPr>
            <w:r>
              <w:t xml:space="preserve">Entspricht einer Gesamtzahl von ca. 4,2 </w:t>
            </w:r>
            <w:proofErr w:type="spellStart"/>
            <w:r>
              <w:t>Mio</w:t>
            </w:r>
            <w:proofErr w:type="spellEnd"/>
            <w:r>
              <w:t xml:space="preserve"> akuten Atemwegserkrankungen (46. KW: ca. 4,6 Mio.)</w:t>
            </w:r>
          </w:p>
          <w:p>
            <w:pPr>
              <w:pStyle w:val="Liste2"/>
            </w:pPr>
            <w:r>
              <w:t>Im Vergleich zur 46. KW 2021: Rückgang bei den Kindern (0 bis 14 Jahren)</w:t>
            </w:r>
          </w:p>
          <w:p>
            <w:pPr>
              <w:pStyle w:val="Liste1"/>
            </w:pPr>
            <w:r>
              <w:t>ARE Konsultationen bis zur 47. KW 2021</w:t>
            </w:r>
          </w:p>
          <w:p>
            <w:pPr>
              <w:pStyle w:val="Liste2"/>
            </w:pPr>
            <w:proofErr w:type="spellStart"/>
            <w:r>
              <w:t>KonsInz</w:t>
            </w:r>
            <w:proofErr w:type="spellEnd"/>
            <w:r>
              <w:t xml:space="preserve"> </w:t>
            </w:r>
            <w:proofErr w:type="spellStart"/>
            <w:r>
              <w:t>insgesamt</w:t>
            </w:r>
            <w:proofErr w:type="spellEnd"/>
            <w:r>
              <w:t xml:space="preserve"> </w:t>
            </w:r>
            <w:proofErr w:type="spellStart"/>
            <w:r>
              <w:t>im</w:t>
            </w:r>
            <w:proofErr w:type="spellEnd"/>
            <w:r>
              <w:t xml:space="preserve"> </w:t>
            </w:r>
            <w:proofErr w:type="spellStart"/>
            <w:r>
              <w:t>Vergleich</w:t>
            </w:r>
            <w:proofErr w:type="spellEnd"/>
            <w:r>
              <w:t xml:space="preserve"> zur Vorwoche gesunken. In 47. KW: 1.479 (Vorwoche:1.799)</w:t>
            </w:r>
          </w:p>
          <w:p>
            <w:pPr>
              <w:pStyle w:val="Liste2"/>
            </w:pPr>
            <w:proofErr w:type="spellStart"/>
            <w:r>
              <w:t>KonsInz</w:t>
            </w:r>
            <w:proofErr w:type="spellEnd"/>
            <w:r>
              <w:t xml:space="preserve"> bei 0-bis 4-Jährigen nähert sich durch den Rückgang wieder den Vorjahreswerten an</w:t>
            </w:r>
          </w:p>
          <w:p>
            <w:pPr>
              <w:pStyle w:val="Liste2"/>
            </w:pPr>
            <w:r>
              <w:t>In keinem BL Ferien</w:t>
            </w:r>
          </w:p>
          <w:p>
            <w:pPr>
              <w:pStyle w:val="Liste2"/>
            </w:pPr>
            <w:r>
              <w:t xml:space="preserve">Bis auf </w:t>
            </w:r>
            <w:proofErr w:type="spellStart"/>
            <w:r>
              <w:t>MvP</w:t>
            </w:r>
            <w:proofErr w:type="spellEnd"/>
            <w:r>
              <w:t xml:space="preserve"> und </w:t>
            </w:r>
            <w:proofErr w:type="spellStart"/>
            <w:r>
              <w:t>BeB</w:t>
            </w:r>
            <w:proofErr w:type="spellEnd"/>
            <w:r>
              <w:t xml:space="preserve"> sind die KI der Kinder 0-4 und 5-14 Jahre zurückgegangen. Die Gesamt Konsultationsinzidenz ist in fast allen BL zurückgegangen (außer </w:t>
            </w:r>
            <w:proofErr w:type="spellStart"/>
            <w:r>
              <w:t>MvP</w:t>
            </w:r>
            <w:proofErr w:type="spellEnd"/>
            <w:r>
              <w:t xml:space="preserve"> und Thüringen, Sachsen ist stabil geblieben).</w:t>
            </w:r>
          </w:p>
          <w:p>
            <w:pPr>
              <w:pStyle w:val="Liste1"/>
            </w:pPr>
            <w:r>
              <w:t xml:space="preserve"> ICOSARI-KH-Surveillance bis zur 47. KW 2021</w:t>
            </w:r>
          </w:p>
          <w:p>
            <w:pPr>
              <w:pStyle w:val="Liste2"/>
            </w:pPr>
            <w:r>
              <w:t>SARI-</w:t>
            </w:r>
            <w:proofErr w:type="spellStart"/>
            <w:r>
              <w:t>Fallzahlen</w:t>
            </w:r>
            <w:proofErr w:type="spellEnd"/>
            <w:r>
              <w:t xml:space="preserve"> </w:t>
            </w:r>
            <w:proofErr w:type="spellStart"/>
            <w:r>
              <w:t>sind</w:t>
            </w:r>
            <w:proofErr w:type="spellEnd"/>
            <w:r>
              <w:t xml:space="preserve"> </w:t>
            </w:r>
            <w:proofErr w:type="spellStart"/>
            <w:r>
              <w:t>insgesamt</w:t>
            </w:r>
            <w:proofErr w:type="spellEnd"/>
            <w:r>
              <w:t xml:space="preserve"> </w:t>
            </w:r>
            <w:proofErr w:type="spellStart"/>
            <w:r>
              <w:t>gestiegen</w:t>
            </w:r>
            <w:proofErr w:type="spellEnd"/>
            <w:r>
              <w:t xml:space="preserve"> </w:t>
            </w:r>
            <w:r>
              <w:sym w:font="Wingdings" w:char="F0E0"/>
            </w:r>
            <w:r>
              <w:t xml:space="preserve"> </w:t>
            </w:r>
            <w:proofErr w:type="spellStart"/>
            <w:r>
              <w:t>Seit</w:t>
            </w:r>
            <w:proofErr w:type="spellEnd"/>
            <w:r>
              <w:t xml:space="preserve"> Saisonbeginn hohes Niveau deutlich über den Vorsaisons </w:t>
            </w:r>
          </w:p>
          <w:p>
            <w:pPr>
              <w:pStyle w:val="Liste2"/>
            </w:pPr>
            <w:r>
              <w:t xml:space="preserve">in AG 0 bis 4 Jahre: kein weiterer Rückgang, weiterhin hohes Niveau </w:t>
            </w:r>
          </w:p>
          <w:p>
            <w:pPr>
              <w:pStyle w:val="Liste2"/>
            </w:pPr>
            <w:r>
              <w:t>50% der SARI-Fälle in AG 0-4 mit RSV-Diagnose, Vorwoche 62%; Anteil geht zurück aber weiter sehr hoch; 50% sonst eher Peak-Niveau in anderen Saisons)</w:t>
            </w:r>
          </w:p>
          <w:p>
            <w:pPr>
              <w:pStyle w:val="Liste2"/>
            </w:pPr>
            <w:r>
              <w:t>Altersgruppen ab 35 Jahre Anstieg, auf Niveau der Vorsaisons (hoch bis sehr hoch)</w:t>
            </w:r>
          </w:p>
          <w:p>
            <w:pPr>
              <w:pStyle w:val="Liste2"/>
            </w:pPr>
            <w:r>
              <w:t xml:space="preserve">Anteil SARI-COVID-Fälle bei Hospitalisierungen seit KW 41 kontinuierlich ansteigend; </w:t>
            </w:r>
            <w:r>
              <w:sym w:font="Wingdings" w:char="F0E0"/>
            </w:r>
            <w:r>
              <w:t>Anteil COVID-19 an Intensiv bleibt sehr hoch, fast auf Peak-Niveau (2. und 3. Welle, ging bis max. 88%)</w:t>
            </w:r>
          </w:p>
          <w:p>
            <w:pPr>
              <w:pStyle w:val="Liste2"/>
            </w:pPr>
            <w:r>
              <w:rPr>
                <w:bCs/>
              </w:rPr>
              <w:t>Anteil COVID-19 an SARI 54% (KW 46: 48%)</w:t>
            </w:r>
          </w:p>
          <w:p>
            <w:pPr>
              <w:pStyle w:val="Liste2"/>
            </w:pPr>
            <w:r>
              <w:rPr>
                <w:bCs/>
              </w:rPr>
              <w:t xml:space="preserve">Anteil COVID an SARI mit Intensivbehandlung 78% (KW 46: 79%) </w:t>
            </w:r>
          </w:p>
          <w:p>
            <w:pPr>
              <w:pStyle w:val="Liste2"/>
              <w:numPr>
                <w:ilvl w:val="0"/>
                <w:numId w:val="0"/>
              </w:numPr>
              <w:ind w:left="1080" w:hanging="360"/>
            </w:pPr>
          </w:p>
          <w:p>
            <w:pPr>
              <w:pStyle w:val="Liste2"/>
              <w:numPr>
                <w:ilvl w:val="0"/>
                <w:numId w:val="0"/>
              </w:numPr>
              <w:ind w:left="1080" w:hanging="360"/>
            </w:pPr>
          </w:p>
          <w:p>
            <w:pPr>
              <w:pStyle w:val="Liste1"/>
            </w:pPr>
            <w:r>
              <w:lastRenderedPageBreak/>
              <w:t>Ausbrüche in Kindergärten / Horte</w:t>
            </w:r>
          </w:p>
          <w:p>
            <w:pPr>
              <w:pStyle w:val="Liste2"/>
            </w:pPr>
            <w:r>
              <w:t xml:space="preserve">Seit Oktober erneuter Anstieg; Niveau der zweiten Welle überstiegen (etwa 1 Monat früher als im Vorjahr) </w:t>
            </w:r>
          </w:p>
          <w:p>
            <w:pPr>
              <w:pStyle w:val="Liste2"/>
            </w:pPr>
            <w:r>
              <w:t>Anfang Nov etwa 3-mal mehr Ausbrüche als im Vorjahr zu dieser Zeit</w:t>
            </w:r>
          </w:p>
          <w:p>
            <w:pPr>
              <w:pStyle w:val="Liste2"/>
            </w:pPr>
            <w:r>
              <w:t>Anteil AG nimmt möglicherweise wieder zu; zuletzt bei 50%</w:t>
            </w:r>
          </w:p>
          <w:p>
            <w:pPr>
              <w:pStyle w:val="Liste2"/>
            </w:pPr>
            <w:r>
              <w:t xml:space="preserve">Eckdaten der </w:t>
            </w:r>
            <w:r>
              <w:rPr>
                <w:b/>
                <w:bCs/>
              </w:rPr>
              <w:t>letzten 4 Wochen:</w:t>
            </w:r>
          </w:p>
          <w:p>
            <w:pPr>
              <w:pStyle w:val="Liste3"/>
              <w:numPr>
                <w:ilvl w:val="2"/>
                <w:numId w:val="6"/>
              </w:numPr>
            </w:pPr>
            <w:r>
              <w:t>Bisher 493 Ausbrüche</w:t>
            </w:r>
          </w:p>
          <w:p>
            <w:pPr>
              <w:pStyle w:val="Liste3"/>
              <w:numPr>
                <w:ilvl w:val="2"/>
                <w:numId w:val="6"/>
              </w:numPr>
            </w:pPr>
            <w:r>
              <w:t>Ausbruchsgröße: durchschnitt: 5 Fälle pro Ausbruch, median: 4 Fälle; (etwa 8% Ausbrüche &gt;=10 Fällen)</w:t>
            </w:r>
          </w:p>
          <w:p>
            <w:pPr>
              <w:pStyle w:val="Liste1"/>
            </w:pPr>
            <w:proofErr w:type="spellStart"/>
            <w:r>
              <w:t>Ausbrüche</w:t>
            </w:r>
            <w:proofErr w:type="spellEnd"/>
            <w:r>
              <w:t xml:space="preserve"> in </w:t>
            </w:r>
            <w:proofErr w:type="spellStart"/>
            <w:r>
              <w:t>Schulen</w:t>
            </w:r>
            <w:proofErr w:type="spellEnd"/>
          </w:p>
          <w:p>
            <w:pPr>
              <w:pStyle w:val="Liste2"/>
            </w:pPr>
            <w:r>
              <w:t>Ausbrüche steigen nach Herbstferien wieder sehr rasch an</w:t>
            </w:r>
          </w:p>
          <w:p>
            <w:pPr>
              <w:pStyle w:val="Liste2"/>
            </w:pPr>
            <w:r>
              <w:t>In KW 45 neuer Höchstwert mit bisher 570 Ausbrüchen/Woche; etwa 4-mal mehr Ausbrüche als im Vorjahr</w:t>
            </w:r>
          </w:p>
          <w:p>
            <w:pPr>
              <w:pStyle w:val="Liste2"/>
            </w:pPr>
            <w:r>
              <w:t>Überwiegend AG 6-10 in Schulausbrüchen übermittelt (31%; AG 11-14: 31%; AG 15-20: 11%, AG 21+: 7%)</w:t>
            </w:r>
          </w:p>
          <w:p>
            <w:pPr>
              <w:pStyle w:val="Liste2"/>
            </w:pPr>
            <w:r>
              <w:t xml:space="preserve">Eckdaten der </w:t>
            </w:r>
            <w:r>
              <w:rPr>
                <w:b/>
                <w:bCs/>
              </w:rPr>
              <w:t>letzten 4 Wochen</w:t>
            </w:r>
            <w:r>
              <w:t>:</w:t>
            </w:r>
          </w:p>
          <w:p>
            <w:pPr>
              <w:pStyle w:val="Liste3"/>
              <w:numPr>
                <w:ilvl w:val="2"/>
                <w:numId w:val="6"/>
              </w:numPr>
            </w:pPr>
            <w:r>
              <w:t xml:space="preserve">Bisher 1.536 Ausbrüche </w:t>
            </w:r>
          </w:p>
          <w:p>
            <w:pPr>
              <w:pStyle w:val="Liste3"/>
              <w:numPr>
                <w:ilvl w:val="2"/>
                <w:numId w:val="6"/>
              </w:numPr>
            </w:pPr>
            <w:r>
              <w:t xml:space="preserve">Ausbruchsgröße: durchschnitt: 5 Fälle, median: 4 Fälle pro Ausbruch; etwa 11% der Ausbrüche mit &gt;=10 Fällen </w:t>
            </w:r>
          </w:p>
          <w:p>
            <w:pPr>
              <w:pStyle w:val="Liste3"/>
              <w:numPr>
                <w:ilvl w:val="2"/>
                <w:numId w:val="6"/>
              </w:numPr>
            </w:pPr>
            <w:r>
              <w:t>größere Ausbrüche überwiegend in BB, ST und SN (Durchschnittliche Größe: 8-9)</w:t>
            </w:r>
          </w:p>
          <w:p>
            <w:pPr>
              <w:pStyle w:val="Liste3"/>
              <w:numPr>
                <w:ilvl w:val="2"/>
                <w:numId w:val="6"/>
              </w:numPr>
            </w:pPr>
            <w:r>
              <w:t>Kleinere Ausbrüche eher in HH, HE, BW und BY (Durchschnitt 3-4)</w:t>
            </w:r>
          </w:p>
          <w:p>
            <w:pPr>
              <w:pStyle w:val="Liste1"/>
            </w:pPr>
            <w:r>
              <w:t>Hospitalisierte Kinder</w:t>
            </w:r>
          </w:p>
          <w:p>
            <w:pPr>
              <w:pStyle w:val="Liste2"/>
              <w:rPr>
                <w:lang w:val="de-DE"/>
              </w:rPr>
            </w:pPr>
            <w:r>
              <w:rPr>
                <w:lang w:val="de-DE"/>
              </w:rPr>
              <w:t xml:space="preserve">ICOSARI deckt 6 % der Bevölkerung ab, bei 200 SARI Fällen im Sentinel ca. 3.000 neu hospitalisierte Kinder insgesamt geschätzt, davon rund 1.500 mit RSV-Diagnose </w:t>
            </w:r>
            <w:r>
              <w:rPr>
                <w:sz w:val="24"/>
                <w:szCs w:val="24"/>
                <w:lang w:val="de-DE"/>
              </w:rPr>
              <w:t>in der 47. KW 2021</w:t>
            </w:r>
          </w:p>
          <w:p>
            <w:pPr>
              <w:pStyle w:val="Liste2"/>
            </w:pPr>
            <w:r>
              <w:rPr>
                <w:b/>
                <w:bCs/>
                <w:lang w:val="de-DE"/>
              </w:rPr>
              <w:t>Meldesystem</w:t>
            </w:r>
            <w:r>
              <w:rPr>
                <w:lang w:val="de-DE"/>
              </w:rPr>
              <w:t xml:space="preserve">: theoretisch Vollerfassung der neu hospitalisierten COVID-19-Fälle, in der 45. </w:t>
            </w:r>
            <w:r>
              <w:t xml:space="preserve">KW (Stand 29.11.2021 ca. 120 </w:t>
            </w:r>
            <w:proofErr w:type="spellStart"/>
            <w:r>
              <w:t>hospitalisierte</w:t>
            </w:r>
            <w:proofErr w:type="spellEnd"/>
            <w:r>
              <w:t xml:space="preserve"> Kinder 0 bis 5 Jahre </w:t>
            </w:r>
            <w:proofErr w:type="spellStart"/>
            <w:r>
              <w:t>mit</w:t>
            </w:r>
            <w:proofErr w:type="spellEnd"/>
            <w:r>
              <w:t xml:space="preserve"> COVID-19 </w:t>
            </w:r>
          </w:p>
          <w:p>
            <w:pPr>
              <w:pStyle w:val="2"/>
            </w:pPr>
            <w:r>
              <w:t>Virologische Surveillance, NRZ Influenza</w:t>
            </w:r>
          </w:p>
          <w:p>
            <w:pPr>
              <w:pStyle w:val="Liste1"/>
            </w:pPr>
            <w:r>
              <w:t xml:space="preserve">Folien </w:t>
            </w:r>
            <w:hyperlink r:id="rId18" w:history="1">
              <w:r>
                <w:rPr>
                  <w:rStyle w:val="Hyperlink"/>
                </w:rPr>
                <w:t>hier</w:t>
              </w:r>
            </w:hyperlink>
          </w:p>
          <w:p>
            <w:pPr>
              <w:pStyle w:val="Liste1"/>
            </w:pPr>
            <w:r>
              <w:t>221 Einsendungen (+1)</w:t>
            </w:r>
          </w:p>
          <w:p>
            <w:pPr>
              <w:pStyle w:val="Liste1"/>
            </w:pPr>
            <w:r>
              <w:t>59 Arztpraxen (-2) / 16 Bundesländer</w:t>
            </w:r>
          </w:p>
          <w:p>
            <w:pPr>
              <w:pStyle w:val="Liste1"/>
            </w:pPr>
            <w:r>
              <w:t xml:space="preserve">65% </w:t>
            </w:r>
            <w:proofErr w:type="spellStart"/>
            <w:r>
              <w:t>Positivenanteil</w:t>
            </w:r>
            <w:proofErr w:type="spellEnd"/>
          </w:p>
          <w:p>
            <w:pPr>
              <w:pStyle w:val="Liste1"/>
            </w:pPr>
            <w:r>
              <w:t>Geringere Viruslast bei Geimpften als bei Ungeimpften</w:t>
            </w:r>
          </w:p>
          <w:p>
            <w:pPr>
              <w:pStyle w:val="Liste1"/>
            </w:pPr>
            <w:r>
              <w:t xml:space="preserve">Höchste </w:t>
            </w:r>
            <w:proofErr w:type="spellStart"/>
            <w:r>
              <w:t>Positivenquote</w:t>
            </w:r>
            <w:proofErr w:type="spellEnd"/>
            <w:r>
              <w:t xml:space="preserve"> bei RSV, aber rückgängig; höchster Anteil bei den 0-</w:t>
            </w:r>
            <w:proofErr w:type="gramStart"/>
            <w:r>
              <w:t>4 Jährigen</w:t>
            </w:r>
            <w:proofErr w:type="gramEnd"/>
          </w:p>
          <w:p>
            <w:pPr>
              <w:pStyle w:val="2"/>
              <w:rPr>
                <w:rStyle w:val="TagMiZchn"/>
                <w:b/>
                <w:i w:val="0"/>
                <w:color w:val="auto"/>
              </w:rPr>
            </w:pPr>
            <w:r>
              <w:t xml:space="preserve">Zahlen zum DIVI-Intensivregister </w:t>
            </w:r>
          </w:p>
          <w:p>
            <w:pPr>
              <w:pStyle w:val="Liste1"/>
            </w:pPr>
            <w:r>
              <w:t xml:space="preserve">Folien </w:t>
            </w:r>
            <w:hyperlink r:id="rId19" w:history="1">
              <w:r>
                <w:rPr>
                  <w:rStyle w:val="Hyperlink"/>
                </w:rPr>
                <w:t>hier</w:t>
              </w:r>
            </w:hyperlink>
          </w:p>
          <w:p>
            <w:pPr>
              <w:pStyle w:val="Liste1"/>
            </w:pPr>
            <w:r>
              <w:t xml:space="preserve">Mit Stand 01.12.2021 werden </w:t>
            </w:r>
            <w:r>
              <w:rPr>
                <w:b/>
                <w:bCs/>
              </w:rPr>
              <w:t xml:space="preserve">4.690 </w:t>
            </w:r>
            <w:r>
              <w:t xml:space="preserve">COVID-19-Patient*innen auf Intensivstationen (der ca. 1.300 Akutkrankenhäuser) behandelt. </w:t>
            </w:r>
          </w:p>
          <w:p>
            <w:pPr>
              <w:pStyle w:val="Liste1"/>
            </w:pPr>
            <w:r>
              <w:lastRenderedPageBreak/>
              <w:t>In allen Bundesländern ist ein Anstieg in der COVID-ITS-Belegung zu sehen</w:t>
            </w:r>
          </w:p>
          <w:p>
            <w:pPr>
              <w:pStyle w:val="Liste1"/>
            </w:pPr>
            <w:r>
              <w:t xml:space="preserve">Erneuter Anstieg in täglichen ITS-Neuaufnahmen von COVID-Patienten mit </w:t>
            </w:r>
            <w:r>
              <w:rPr>
                <w:b/>
                <w:bCs/>
              </w:rPr>
              <w:t xml:space="preserve">+2.396 </w:t>
            </w:r>
            <w:r>
              <w:t>in den letzten 7 Tagen</w:t>
            </w:r>
          </w:p>
          <w:p>
            <w:pPr>
              <w:pStyle w:val="Liste1"/>
            </w:pPr>
            <w:r>
              <w:t>Anteil der COVID-19-Patient*innen an der Gesamtzahl betreibbarer ITS-Betten: Alle Länder ansteigend</w:t>
            </w:r>
          </w:p>
          <w:p>
            <w:pPr>
              <w:pStyle w:val="Liste1"/>
            </w:pPr>
            <w:r>
              <w:t>&lt; 3% Linie (Basisstufe): 0 Länder; &gt; 3 % (Stufe 1): 16 Länder; &gt;12%: 9 Länder</w:t>
            </w:r>
          </w:p>
          <w:p>
            <w:pPr>
              <w:pStyle w:val="Liste1"/>
            </w:pPr>
            <w:r>
              <w:t>63,1% über 60J in aktueller ITS-Belegung</w:t>
            </w:r>
          </w:p>
          <w:p>
            <w:pPr>
              <w:pStyle w:val="Liste1"/>
            </w:pPr>
            <w:r>
              <w:t>Anteil Belegung der 60+ Jährigen steigt prozentual (rechte Graphik)</w:t>
            </w:r>
          </w:p>
          <w:p>
            <w:pPr>
              <w:pStyle w:val="Liste1"/>
            </w:pPr>
            <w:r>
              <w:t>Alle Altersgruppen steigen in absoluten Zahlen an (auch die unter 18, kleine Zahl aber auch nun bei 28), besonders starke Anstiege ab 40+, extrem starke Anstiege in Gruppe 60-69 (gelb) und 70-79 (braun)</w:t>
            </w:r>
          </w:p>
          <w:p>
            <w:pPr>
              <w:pStyle w:val="Liste1"/>
              <w:rPr>
                <w:rStyle w:val="TagMiZchn"/>
                <w:b w:val="0"/>
                <w:i w:val="0"/>
                <w:color w:val="auto"/>
              </w:rPr>
            </w:pPr>
            <w:proofErr w:type="spellStart"/>
            <w:r>
              <w:rPr>
                <w:rStyle w:val="TagMiZchn"/>
                <w:b w:val="0"/>
                <w:i w:val="0"/>
                <w:color w:val="auto"/>
              </w:rPr>
              <w:t>SpoCK</w:t>
            </w:r>
            <w:proofErr w:type="spellEnd"/>
          </w:p>
          <w:p>
            <w:pPr>
              <w:pStyle w:val="Liste2"/>
              <w:rPr>
                <w:lang w:val="de-DE"/>
              </w:rPr>
            </w:pPr>
            <w:r>
              <w:rPr>
                <w:lang w:val="de-DE"/>
              </w:rPr>
              <w:t xml:space="preserve">Prognosen für die nächsten 20 Tage. Prognosen düster – hierbei ist zu beachten, dass dies die Trends </w:t>
            </w:r>
            <w:proofErr w:type="gramStart"/>
            <w:r>
              <w:rPr>
                <w:lang w:val="de-DE"/>
              </w:rPr>
              <w:t>anzeigt</w:t>
            </w:r>
            <w:proofErr w:type="gramEnd"/>
            <w:r>
              <w:rPr>
                <w:lang w:val="de-DE"/>
              </w:rPr>
              <w:t xml:space="preserve"> wenn der jetzige Zustand und Trend sich fortsetzt (sprich keine Maßnahmen oder andere Effekte die nächsten Tage einsetzen).  Verlässlich sind also v.a. eher die nächsten 10 Tage der Prognose</w:t>
            </w:r>
          </w:p>
        </w:tc>
        <w:tc>
          <w:tcPr>
            <w:tcW w:w="1463" w:type="dxa"/>
          </w:tcPr>
          <w:p>
            <w:pPr>
              <w:rPr>
                <w:sz w:val="22"/>
                <w:szCs w:val="22"/>
              </w:rPr>
            </w:pPr>
          </w:p>
          <w:p>
            <w:pPr>
              <w:rPr>
                <w:sz w:val="22"/>
                <w:szCs w:val="22"/>
              </w:rPr>
            </w:pPr>
          </w:p>
          <w:p>
            <w:pPr>
              <w:rPr>
                <w:sz w:val="22"/>
                <w:szCs w:val="22"/>
              </w:rPr>
            </w:pPr>
            <w:r>
              <w:rPr>
                <w:sz w:val="22"/>
                <w:szCs w:val="22"/>
              </w:rPr>
              <w:t xml:space="preserve">FG32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lastRenderedPageBreak/>
              <w:t>FG 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Hanfeld</w:t>
            </w:r>
            <w:proofErr w:type="spellEnd"/>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Rexroth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Herzog</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Mielke</w:t>
            </w:r>
          </w:p>
          <w:p>
            <w:pPr>
              <w:rPr>
                <w:sz w:val="22"/>
                <w:szCs w:val="22"/>
              </w:rPr>
            </w:pPr>
          </w:p>
          <w:p>
            <w:pPr>
              <w:rPr>
                <w:sz w:val="22"/>
                <w:szCs w:val="22"/>
              </w:rPr>
            </w:pPr>
          </w:p>
          <w:p>
            <w:pPr>
              <w:rPr>
                <w:sz w:val="22"/>
                <w:szCs w:val="22"/>
              </w:rPr>
            </w:pPr>
            <w:r>
              <w:rPr>
                <w:sz w:val="22"/>
                <w:szCs w:val="22"/>
              </w:rPr>
              <w:t>MF1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Internationales</w:t>
            </w:r>
            <w:r>
              <w:rPr>
                <w:b/>
                <w:color w:val="FF0000"/>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ZIG</w:t>
            </w:r>
            <w:r>
              <w:rPr>
                <w:sz w:val="22"/>
                <w:szCs w:val="22"/>
              </w:rPr>
              <w:br/>
            </w:r>
          </w:p>
        </w:tc>
      </w:tr>
      <w:tr>
        <w:tc>
          <w:tcPr>
            <w:tcW w:w="684" w:type="dxa"/>
          </w:tcPr>
          <w:p>
            <w:pPr>
              <w:rPr>
                <w:b/>
              </w:rPr>
            </w:pPr>
            <w:r>
              <w:rPr>
                <w:b/>
              </w:rPr>
              <w:t>3</w:t>
            </w:r>
          </w:p>
        </w:tc>
        <w:tc>
          <w:tcPr>
            <w:tcW w:w="6824" w:type="dxa"/>
          </w:tcPr>
          <w:p>
            <w:pPr>
              <w:spacing w:line="276" w:lineRule="auto"/>
              <w:rPr>
                <w:rStyle w:val="TagFrZchn"/>
              </w:rPr>
            </w:pPr>
            <w:r>
              <w:rPr>
                <w:rStyle w:val="1Zchn"/>
              </w:rPr>
              <w:t>Update digitale Projekte</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FG21</w:t>
            </w:r>
          </w:p>
          <w:p>
            <w:pPr>
              <w:rPr>
                <w:sz w:val="22"/>
                <w:szCs w:val="22"/>
              </w:rPr>
            </w:pPr>
          </w:p>
        </w:tc>
      </w:tr>
      <w:tr>
        <w:tc>
          <w:tcPr>
            <w:tcW w:w="684" w:type="dxa"/>
          </w:tcPr>
          <w:p>
            <w:pPr>
              <w:rPr>
                <w:b/>
              </w:rPr>
            </w:pPr>
            <w:r>
              <w:rPr>
                <w:b/>
              </w:rPr>
              <w:t>4</w:t>
            </w:r>
          </w:p>
        </w:tc>
        <w:tc>
          <w:tcPr>
            <w:tcW w:w="6824" w:type="dxa"/>
          </w:tcPr>
          <w:p>
            <w:pPr>
              <w:pStyle w:val="1"/>
            </w:pPr>
            <w:r>
              <w:t>Aktuelle Risikobewertung</w:t>
            </w:r>
          </w:p>
          <w:p>
            <w:pPr>
              <w:pStyle w:val="Liste1"/>
            </w:pPr>
            <w:r>
              <w:t xml:space="preserve">Ein neues Dokument zum Monitoring von COVID-19 und der Impfsituation in </w:t>
            </w:r>
            <w:proofErr w:type="spellStart"/>
            <w:r>
              <w:t>Langzeitpflegeienrichtungen</w:t>
            </w:r>
            <w:proofErr w:type="spellEnd"/>
            <w:r>
              <w:t xml:space="preserve"> wird zeitnah veröffentlicht (</w:t>
            </w:r>
            <w:hyperlink r:id="rId20" w:history="1">
              <w:r>
                <w:rPr>
                  <w:rStyle w:val="Hyperlink"/>
                </w:rPr>
                <w:t>hier</w:t>
              </w:r>
            </w:hyperlink>
            <w:r>
              <w:t>)</w:t>
            </w:r>
          </w:p>
          <w:p>
            <w:pPr>
              <w:pStyle w:val="Liste1"/>
              <w:numPr>
                <w:ilvl w:val="0"/>
                <w:numId w:val="0"/>
              </w:numPr>
              <w:ind w:left="473"/>
            </w:pP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rPr>
          <w:trHeight w:val="518"/>
        </w:trPr>
        <w:tc>
          <w:tcPr>
            <w:tcW w:w="684" w:type="dxa"/>
          </w:tcPr>
          <w:p>
            <w:pPr>
              <w:rPr>
                <w:b/>
              </w:rPr>
            </w:pPr>
            <w:r>
              <w:rPr>
                <w:b/>
              </w:rPr>
              <w:t>5</w:t>
            </w:r>
          </w:p>
        </w:tc>
        <w:tc>
          <w:tcPr>
            <w:tcW w:w="6824" w:type="dxa"/>
          </w:tcPr>
          <w:p>
            <w:pPr>
              <w:pStyle w:val="1"/>
            </w:pPr>
            <w:r>
              <w:t>Kommunikation</w:t>
            </w:r>
          </w:p>
          <w:p>
            <w:pPr>
              <w:pStyle w:val="2"/>
            </w:pPr>
            <w:r>
              <w:t>BZgA</w:t>
            </w:r>
          </w:p>
          <w:p>
            <w:pPr>
              <w:pStyle w:val="Liste1"/>
            </w:pPr>
            <w:r>
              <w:t>Material zur Auffrischimpfung wird demnächst veröffentlicht</w:t>
            </w:r>
          </w:p>
          <w:p>
            <w:pPr>
              <w:pStyle w:val="Liste1"/>
            </w:pPr>
            <w:r>
              <w:t>Grippekampagne wird ausgerollt</w:t>
            </w:r>
          </w:p>
          <w:p>
            <w:pPr>
              <w:pStyle w:val="Liste1"/>
            </w:pPr>
            <w:r>
              <w:t>Plakat zur Impfung bei Kindern für Kinder wurde gestaltet, ebenso wie weiteres Informationsmaterial</w:t>
            </w:r>
          </w:p>
          <w:p>
            <w:pPr>
              <w:pStyle w:val="Liste1"/>
            </w:pPr>
            <w:r>
              <w:t>Grundlegende Schutzmaßnahmen sollen weiterhin thematisiert werden</w:t>
            </w:r>
          </w:p>
          <w:p>
            <w:pPr>
              <w:pStyle w:val="2"/>
            </w:pPr>
            <w:r>
              <w:t>Presse</w:t>
            </w:r>
          </w:p>
          <w:p>
            <w:pPr>
              <w:pStyle w:val="Liste1"/>
            </w:pPr>
            <w:r>
              <w:t>Es soll weiterhin zur Vorsicht ermahnt werden und kommuniziert werden, dass das derzeitige Plateau kein Zeichen zur Entwarnung ist</w:t>
            </w:r>
          </w:p>
          <w:p>
            <w:pPr>
              <w:pStyle w:val="Liste1"/>
              <w:numPr>
                <w:ilvl w:val="0"/>
                <w:numId w:val="0"/>
              </w:numPr>
              <w:ind w:left="473" w:hanging="360"/>
            </w:pPr>
          </w:p>
          <w:p>
            <w:pPr>
              <w:pStyle w:val="Liste1"/>
              <w:numPr>
                <w:ilvl w:val="0"/>
                <w:numId w:val="0"/>
              </w:numPr>
              <w:ind w:left="473" w:hanging="360"/>
              <w:rPr>
                <w:b/>
                <w:i/>
              </w:rPr>
            </w:pPr>
            <w:r>
              <w:rPr>
                <w:b/>
                <w:i/>
              </w:rPr>
              <w:t>Diskussion:</w:t>
            </w:r>
          </w:p>
          <w:p>
            <w:pPr>
              <w:pStyle w:val="Liste2"/>
              <w:rPr>
                <w:lang w:val="de-DE"/>
              </w:rPr>
            </w:pPr>
            <w:r>
              <w:rPr>
                <w:lang w:val="de-DE"/>
              </w:rPr>
              <w:t xml:space="preserve">Ein bundesweiter Aufruf sollte gestartet werden um Reisende aus den </w:t>
            </w:r>
            <w:proofErr w:type="spellStart"/>
            <w:r>
              <w:rPr>
                <w:lang w:val="de-DE"/>
              </w:rPr>
              <w:t>Virusvarientengebieten</w:t>
            </w:r>
            <w:proofErr w:type="spellEnd"/>
            <w:r>
              <w:rPr>
                <w:lang w:val="de-DE"/>
              </w:rPr>
              <w:t xml:space="preserve"> aufzurufen sich </w:t>
            </w:r>
            <w:r>
              <w:rPr>
                <w:lang w:val="de-DE"/>
              </w:rPr>
              <w:lastRenderedPageBreak/>
              <w:t>bei Symptomen freiwillig abzusondern und testen zu lassen</w:t>
            </w:r>
          </w:p>
          <w:p>
            <w:pPr>
              <w:pStyle w:val="Liste2"/>
              <w:rPr>
                <w:lang w:val="de-DE"/>
              </w:rPr>
            </w:pPr>
            <w:r>
              <w:rPr>
                <w:lang w:val="de-DE"/>
              </w:rPr>
              <w:t>Die Kostenübernahme dafür ist nicht geklärt</w:t>
            </w:r>
          </w:p>
          <w:p>
            <w:pPr>
              <w:pStyle w:val="Liste2"/>
              <w:rPr>
                <w:lang w:val="de-DE"/>
              </w:rPr>
            </w:pPr>
            <w:r>
              <w:rPr>
                <w:lang w:val="de-DE"/>
              </w:rPr>
              <w:t>England und Norwegen haben bereits ein Datum festgelegt und zur Absonderung aufgerufen</w:t>
            </w:r>
          </w:p>
          <w:p>
            <w:pPr>
              <w:pStyle w:val="ToDo"/>
            </w:pPr>
            <w:proofErr w:type="spellStart"/>
            <w:r>
              <w:rPr>
                <w:b/>
              </w:rPr>
              <w:t>ToDo</w:t>
            </w:r>
            <w:proofErr w:type="spellEnd"/>
            <w:r>
              <w:rPr>
                <w:b/>
              </w:rPr>
              <w:t>:</w:t>
            </w:r>
            <w:r>
              <w:t xml:space="preserve"> Tweet-Beitrag soll noch heute entworfen werden, sodass Personen die aus einem Virusvariantengebieten eingereist sind Kontakte reduzieren und bei Symptomen einen Test durchführen sollten. </w:t>
            </w:r>
          </w:p>
          <w:p>
            <w:pPr>
              <w:pStyle w:val="2"/>
            </w:pPr>
            <w:r>
              <w:t>P1</w:t>
            </w:r>
          </w:p>
          <w:p>
            <w:pPr>
              <w:pStyle w:val="Liste1"/>
              <w:rPr>
                <w:i/>
              </w:rPr>
            </w:pPr>
            <w:r>
              <w:t>Der Flyer „Sicher durch den Winter“ wurde gestern publiziert</w:t>
            </w:r>
            <w:r>
              <w:br/>
            </w:r>
          </w:p>
        </w:tc>
        <w:tc>
          <w:tcPr>
            <w:tcW w:w="1463" w:type="dxa"/>
          </w:tcPr>
          <w:p>
            <w:pPr>
              <w:rPr>
                <w:sz w:val="22"/>
                <w:szCs w:val="22"/>
              </w:rPr>
            </w:pPr>
          </w:p>
          <w:p>
            <w:pPr>
              <w:rPr>
                <w:sz w:val="22"/>
                <w:szCs w:val="22"/>
              </w:rPr>
            </w:pPr>
          </w:p>
          <w:p>
            <w:pPr>
              <w:rPr>
                <w:sz w:val="22"/>
                <w:szCs w:val="22"/>
                <w:lang w:val="en-US"/>
              </w:rPr>
            </w:pPr>
            <w:proofErr w:type="spellStart"/>
            <w:r>
              <w:rPr>
                <w:sz w:val="22"/>
                <w:szCs w:val="22"/>
                <w:lang w:val="en-US"/>
              </w:rPr>
              <w:t>BZgA</w:t>
            </w:r>
            <w:proofErr w:type="spellEnd"/>
            <w:r>
              <w:rPr>
                <w:sz w:val="22"/>
                <w:szCs w:val="22"/>
                <w:lang w:val="en-US"/>
              </w:rPr>
              <w:br/>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r>
              <w:rPr>
                <w:sz w:val="22"/>
                <w:szCs w:val="22"/>
                <w:lang w:val="en-US"/>
              </w:rPr>
              <w:t>Presse</w:t>
            </w:r>
            <w:r>
              <w:rPr>
                <w:sz w:val="22"/>
                <w:szCs w:val="22"/>
                <w:lang w:val="en-US"/>
              </w:rPr>
              <w:br/>
            </w:r>
          </w:p>
          <w:p>
            <w:pPr>
              <w:rPr>
                <w:sz w:val="22"/>
                <w:szCs w:val="22"/>
                <w:lang w:val="en-US"/>
              </w:rPr>
            </w:pPr>
            <w:r>
              <w:rPr>
                <w:sz w:val="22"/>
                <w:szCs w:val="22"/>
                <w:lang w:val="en-US"/>
              </w:rPr>
              <w:br/>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r>
              <w:rPr>
                <w:sz w:val="22"/>
                <w:szCs w:val="22"/>
                <w:lang w:val="en-US"/>
              </w:rPr>
              <w:t>Presse, Social Media Team</w:t>
            </w:r>
          </w:p>
          <w:p>
            <w:pPr>
              <w:rPr>
                <w:sz w:val="22"/>
                <w:szCs w:val="22"/>
                <w:lang w:val="en-US"/>
              </w:rPr>
            </w:pPr>
          </w:p>
          <w:p>
            <w:pPr>
              <w:rPr>
                <w:sz w:val="22"/>
                <w:szCs w:val="22"/>
                <w:lang w:val="en-US"/>
              </w:rPr>
            </w:pPr>
          </w:p>
          <w:p>
            <w:pPr>
              <w:rPr>
                <w:sz w:val="22"/>
                <w:szCs w:val="22"/>
              </w:rPr>
            </w:pPr>
            <w:r>
              <w:rPr>
                <w:sz w:val="22"/>
                <w:szCs w:val="22"/>
              </w:rPr>
              <w:t>P1</w:t>
            </w:r>
          </w:p>
        </w:tc>
      </w:tr>
      <w:tr>
        <w:tc>
          <w:tcPr>
            <w:tcW w:w="684" w:type="dxa"/>
          </w:tcPr>
          <w:p>
            <w:pPr>
              <w:rPr>
                <w:b/>
              </w:rPr>
            </w:pPr>
            <w:r>
              <w:rPr>
                <w:b/>
              </w:rPr>
              <w:lastRenderedPageBreak/>
              <w:t>6</w:t>
            </w:r>
          </w:p>
        </w:tc>
        <w:tc>
          <w:tcPr>
            <w:tcW w:w="6824" w:type="dxa"/>
          </w:tcPr>
          <w:p>
            <w:pPr>
              <w:pStyle w:val="1"/>
            </w:pPr>
            <w:r>
              <w:t>RKI-Strategie Fragen</w:t>
            </w:r>
          </w:p>
          <w:p>
            <w:pPr>
              <w:pStyle w:val="2"/>
            </w:pPr>
            <w:r>
              <w:t>Allgemein</w:t>
            </w:r>
          </w:p>
          <w:p>
            <w:pPr>
              <w:pStyle w:val="Liste1"/>
            </w:pPr>
            <w:r>
              <w:t>nicht berichtet</w:t>
            </w:r>
          </w:p>
          <w:p>
            <w:pPr>
              <w:pStyle w:val="2"/>
              <w:rPr>
                <w:i/>
              </w:rPr>
            </w:pPr>
            <w:r>
              <w:t>RKI-intern</w:t>
            </w:r>
          </w:p>
          <w:p>
            <w:pPr>
              <w:pStyle w:val="Liste1"/>
            </w:pPr>
            <w:r>
              <w:t>nicht berichtet</w:t>
            </w: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lang w:val="en-GB"/>
              </w:rPr>
            </w:pPr>
            <w:r>
              <w:rPr>
                <w:sz w:val="22"/>
                <w:szCs w:val="22"/>
                <w:lang w:val="en-GB"/>
              </w:rPr>
              <w:t>Abt. 3</w:t>
            </w:r>
            <w:r>
              <w:rPr>
                <w:sz w:val="22"/>
                <w:szCs w:val="22"/>
                <w:lang w:val="en-GB"/>
              </w:rPr>
              <w:br/>
            </w:r>
          </w:p>
        </w:tc>
      </w:tr>
      <w:tr>
        <w:tc>
          <w:tcPr>
            <w:tcW w:w="684" w:type="dxa"/>
          </w:tcPr>
          <w:p>
            <w:pPr>
              <w:rPr>
                <w:b/>
              </w:rPr>
            </w:pPr>
            <w:r>
              <w:rPr>
                <w:b/>
              </w:rPr>
              <w:t>7</w:t>
            </w:r>
          </w:p>
        </w:tc>
        <w:tc>
          <w:tcPr>
            <w:tcW w:w="6824" w:type="dxa"/>
          </w:tcPr>
          <w:p>
            <w:pPr>
              <w:spacing w:line="276" w:lineRule="auto"/>
              <w:rPr>
                <w:b/>
                <w:sz w:val="28"/>
              </w:rPr>
            </w:pPr>
            <w:r>
              <w:rPr>
                <w:b/>
                <w:sz w:val="28"/>
              </w:rPr>
              <w:t>Dokumente</w:t>
            </w:r>
          </w:p>
          <w:p>
            <w:pPr>
              <w:pStyle w:val="Liste1"/>
            </w:pPr>
            <w:r>
              <w:t>nicht berichtet</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8</w:t>
            </w:r>
          </w:p>
        </w:tc>
        <w:tc>
          <w:tcPr>
            <w:tcW w:w="6824" w:type="dxa"/>
          </w:tcPr>
          <w:p>
            <w:pPr>
              <w:spacing w:line="276" w:lineRule="auto"/>
              <w:rPr>
                <w:rStyle w:val="TagFrZchn"/>
              </w:rPr>
            </w:pPr>
            <w:r>
              <w:rPr>
                <w:rStyle w:val="1Zchn"/>
              </w:rPr>
              <w:t>Update Impfen</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 xml:space="preserve">FG33 </w:t>
            </w:r>
          </w:p>
          <w:p>
            <w:pPr>
              <w:rPr>
                <w:sz w:val="22"/>
                <w:szCs w:val="22"/>
              </w:rPr>
            </w:pPr>
          </w:p>
        </w:tc>
      </w:tr>
      <w:tr>
        <w:tc>
          <w:tcPr>
            <w:tcW w:w="684" w:type="dxa"/>
          </w:tcPr>
          <w:p>
            <w:pPr>
              <w:rPr>
                <w:b/>
              </w:rPr>
            </w:pPr>
            <w:r>
              <w:rPr>
                <w:b/>
              </w:rPr>
              <w:t>9</w:t>
            </w:r>
          </w:p>
        </w:tc>
        <w:tc>
          <w:tcPr>
            <w:tcW w:w="6824" w:type="dxa"/>
          </w:tcPr>
          <w:p>
            <w:pPr>
              <w:pStyle w:val="1"/>
            </w:pPr>
            <w:r>
              <w:t>Labordiagnostik</w:t>
            </w:r>
          </w:p>
          <w:p>
            <w:pPr>
              <w:pStyle w:val="2"/>
            </w:pPr>
            <w:r>
              <w:t>FG17</w:t>
            </w:r>
          </w:p>
          <w:p>
            <w:pPr>
              <w:pStyle w:val="Liste1"/>
            </w:pPr>
            <w:r>
              <w:t>nicht berichtet</w:t>
            </w:r>
          </w:p>
          <w:p>
            <w:pPr>
              <w:pStyle w:val="2"/>
            </w:pPr>
            <w:r>
              <w:t>ZBS1</w:t>
            </w:r>
          </w:p>
          <w:p>
            <w:pPr>
              <w:pStyle w:val="Liste1"/>
            </w:pPr>
            <w:r>
              <w:t>nicht berichtet</w:t>
            </w: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r>
              <w:rPr>
                <w:sz w:val="22"/>
                <w:szCs w:val="22"/>
              </w:rPr>
              <w:t>ZBS1</w:t>
            </w:r>
            <w:r>
              <w:rPr>
                <w:sz w:val="22"/>
                <w:szCs w:val="22"/>
              </w:rPr>
              <w:br/>
            </w:r>
          </w:p>
          <w:p>
            <w:pPr>
              <w:rPr>
                <w:sz w:val="22"/>
                <w:szCs w:val="22"/>
              </w:rPr>
            </w:pPr>
          </w:p>
          <w:p>
            <w:pPr>
              <w:rPr>
                <w:sz w:val="22"/>
                <w:szCs w:val="22"/>
              </w:rPr>
            </w:pPr>
          </w:p>
        </w:tc>
      </w:tr>
      <w:tr>
        <w:tc>
          <w:tcPr>
            <w:tcW w:w="684" w:type="dxa"/>
          </w:tcPr>
          <w:p>
            <w:pPr>
              <w:rPr>
                <w:b/>
              </w:rPr>
            </w:pPr>
            <w:r>
              <w:rPr>
                <w:b/>
              </w:rPr>
              <w:t>10</w:t>
            </w:r>
          </w:p>
        </w:tc>
        <w:tc>
          <w:tcPr>
            <w:tcW w:w="6824" w:type="dxa"/>
          </w:tcPr>
          <w:p>
            <w:pPr>
              <w:pStyle w:val="1"/>
            </w:pPr>
            <w:r>
              <w:t>Klinisches Management/Entlassungsmanagement</w:t>
            </w:r>
          </w:p>
          <w:p>
            <w:pPr>
              <w:pStyle w:val="Liste1"/>
            </w:pPr>
            <w:r>
              <w:t>nicht berichtet</w:t>
            </w: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11</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12</w:t>
            </w:r>
          </w:p>
        </w:tc>
        <w:tc>
          <w:tcPr>
            <w:tcW w:w="6824" w:type="dxa"/>
          </w:tcPr>
          <w:p>
            <w:pPr>
              <w:pStyle w:val="1"/>
              <w:rPr>
                <w:sz w:val="22"/>
              </w:rPr>
            </w:pPr>
            <w:r>
              <w:t>Surveillance</w:t>
            </w:r>
          </w:p>
          <w:p>
            <w:pPr>
              <w:pStyle w:val="Liste1"/>
            </w:pPr>
            <w:r>
              <w:t>nicht berichtet</w:t>
            </w:r>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t>13</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14</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freitags)</w:t>
            </w:r>
          </w:p>
          <w:p>
            <w:pPr>
              <w:pStyle w:val="Liste1"/>
            </w:pPr>
            <w:r>
              <w:t>nicht berichtet</w:t>
            </w:r>
          </w:p>
          <w:p>
            <w:pPr>
              <w:pStyle w:val="Liste1"/>
              <w:numPr>
                <w:ilvl w:val="0"/>
                <w:numId w:val="0"/>
              </w:numPr>
              <w:ind w:left="473"/>
            </w:pP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lastRenderedPageBreak/>
              <w:t>15</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16</w:t>
            </w:r>
          </w:p>
        </w:tc>
        <w:tc>
          <w:tcPr>
            <w:tcW w:w="6824" w:type="dxa"/>
          </w:tcPr>
          <w:p>
            <w:pPr>
              <w:pStyle w:val="1"/>
            </w:pPr>
            <w:r>
              <w:t>Andere Themen</w:t>
            </w:r>
          </w:p>
          <w:p>
            <w:pPr>
              <w:pStyle w:val="Liste1"/>
            </w:pPr>
            <w:r>
              <w:t xml:space="preserve">Nächste Sitzung: Freitag, 03.12.2021, 11:00 Uhr, via </w:t>
            </w:r>
            <w:proofErr w:type="spellStart"/>
            <w:r>
              <w:t>Webex</w:t>
            </w:r>
            <w:proofErr w:type="spellEnd"/>
            <w:r>
              <w:br/>
            </w:r>
          </w:p>
        </w:tc>
        <w:tc>
          <w:tcPr>
            <w:tcW w:w="1463" w:type="dxa"/>
          </w:tcPr>
          <w:p>
            <w:pPr>
              <w:rPr>
                <w:sz w:val="22"/>
                <w:szCs w:val="22"/>
              </w:rPr>
            </w:pPr>
          </w:p>
          <w:p>
            <w:pPr>
              <w:rPr>
                <w:sz w:val="22"/>
                <w:szCs w:val="22"/>
              </w:rPr>
            </w:pPr>
          </w:p>
          <w:p>
            <w:pPr>
              <w:rPr>
                <w:sz w:val="22"/>
                <w:szCs w:val="22"/>
              </w:rPr>
            </w:pPr>
          </w:p>
        </w:tc>
      </w:tr>
    </w:tbl>
    <w:p>
      <w:pPr>
        <w:rPr>
          <w:b/>
        </w:rPr>
      </w:pPr>
    </w:p>
    <w:p>
      <w:pPr>
        <w:rPr>
          <w:b/>
          <w:highlight w:val="yellow"/>
        </w:rPr>
      </w:pPr>
      <w:r>
        <w:rPr>
          <w:b/>
        </w:rPr>
        <w:t>Ende: 13:15 Uhr</w:t>
      </w:r>
    </w:p>
    <w:p>
      <w:pPr>
        <w:rPr>
          <w:b/>
        </w:rPr>
      </w:pPr>
    </w:p>
    <w:p>
      <w:pPr>
        <w:rPr>
          <w:b/>
        </w:rPr>
      </w:pPr>
    </w:p>
    <w:p>
      <w:pPr>
        <w:rPr>
          <w:b/>
        </w:rPr>
      </w:pP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AC5A26"/>
    <w:multiLevelType w:val="hybridMultilevel"/>
    <w:tmpl w:val="FB0EEB7A"/>
    <w:lvl w:ilvl="0" w:tplc="EB4451E8">
      <w:start w:val="1"/>
      <w:numFmt w:val="bullet"/>
      <w:pStyle w:val="Liste1"/>
      <w:lvlText w:val=""/>
      <w:lvlJc w:val="left"/>
      <w:pPr>
        <w:ind w:left="360" w:hanging="360"/>
      </w:pPr>
      <w:rPr>
        <w:rFonts w:ascii="Symbol" w:hAnsi="Symbol" w:hint="default"/>
      </w:rPr>
    </w:lvl>
    <w:lvl w:ilvl="1" w:tplc="3EEEC43C">
      <w:start w:val="1"/>
      <w:numFmt w:val="bullet"/>
      <w:pStyle w:val="Liste3"/>
      <w:lvlText w:val=""/>
      <w:lvlJc w:val="left"/>
      <w:pPr>
        <w:ind w:left="1080" w:hanging="360"/>
      </w:pPr>
      <w:rPr>
        <w:rFonts w:ascii="Wingdings" w:hAnsi="Wingdings"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8AB08AF"/>
    <w:multiLevelType w:val="hybridMultilevel"/>
    <w:tmpl w:val="D594107E"/>
    <w:lvl w:ilvl="0" w:tplc="1D862228">
      <w:start w:val="1"/>
      <w:numFmt w:val="bullet"/>
      <w:pStyle w:val="Liste2"/>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3"/>
  </w:num>
  <w:num w:numId="6">
    <w:abstractNumId w:val="2"/>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096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48477">
      <w:bodyDiv w:val="1"/>
      <w:marLeft w:val="0"/>
      <w:marRight w:val="0"/>
      <w:marTop w:val="0"/>
      <w:marBottom w:val="0"/>
      <w:divBdr>
        <w:top w:val="none" w:sz="0" w:space="0" w:color="auto"/>
        <w:left w:val="none" w:sz="0" w:space="0" w:color="auto"/>
        <w:bottom w:val="none" w:sz="0" w:space="0" w:color="auto"/>
        <w:right w:val="none" w:sz="0" w:space="0" w:color="auto"/>
      </w:divBdr>
      <w:divsChild>
        <w:div w:id="122698366">
          <w:marLeft w:val="360"/>
          <w:marRight w:val="0"/>
          <w:marTop w:val="120"/>
          <w:marBottom w:val="0"/>
          <w:divBdr>
            <w:top w:val="none" w:sz="0" w:space="0" w:color="auto"/>
            <w:left w:val="none" w:sz="0" w:space="0" w:color="auto"/>
            <w:bottom w:val="none" w:sz="0" w:space="0" w:color="auto"/>
            <w:right w:val="none" w:sz="0" w:space="0" w:color="auto"/>
          </w:divBdr>
        </w:div>
        <w:div w:id="2099518467">
          <w:marLeft w:val="360"/>
          <w:marRight w:val="0"/>
          <w:marTop w:val="120"/>
          <w:marBottom w:val="0"/>
          <w:divBdr>
            <w:top w:val="none" w:sz="0" w:space="0" w:color="auto"/>
            <w:left w:val="none" w:sz="0" w:space="0" w:color="auto"/>
            <w:bottom w:val="none" w:sz="0" w:space="0" w:color="auto"/>
            <w:right w:val="none" w:sz="0" w:space="0" w:color="auto"/>
          </w:divBdr>
        </w:div>
        <w:div w:id="672604986">
          <w:marLeft w:val="360"/>
          <w:marRight w:val="0"/>
          <w:marTop w:val="120"/>
          <w:marBottom w:val="0"/>
          <w:divBdr>
            <w:top w:val="none" w:sz="0" w:space="0" w:color="auto"/>
            <w:left w:val="none" w:sz="0" w:space="0" w:color="auto"/>
            <w:bottom w:val="none" w:sz="0" w:space="0" w:color="auto"/>
            <w:right w:val="none" w:sz="0" w:space="0" w:color="auto"/>
          </w:divBdr>
        </w:div>
      </w:divsChild>
    </w:div>
    <w:div w:id="116142152">
      <w:bodyDiv w:val="1"/>
      <w:marLeft w:val="0"/>
      <w:marRight w:val="0"/>
      <w:marTop w:val="0"/>
      <w:marBottom w:val="0"/>
      <w:divBdr>
        <w:top w:val="none" w:sz="0" w:space="0" w:color="auto"/>
        <w:left w:val="none" w:sz="0" w:space="0" w:color="auto"/>
        <w:bottom w:val="none" w:sz="0" w:space="0" w:color="auto"/>
        <w:right w:val="none" w:sz="0" w:space="0" w:color="auto"/>
      </w:divBdr>
      <w:divsChild>
        <w:div w:id="569779560">
          <w:marLeft w:val="274"/>
          <w:marRight w:val="0"/>
          <w:marTop w:val="0"/>
          <w:marBottom w:val="0"/>
          <w:divBdr>
            <w:top w:val="none" w:sz="0" w:space="0" w:color="auto"/>
            <w:left w:val="none" w:sz="0" w:space="0" w:color="auto"/>
            <w:bottom w:val="none" w:sz="0" w:space="0" w:color="auto"/>
            <w:right w:val="none" w:sz="0" w:space="0" w:color="auto"/>
          </w:divBdr>
        </w:div>
        <w:div w:id="460461178">
          <w:marLeft w:val="274"/>
          <w:marRight w:val="0"/>
          <w:marTop w:val="0"/>
          <w:marBottom w:val="0"/>
          <w:divBdr>
            <w:top w:val="none" w:sz="0" w:space="0" w:color="auto"/>
            <w:left w:val="none" w:sz="0" w:space="0" w:color="auto"/>
            <w:bottom w:val="none" w:sz="0" w:space="0" w:color="auto"/>
            <w:right w:val="none" w:sz="0" w:space="0" w:color="auto"/>
          </w:divBdr>
        </w:div>
        <w:div w:id="2097750811">
          <w:marLeft w:val="274"/>
          <w:marRight w:val="0"/>
          <w:marTop w:val="0"/>
          <w:marBottom w:val="0"/>
          <w:divBdr>
            <w:top w:val="none" w:sz="0" w:space="0" w:color="auto"/>
            <w:left w:val="none" w:sz="0" w:space="0" w:color="auto"/>
            <w:bottom w:val="none" w:sz="0" w:space="0" w:color="auto"/>
            <w:right w:val="none" w:sz="0" w:space="0" w:color="auto"/>
          </w:divBdr>
        </w:div>
        <w:div w:id="1657608216">
          <w:marLeft w:val="274"/>
          <w:marRight w:val="0"/>
          <w:marTop w:val="0"/>
          <w:marBottom w:val="0"/>
          <w:divBdr>
            <w:top w:val="none" w:sz="0" w:space="0" w:color="auto"/>
            <w:left w:val="none" w:sz="0" w:space="0" w:color="auto"/>
            <w:bottom w:val="none" w:sz="0" w:space="0" w:color="auto"/>
            <w:right w:val="none" w:sz="0" w:space="0" w:color="auto"/>
          </w:divBdr>
        </w:div>
        <w:div w:id="1688019633">
          <w:marLeft w:val="994"/>
          <w:marRight w:val="0"/>
          <w:marTop w:val="0"/>
          <w:marBottom w:val="0"/>
          <w:divBdr>
            <w:top w:val="none" w:sz="0" w:space="0" w:color="auto"/>
            <w:left w:val="none" w:sz="0" w:space="0" w:color="auto"/>
            <w:bottom w:val="none" w:sz="0" w:space="0" w:color="auto"/>
            <w:right w:val="none" w:sz="0" w:space="0" w:color="auto"/>
          </w:divBdr>
        </w:div>
        <w:div w:id="1991863789">
          <w:marLeft w:val="994"/>
          <w:marRight w:val="0"/>
          <w:marTop w:val="0"/>
          <w:marBottom w:val="0"/>
          <w:divBdr>
            <w:top w:val="none" w:sz="0" w:space="0" w:color="auto"/>
            <w:left w:val="none" w:sz="0" w:space="0" w:color="auto"/>
            <w:bottom w:val="none" w:sz="0" w:space="0" w:color="auto"/>
            <w:right w:val="none" w:sz="0" w:space="0" w:color="auto"/>
          </w:divBdr>
        </w:div>
        <w:div w:id="803276305">
          <w:marLeft w:val="274"/>
          <w:marRight w:val="0"/>
          <w:marTop w:val="0"/>
          <w:marBottom w:val="0"/>
          <w:divBdr>
            <w:top w:val="none" w:sz="0" w:space="0" w:color="auto"/>
            <w:left w:val="none" w:sz="0" w:space="0" w:color="auto"/>
            <w:bottom w:val="none" w:sz="0" w:space="0" w:color="auto"/>
            <w:right w:val="none" w:sz="0" w:space="0" w:color="auto"/>
          </w:divBdr>
        </w:div>
        <w:div w:id="846596137">
          <w:marLeft w:val="274"/>
          <w:marRight w:val="0"/>
          <w:marTop w:val="0"/>
          <w:marBottom w:val="0"/>
          <w:divBdr>
            <w:top w:val="none" w:sz="0" w:space="0" w:color="auto"/>
            <w:left w:val="none" w:sz="0" w:space="0" w:color="auto"/>
            <w:bottom w:val="none" w:sz="0" w:space="0" w:color="auto"/>
            <w:right w:val="none" w:sz="0" w:space="0" w:color="auto"/>
          </w:divBdr>
        </w:div>
        <w:div w:id="628629324">
          <w:marLeft w:val="274"/>
          <w:marRight w:val="0"/>
          <w:marTop w:val="0"/>
          <w:marBottom w:val="0"/>
          <w:divBdr>
            <w:top w:val="none" w:sz="0" w:space="0" w:color="auto"/>
            <w:left w:val="none" w:sz="0" w:space="0" w:color="auto"/>
            <w:bottom w:val="none" w:sz="0" w:space="0" w:color="auto"/>
            <w:right w:val="none" w:sz="0" w:space="0" w:color="auto"/>
          </w:divBdr>
        </w:div>
        <w:div w:id="750732765">
          <w:marLeft w:val="274"/>
          <w:marRight w:val="0"/>
          <w:marTop w:val="0"/>
          <w:marBottom w:val="0"/>
          <w:divBdr>
            <w:top w:val="none" w:sz="0" w:space="0" w:color="auto"/>
            <w:left w:val="none" w:sz="0" w:space="0" w:color="auto"/>
            <w:bottom w:val="none" w:sz="0" w:space="0" w:color="auto"/>
            <w:right w:val="none" w:sz="0" w:space="0" w:color="auto"/>
          </w:divBdr>
        </w:div>
        <w:div w:id="1422674816">
          <w:marLeft w:val="994"/>
          <w:marRight w:val="0"/>
          <w:marTop w:val="0"/>
          <w:marBottom w:val="0"/>
          <w:divBdr>
            <w:top w:val="none" w:sz="0" w:space="0" w:color="auto"/>
            <w:left w:val="none" w:sz="0" w:space="0" w:color="auto"/>
            <w:bottom w:val="none" w:sz="0" w:space="0" w:color="auto"/>
            <w:right w:val="none" w:sz="0" w:space="0" w:color="auto"/>
          </w:divBdr>
        </w:div>
        <w:div w:id="360520133">
          <w:marLeft w:val="994"/>
          <w:marRight w:val="0"/>
          <w:marTop w:val="0"/>
          <w:marBottom w:val="0"/>
          <w:divBdr>
            <w:top w:val="none" w:sz="0" w:space="0" w:color="auto"/>
            <w:left w:val="none" w:sz="0" w:space="0" w:color="auto"/>
            <w:bottom w:val="none" w:sz="0" w:space="0" w:color="auto"/>
            <w:right w:val="none" w:sz="0" w:space="0" w:color="auto"/>
          </w:divBdr>
        </w:div>
        <w:div w:id="544147828">
          <w:marLeft w:val="1714"/>
          <w:marRight w:val="0"/>
          <w:marTop w:val="0"/>
          <w:marBottom w:val="0"/>
          <w:divBdr>
            <w:top w:val="none" w:sz="0" w:space="0" w:color="auto"/>
            <w:left w:val="none" w:sz="0" w:space="0" w:color="auto"/>
            <w:bottom w:val="none" w:sz="0" w:space="0" w:color="auto"/>
            <w:right w:val="none" w:sz="0" w:space="0" w:color="auto"/>
          </w:divBdr>
        </w:div>
        <w:div w:id="677654128">
          <w:marLeft w:val="1714"/>
          <w:marRight w:val="0"/>
          <w:marTop w:val="0"/>
          <w:marBottom w:val="0"/>
          <w:divBdr>
            <w:top w:val="none" w:sz="0" w:space="0" w:color="auto"/>
            <w:left w:val="none" w:sz="0" w:space="0" w:color="auto"/>
            <w:bottom w:val="none" w:sz="0" w:space="0" w:color="auto"/>
            <w:right w:val="none" w:sz="0" w:space="0" w:color="auto"/>
          </w:divBdr>
        </w:div>
      </w:divsChild>
    </w:div>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243491078">
      <w:bodyDiv w:val="1"/>
      <w:marLeft w:val="0"/>
      <w:marRight w:val="0"/>
      <w:marTop w:val="0"/>
      <w:marBottom w:val="0"/>
      <w:divBdr>
        <w:top w:val="none" w:sz="0" w:space="0" w:color="auto"/>
        <w:left w:val="none" w:sz="0" w:space="0" w:color="auto"/>
        <w:bottom w:val="none" w:sz="0" w:space="0" w:color="auto"/>
        <w:right w:val="none" w:sz="0" w:space="0" w:color="auto"/>
      </w:divBdr>
    </w:div>
    <w:div w:id="352460585">
      <w:bodyDiv w:val="1"/>
      <w:marLeft w:val="0"/>
      <w:marRight w:val="0"/>
      <w:marTop w:val="0"/>
      <w:marBottom w:val="0"/>
      <w:divBdr>
        <w:top w:val="none" w:sz="0" w:space="0" w:color="auto"/>
        <w:left w:val="none" w:sz="0" w:space="0" w:color="auto"/>
        <w:bottom w:val="none" w:sz="0" w:space="0" w:color="auto"/>
        <w:right w:val="none" w:sz="0" w:space="0" w:color="auto"/>
      </w:divBdr>
      <w:divsChild>
        <w:div w:id="1435443459">
          <w:marLeft w:val="446"/>
          <w:marRight w:val="0"/>
          <w:marTop w:val="0"/>
          <w:marBottom w:val="0"/>
          <w:divBdr>
            <w:top w:val="none" w:sz="0" w:space="0" w:color="auto"/>
            <w:left w:val="none" w:sz="0" w:space="0" w:color="auto"/>
            <w:bottom w:val="none" w:sz="0" w:space="0" w:color="auto"/>
            <w:right w:val="none" w:sz="0" w:space="0" w:color="auto"/>
          </w:divBdr>
        </w:div>
        <w:div w:id="89859185">
          <w:marLeft w:val="446"/>
          <w:marRight w:val="0"/>
          <w:marTop w:val="0"/>
          <w:marBottom w:val="0"/>
          <w:divBdr>
            <w:top w:val="none" w:sz="0" w:space="0" w:color="auto"/>
            <w:left w:val="none" w:sz="0" w:space="0" w:color="auto"/>
            <w:bottom w:val="none" w:sz="0" w:space="0" w:color="auto"/>
            <w:right w:val="none" w:sz="0" w:space="0" w:color="auto"/>
          </w:divBdr>
        </w:div>
        <w:div w:id="409890547">
          <w:marLeft w:val="1166"/>
          <w:marRight w:val="0"/>
          <w:marTop w:val="0"/>
          <w:marBottom w:val="0"/>
          <w:divBdr>
            <w:top w:val="none" w:sz="0" w:space="0" w:color="auto"/>
            <w:left w:val="none" w:sz="0" w:space="0" w:color="auto"/>
            <w:bottom w:val="none" w:sz="0" w:space="0" w:color="auto"/>
            <w:right w:val="none" w:sz="0" w:space="0" w:color="auto"/>
          </w:divBdr>
        </w:div>
        <w:div w:id="2114856291">
          <w:marLeft w:val="1166"/>
          <w:marRight w:val="0"/>
          <w:marTop w:val="0"/>
          <w:marBottom w:val="0"/>
          <w:divBdr>
            <w:top w:val="none" w:sz="0" w:space="0" w:color="auto"/>
            <w:left w:val="none" w:sz="0" w:space="0" w:color="auto"/>
            <w:bottom w:val="none" w:sz="0" w:space="0" w:color="auto"/>
            <w:right w:val="none" w:sz="0" w:space="0" w:color="auto"/>
          </w:divBdr>
        </w:div>
        <w:div w:id="1272786340">
          <w:marLeft w:val="1166"/>
          <w:marRight w:val="0"/>
          <w:marTop w:val="0"/>
          <w:marBottom w:val="0"/>
          <w:divBdr>
            <w:top w:val="none" w:sz="0" w:space="0" w:color="auto"/>
            <w:left w:val="none" w:sz="0" w:space="0" w:color="auto"/>
            <w:bottom w:val="none" w:sz="0" w:space="0" w:color="auto"/>
            <w:right w:val="none" w:sz="0" w:space="0" w:color="auto"/>
          </w:divBdr>
        </w:div>
        <w:div w:id="21245002">
          <w:marLeft w:val="446"/>
          <w:marRight w:val="0"/>
          <w:marTop w:val="0"/>
          <w:marBottom w:val="0"/>
          <w:divBdr>
            <w:top w:val="none" w:sz="0" w:space="0" w:color="auto"/>
            <w:left w:val="none" w:sz="0" w:space="0" w:color="auto"/>
            <w:bottom w:val="none" w:sz="0" w:space="0" w:color="auto"/>
            <w:right w:val="none" w:sz="0" w:space="0" w:color="auto"/>
          </w:divBdr>
        </w:div>
      </w:divsChild>
    </w:div>
    <w:div w:id="428429804">
      <w:bodyDiv w:val="1"/>
      <w:marLeft w:val="0"/>
      <w:marRight w:val="0"/>
      <w:marTop w:val="0"/>
      <w:marBottom w:val="0"/>
      <w:divBdr>
        <w:top w:val="none" w:sz="0" w:space="0" w:color="auto"/>
        <w:left w:val="none" w:sz="0" w:space="0" w:color="auto"/>
        <w:bottom w:val="none" w:sz="0" w:space="0" w:color="auto"/>
        <w:right w:val="none" w:sz="0" w:space="0" w:color="auto"/>
      </w:divBdr>
      <w:divsChild>
        <w:div w:id="1783720103">
          <w:marLeft w:val="274"/>
          <w:marRight w:val="0"/>
          <w:marTop w:val="0"/>
          <w:marBottom w:val="0"/>
          <w:divBdr>
            <w:top w:val="none" w:sz="0" w:space="0" w:color="auto"/>
            <w:left w:val="none" w:sz="0" w:space="0" w:color="auto"/>
            <w:bottom w:val="none" w:sz="0" w:space="0" w:color="auto"/>
            <w:right w:val="none" w:sz="0" w:space="0" w:color="auto"/>
          </w:divBdr>
        </w:div>
        <w:div w:id="2365391">
          <w:marLeft w:val="274"/>
          <w:marRight w:val="0"/>
          <w:marTop w:val="0"/>
          <w:marBottom w:val="0"/>
          <w:divBdr>
            <w:top w:val="none" w:sz="0" w:space="0" w:color="auto"/>
            <w:left w:val="none" w:sz="0" w:space="0" w:color="auto"/>
            <w:bottom w:val="none" w:sz="0" w:space="0" w:color="auto"/>
            <w:right w:val="none" w:sz="0" w:space="0" w:color="auto"/>
          </w:divBdr>
        </w:div>
        <w:div w:id="1639414361">
          <w:marLeft w:val="274"/>
          <w:marRight w:val="0"/>
          <w:marTop w:val="0"/>
          <w:marBottom w:val="0"/>
          <w:divBdr>
            <w:top w:val="none" w:sz="0" w:space="0" w:color="auto"/>
            <w:left w:val="none" w:sz="0" w:space="0" w:color="auto"/>
            <w:bottom w:val="none" w:sz="0" w:space="0" w:color="auto"/>
            <w:right w:val="none" w:sz="0" w:space="0" w:color="auto"/>
          </w:divBdr>
        </w:div>
        <w:div w:id="1664039897">
          <w:marLeft w:val="274"/>
          <w:marRight w:val="0"/>
          <w:marTop w:val="0"/>
          <w:marBottom w:val="0"/>
          <w:divBdr>
            <w:top w:val="none" w:sz="0" w:space="0" w:color="auto"/>
            <w:left w:val="none" w:sz="0" w:space="0" w:color="auto"/>
            <w:bottom w:val="none" w:sz="0" w:space="0" w:color="auto"/>
            <w:right w:val="none" w:sz="0" w:space="0" w:color="auto"/>
          </w:divBdr>
        </w:div>
      </w:divsChild>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578028689">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69285804">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90056289">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2752904">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6804637">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092241615">
      <w:bodyDiv w:val="1"/>
      <w:marLeft w:val="0"/>
      <w:marRight w:val="0"/>
      <w:marTop w:val="0"/>
      <w:marBottom w:val="0"/>
      <w:divBdr>
        <w:top w:val="none" w:sz="0" w:space="0" w:color="auto"/>
        <w:left w:val="none" w:sz="0" w:space="0" w:color="auto"/>
        <w:bottom w:val="none" w:sz="0" w:space="0" w:color="auto"/>
        <w:right w:val="none" w:sz="0" w:space="0" w:color="auto"/>
      </w:divBdr>
      <w:divsChild>
        <w:div w:id="638608147">
          <w:marLeft w:val="446"/>
          <w:marRight w:val="0"/>
          <w:marTop w:val="0"/>
          <w:marBottom w:val="0"/>
          <w:divBdr>
            <w:top w:val="none" w:sz="0" w:space="0" w:color="auto"/>
            <w:left w:val="none" w:sz="0" w:space="0" w:color="auto"/>
            <w:bottom w:val="none" w:sz="0" w:space="0" w:color="auto"/>
            <w:right w:val="none" w:sz="0" w:space="0" w:color="auto"/>
          </w:divBdr>
        </w:div>
        <w:div w:id="2104453323">
          <w:marLeft w:val="446"/>
          <w:marRight w:val="0"/>
          <w:marTop w:val="0"/>
          <w:marBottom w:val="0"/>
          <w:divBdr>
            <w:top w:val="none" w:sz="0" w:space="0" w:color="auto"/>
            <w:left w:val="none" w:sz="0" w:space="0" w:color="auto"/>
            <w:bottom w:val="none" w:sz="0" w:space="0" w:color="auto"/>
            <w:right w:val="none" w:sz="0" w:space="0" w:color="auto"/>
          </w:divBdr>
        </w:div>
        <w:div w:id="1846937474">
          <w:marLeft w:val="1166"/>
          <w:marRight w:val="0"/>
          <w:marTop w:val="0"/>
          <w:marBottom w:val="0"/>
          <w:divBdr>
            <w:top w:val="none" w:sz="0" w:space="0" w:color="auto"/>
            <w:left w:val="none" w:sz="0" w:space="0" w:color="auto"/>
            <w:bottom w:val="none" w:sz="0" w:space="0" w:color="auto"/>
            <w:right w:val="none" w:sz="0" w:space="0" w:color="auto"/>
          </w:divBdr>
        </w:div>
        <w:div w:id="545333826">
          <w:marLeft w:val="446"/>
          <w:marRight w:val="0"/>
          <w:marTop w:val="0"/>
          <w:marBottom w:val="0"/>
          <w:divBdr>
            <w:top w:val="none" w:sz="0" w:space="0" w:color="auto"/>
            <w:left w:val="none" w:sz="0" w:space="0" w:color="auto"/>
            <w:bottom w:val="none" w:sz="0" w:space="0" w:color="auto"/>
            <w:right w:val="none" w:sz="0" w:space="0" w:color="auto"/>
          </w:divBdr>
        </w:div>
        <w:div w:id="1194148306">
          <w:marLeft w:val="1166"/>
          <w:marRight w:val="0"/>
          <w:marTop w:val="0"/>
          <w:marBottom w:val="0"/>
          <w:divBdr>
            <w:top w:val="none" w:sz="0" w:space="0" w:color="auto"/>
            <w:left w:val="none" w:sz="0" w:space="0" w:color="auto"/>
            <w:bottom w:val="none" w:sz="0" w:space="0" w:color="auto"/>
            <w:right w:val="none" w:sz="0" w:space="0" w:color="auto"/>
          </w:divBdr>
        </w:div>
        <w:div w:id="706567853">
          <w:marLeft w:val="1166"/>
          <w:marRight w:val="0"/>
          <w:marTop w:val="0"/>
          <w:marBottom w:val="0"/>
          <w:divBdr>
            <w:top w:val="none" w:sz="0" w:space="0" w:color="auto"/>
            <w:left w:val="none" w:sz="0" w:space="0" w:color="auto"/>
            <w:bottom w:val="none" w:sz="0" w:space="0" w:color="auto"/>
            <w:right w:val="none" w:sz="0" w:space="0" w:color="auto"/>
          </w:divBdr>
        </w:div>
      </w:divsChild>
    </w:div>
    <w:div w:id="1161460567">
      <w:bodyDiv w:val="1"/>
      <w:marLeft w:val="0"/>
      <w:marRight w:val="0"/>
      <w:marTop w:val="0"/>
      <w:marBottom w:val="0"/>
      <w:divBdr>
        <w:top w:val="none" w:sz="0" w:space="0" w:color="auto"/>
        <w:left w:val="none" w:sz="0" w:space="0" w:color="auto"/>
        <w:bottom w:val="none" w:sz="0" w:space="0" w:color="auto"/>
        <w:right w:val="none" w:sz="0" w:space="0" w:color="auto"/>
      </w:divBdr>
    </w:div>
    <w:div w:id="1258246740">
      <w:bodyDiv w:val="1"/>
      <w:marLeft w:val="0"/>
      <w:marRight w:val="0"/>
      <w:marTop w:val="0"/>
      <w:marBottom w:val="0"/>
      <w:divBdr>
        <w:top w:val="none" w:sz="0" w:space="0" w:color="auto"/>
        <w:left w:val="none" w:sz="0" w:space="0" w:color="auto"/>
        <w:bottom w:val="none" w:sz="0" w:space="0" w:color="auto"/>
        <w:right w:val="none" w:sz="0" w:space="0" w:color="auto"/>
      </w:divBdr>
    </w:div>
    <w:div w:id="1283225674">
      <w:bodyDiv w:val="1"/>
      <w:marLeft w:val="0"/>
      <w:marRight w:val="0"/>
      <w:marTop w:val="0"/>
      <w:marBottom w:val="0"/>
      <w:divBdr>
        <w:top w:val="none" w:sz="0" w:space="0" w:color="auto"/>
        <w:left w:val="none" w:sz="0" w:space="0" w:color="auto"/>
        <w:bottom w:val="none" w:sz="0" w:space="0" w:color="auto"/>
        <w:right w:val="none" w:sz="0" w:space="0" w:color="auto"/>
      </w:divBdr>
      <w:divsChild>
        <w:div w:id="240993101">
          <w:marLeft w:val="274"/>
          <w:marRight w:val="0"/>
          <w:marTop w:val="0"/>
          <w:marBottom w:val="0"/>
          <w:divBdr>
            <w:top w:val="none" w:sz="0" w:space="0" w:color="auto"/>
            <w:left w:val="none" w:sz="0" w:space="0" w:color="auto"/>
            <w:bottom w:val="none" w:sz="0" w:space="0" w:color="auto"/>
            <w:right w:val="none" w:sz="0" w:space="0" w:color="auto"/>
          </w:divBdr>
        </w:div>
        <w:div w:id="44183158">
          <w:marLeft w:val="274"/>
          <w:marRight w:val="0"/>
          <w:marTop w:val="0"/>
          <w:marBottom w:val="0"/>
          <w:divBdr>
            <w:top w:val="none" w:sz="0" w:space="0" w:color="auto"/>
            <w:left w:val="none" w:sz="0" w:space="0" w:color="auto"/>
            <w:bottom w:val="none" w:sz="0" w:space="0" w:color="auto"/>
            <w:right w:val="none" w:sz="0" w:space="0" w:color="auto"/>
          </w:divBdr>
        </w:div>
        <w:div w:id="91169519">
          <w:marLeft w:val="274"/>
          <w:marRight w:val="0"/>
          <w:marTop w:val="0"/>
          <w:marBottom w:val="0"/>
          <w:divBdr>
            <w:top w:val="none" w:sz="0" w:space="0" w:color="auto"/>
            <w:left w:val="none" w:sz="0" w:space="0" w:color="auto"/>
            <w:bottom w:val="none" w:sz="0" w:space="0" w:color="auto"/>
            <w:right w:val="none" w:sz="0" w:space="0" w:color="auto"/>
          </w:divBdr>
        </w:div>
      </w:divsChild>
    </w:div>
    <w:div w:id="1337077071">
      <w:bodyDiv w:val="1"/>
      <w:marLeft w:val="0"/>
      <w:marRight w:val="0"/>
      <w:marTop w:val="0"/>
      <w:marBottom w:val="0"/>
      <w:divBdr>
        <w:top w:val="none" w:sz="0" w:space="0" w:color="auto"/>
        <w:left w:val="none" w:sz="0" w:space="0" w:color="auto"/>
        <w:bottom w:val="none" w:sz="0" w:space="0" w:color="auto"/>
        <w:right w:val="none" w:sz="0" w:space="0" w:color="auto"/>
      </w:divBdr>
    </w:div>
    <w:div w:id="1522284377">
      <w:bodyDiv w:val="1"/>
      <w:marLeft w:val="0"/>
      <w:marRight w:val="0"/>
      <w:marTop w:val="0"/>
      <w:marBottom w:val="0"/>
      <w:divBdr>
        <w:top w:val="none" w:sz="0" w:space="0" w:color="auto"/>
        <w:left w:val="none" w:sz="0" w:space="0" w:color="auto"/>
        <w:bottom w:val="none" w:sz="0" w:space="0" w:color="auto"/>
        <w:right w:val="none" w:sz="0" w:space="0" w:color="auto"/>
      </w:divBdr>
    </w:div>
    <w:div w:id="1550679570">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744256784">
      <w:bodyDiv w:val="1"/>
      <w:marLeft w:val="0"/>
      <w:marRight w:val="0"/>
      <w:marTop w:val="0"/>
      <w:marBottom w:val="0"/>
      <w:divBdr>
        <w:top w:val="none" w:sz="0" w:space="0" w:color="auto"/>
        <w:left w:val="none" w:sz="0" w:space="0" w:color="auto"/>
        <w:bottom w:val="none" w:sz="0" w:space="0" w:color="auto"/>
        <w:right w:val="none" w:sz="0" w:space="0" w:color="auto"/>
      </w:divBdr>
      <w:divsChild>
        <w:div w:id="2065524829">
          <w:marLeft w:val="446"/>
          <w:marRight w:val="0"/>
          <w:marTop w:val="0"/>
          <w:marBottom w:val="0"/>
          <w:divBdr>
            <w:top w:val="none" w:sz="0" w:space="0" w:color="auto"/>
            <w:left w:val="none" w:sz="0" w:space="0" w:color="auto"/>
            <w:bottom w:val="none" w:sz="0" w:space="0" w:color="auto"/>
            <w:right w:val="none" w:sz="0" w:space="0" w:color="auto"/>
          </w:divBdr>
        </w:div>
        <w:div w:id="1910338040">
          <w:marLeft w:val="446"/>
          <w:marRight w:val="0"/>
          <w:marTop w:val="0"/>
          <w:marBottom w:val="0"/>
          <w:divBdr>
            <w:top w:val="none" w:sz="0" w:space="0" w:color="auto"/>
            <w:left w:val="none" w:sz="0" w:space="0" w:color="auto"/>
            <w:bottom w:val="none" w:sz="0" w:space="0" w:color="auto"/>
            <w:right w:val="none" w:sz="0" w:space="0" w:color="auto"/>
          </w:divBdr>
        </w:div>
      </w:divsChild>
    </w:div>
    <w:div w:id="1839034569">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26975924">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 w:id="2082561983">
      <w:bodyDiv w:val="1"/>
      <w:marLeft w:val="0"/>
      <w:marRight w:val="0"/>
      <w:marTop w:val="0"/>
      <w:marBottom w:val="0"/>
      <w:divBdr>
        <w:top w:val="none" w:sz="0" w:space="0" w:color="auto"/>
        <w:left w:val="none" w:sz="0" w:space="0" w:color="auto"/>
        <w:bottom w:val="none" w:sz="0" w:space="0" w:color="auto"/>
        <w:right w:val="none" w:sz="0" w:space="0" w:color="auto"/>
      </w:divBdr>
      <w:divsChild>
        <w:div w:id="1922252812">
          <w:marLeft w:val="274"/>
          <w:marRight w:val="0"/>
          <w:marTop w:val="0"/>
          <w:marBottom w:val="0"/>
          <w:divBdr>
            <w:top w:val="none" w:sz="0" w:space="0" w:color="auto"/>
            <w:left w:val="none" w:sz="0" w:space="0" w:color="auto"/>
            <w:bottom w:val="none" w:sz="0" w:space="0" w:color="auto"/>
            <w:right w:val="none" w:sz="0" w:space="0" w:color="auto"/>
          </w:divBdr>
        </w:div>
        <w:div w:id="973174803">
          <w:marLeft w:val="274"/>
          <w:marRight w:val="0"/>
          <w:marTop w:val="0"/>
          <w:marBottom w:val="0"/>
          <w:divBdr>
            <w:top w:val="none" w:sz="0" w:space="0" w:color="auto"/>
            <w:left w:val="none" w:sz="0" w:space="0" w:color="auto"/>
            <w:bottom w:val="none" w:sz="0" w:space="0" w:color="auto"/>
            <w:right w:val="none" w:sz="0" w:space="0" w:color="auto"/>
          </w:divBdr>
        </w:div>
        <w:div w:id="345863359">
          <w:marLeft w:val="274"/>
          <w:marRight w:val="0"/>
          <w:marTop w:val="0"/>
          <w:marBottom w:val="0"/>
          <w:divBdr>
            <w:top w:val="none" w:sz="0" w:space="0" w:color="auto"/>
            <w:left w:val="none" w:sz="0" w:space="0" w:color="auto"/>
            <w:bottom w:val="none" w:sz="0" w:space="0" w:color="auto"/>
            <w:right w:val="none" w:sz="0" w:space="0" w:color="auto"/>
          </w:divBdr>
        </w:div>
        <w:div w:id="1695031732">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S:\Wissdaten\RKI_nCoV-Lage\1.Lagemanagement\1.3.Besprechungen_TKs\1.Lage_AG\2021-12-01_Lage-AG\211201%20NRZ%20Influenzaviren%20Lage.ppt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S:\Wissdaten\RKI_nCoV-Lage\1.Lagemanagement\1.3.Besprechungen_TKs\1.Lage_AG\2021-12-01_Lage-AG\20211201_krisenstab_genomSurv_MF1.pptx" TargetMode="Externa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1-12-01_Lage-AG\VOC2021201_LageAG.pptx" TargetMode="External"/><Relationship Id="rId20" Type="http://schemas.openxmlformats.org/officeDocument/2006/relationships/hyperlink" Target="file:///S:\Wissdaten\RKI_nCoV-Lage\1.Lagemanagement\1.3.Besprechungen_TKs\1.Lage_AG\2021-12-01_Lage-AG\Report_2021-11-30_K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1-12-01_Lage-AG\Testzahlerfassung%20am%20RKI_2021-12-01_SB.pptx"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file:///S:\Wissdaten\RKI_nCoV-Lage\1.Lagemanagement\1.3.Besprechungen_TKs\1.Lage_AG\2021-12-01_Lage-AG\2021-12-01_Intensivregister_SPoCK.ppt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1-12-01_Lage-AG\LageNational_2021-12-01.pptx"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DED02-E4F3-44EB-B103-6D80D69E2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2041</Words>
  <Characters>12861</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Biallas, Renke</cp:lastModifiedBy>
  <cp:revision>39</cp:revision>
  <cp:lastPrinted>2020-05-06T16:43:00Z</cp:lastPrinted>
  <dcterms:created xsi:type="dcterms:W3CDTF">2021-05-05T09:19:00Z</dcterms:created>
  <dcterms:modified xsi:type="dcterms:W3CDTF">2021-12-01T15:35:00Z</dcterms:modified>
</cp:coreProperties>
</file>