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03.12.2021,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Esther-Maria </w:t>
      </w:r>
      <w:proofErr w:type="spellStart"/>
      <w:r>
        <w:rPr>
          <w:sz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Mardjan Arvand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proofErr w:type="spellStart"/>
      <w:r>
        <w:rPr>
          <w:sz w:val="22"/>
        </w:rPr>
        <w:t>Djin-Ye</w:t>
      </w:r>
      <w:proofErr w:type="spellEnd"/>
      <w:r>
        <w:rPr>
          <w:sz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Alba Méndez </w:t>
      </w:r>
      <w:proofErr w:type="spellStart"/>
      <w:r>
        <w:rPr>
          <w:sz w:val="22"/>
        </w:rPr>
        <w:t>Brito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MF1</w:t>
      </w:r>
    </w:p>
    <w:p>
      <w:pPr>
        <w:pStyle w:val="Listenabsatz"/>
        <w:numPr>
          <w:ilvl w:val="1"/>
          <w:numId w:val="2"/>
        </w:numPr>
        <w:spacing w:after="0"/>
        <w:contextualSpacing w:val="0"/>
      </w:pPr>
      <w:r>
        <w:rPr>
          <w:sz w:val="22"/>
        </w:rPr>
        <w:t>Stephan Fuchs?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Mirjam Jenny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Benjamin Maier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Angelique </w:t>
      </w:r>
      <w:proofErr w:type="spellStart"/>
      <w:r>
        <w:rPr>
          <w:rStyle w:val="highlight"/>
          <w:sz w:val="22"/>
          <w:szCs w:val="22"/>
        </w:rPr>
        <w:t>Burdinski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1"/>
          <w:numId w:val="2"/>
        </w:numPr>
        <w:spacing w:after="0"/>
        <w:rPr>
          <w:rStyle w:val="highlight"/>
          <w:sz w:val="22"/>
          <w:szCs w:val="22"/>
        </w:rPr>
      </w:pPr>
      <w:proofErr w:type="spellStart"/>
      <w:r>
        <w:rPr>
          <w:rStyle w:val="highlight"/>
          <w:sz w:val="22"/>
          <w:szCs w:val="22"/>
        </w:rPr>
        <w:t>Mikheil</w:t>
      </w:r>
      <w:proofErr w:type="spellEnd"/>
      <w:r>
        <w:rPr>
          <w:rStyle w:val="highlight"/>
          <w:sz w:val="22"/>
          <w:szCs w:val="22"/>
        </w:rPr>
        <w:t xml:space="preserve"> </w:t>
      </w:r>
      <w:proofErr w:type="spellStart"/>
      <w:r>
        <w:rPr>
          <w:rStyle w:val="highlight"/>
          <w:sz w:val="22"/>
          <w:szCs w:val="22"/>
        </w:rPr>
        <w:t>Popkhadze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</w:pPr>
      <w:r>
        <w:rPr>
          <w:sz w:val="22"/>
        </w:rPr>
        <w:t>Francisco Pozo Martin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Martin Dietrich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Datenstand: WHO, 03.11.2021</w:t>
            </w:r>
          </w:p>
          <w:p>
            <w:pPr>
              <w:pStyle w:val="Liste1"/>
            </w:pPr>
            <w:r>
              <w:t>Weltweit: Fälle: 262.866.050 (-1,5% im Vergleich zu Vorwoche)</w:t>
            </w:r>
          </w:p>
          <w:p>
            <w:pPr>
              <w:pStyle w:val="Liste1"/>
            </w:pPr>
            <w:r>
              <w:t>Todesfälle: 5.224.519 Todesfälle (CFR: 1,2%)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Überwiegend europäische Länder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einigen Ländern bereits absteigender Trend, wie USA, Russische Föderation, Türkei, Niederlande, Vietnam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 leicht abnehmender Trend: -1,5%, Sinken der CRF</w:t>
            </w:r>
          </w:p>
          <w:p>
            <w:pPr>
              <w:pStyle w:val="Liste1"/>
            </w:pPr>
            <w:r>
              <w:t>7-Tage-Inzidenz pro 100.000 Einwohner weltweit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meisten Fälle aus europäischer und amerikanischer Region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neue Hochrisikogebiete: Jordanien und Mauritius </w:t>
            </w:r>
          </w:p>
          <w:p>
            <w:pPr>
              <w:pStyle w:val="Liste1"/>
            </w:pPr>
            <w:r>
              <w:t>7-Tage</w:t>
            </w:r>
            <w:bookmarkStart w:id="0" w:name="_GoBack"/>
            <w:bookmarkEnd w:id="0"/>
            <w:r>
              <w:t xml:space="preserve">-Inzidenz pro 100.000 Einwohner EU/EWR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Veränderungen der Legende seit letzter Woche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Südosteuropa absteigender Trend</w:t>
            </w:r>
          </w:p>
          <w:p>
            <w:pPr>
              <w:pStyle w:val="Liste1"/>
            </w:pPr>
            <w:r>
              <w:t>Virusvariante B.1.1.529 (Omikron)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Schnelle Entwicklung der Lage, die meisten Sequenzen bisher in Südafrika, aber auch in USA, Südamerika, zumeist mit Reiseanamnese, erste Fälle mit </w:t>
            </w:r>
            <w:proofErr w:type="spellStart"/>
            <w:r>
              <w:rPr>
                <w:sz w:val="22"/>
                <w:szCs w:val="22"/>
              </w:rPr>
              <w:t>community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</w:p>
          <w:p>
            <w:pPr>
              <w:pStyle w:val="Liste1"/>
            </w:pPr>
            <w:r>
              <w:t>Virusvariante B.1.1.529 (Omikron) Beispiel Südafrika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Übertragbarkeit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Selektionsvorteil gegenüber Delta, laut Schätzung von ECDC mit einem Anstieg des durch Omikron verursachten Anteils der Fallzahlen auf bis &gt;50% innerhalb weniger Monate zu rechnen.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Reproduktionszahl in Südafrika von 1,1 auf 2,2 gestiegen.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Oktober: 79% aller Sequenzen Delta, im November 74% Omikron.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Klinische Verläufe: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KH-Aufnahmen gestiegen, Hospitalisierungs</w:t>
            </w:r>
            <w:r>
              <w:rPr>
                <w:sz w:val="22"/>
                <w:szCs w:val="22"/>
              </w:rPr>
              <w:softHyphen/>
              <w:t>raten nicht höher als bei vergangenen Infektionswellen.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Immunität: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Protektiver Effekt scheint nicht ganz verloren zu gehen, scheint vor schweren Verläufen noch signifikant zu schützen.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6.051.560 (+74.352), davon 102.568 (+390) Todesfälle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442,1/100.000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Hospitalisierungsinzidenz: 5,52/100.000 EW, AG ≥ 60Jährige: 12,69/100.000 EW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auf ITS: 4.793 (+103)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Impfmonitoring</w:t>
            </w:r>
            <w:proofErr w:type="spellEnd"/>
            <w:r>
              <w:rPr>
                <w:sz w:val="22"/>
                <w:szCs w:val="22"/>
              </w:rPr>
              <w:t>: Erstimpfungen 59.511.300 (71,6%), Zweitimpfung 57.101.728 (68,7%), Auffrischimpfungen 11.258.129 (13,5%)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Plateau auf sehr hohem Niveau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Sachsen kein weiterer Anstieg, in Thüringen weiterhin Anstieg der 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Plateau auch in Bayern und Sachsen-Anhalt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Süd-Osten am stärksten betroffen. Hohe Inzidenzen ziehen sich in den Norden nach MV hinein. Schwerpunkt weiterhin in Sachsen und Thüringen.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LK mit Inzidenz &gt; 1.000, nur 2 mit Inzidenz bis 100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Hospitalisierungsinzidenz (Stand Wochenbericht)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Fixierte, aktualisierte und adjustierte Werte wurden in Wochenbericht aufgenommen.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COVID-19-Todesfälle nach Sterbewoche und Altersgruppe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am stärksten betroffen sind &gt; 60-Jährige und insbesondere &gt;80-Jährige.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Wöchentliche Sterbefallzahlen nach BL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 deutliche Übersterblichkeit zu erkennen, in Sachsen nicht ganz so klar erkennbar, aber auch zu sehen.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Übersterblichkeit auch in Bayern und BW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Übersterblichkeit aber auch in Berlin und dort nicht mit COVID-19 Inzidenz zu erklären.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Übersterblichkeit in Niedersachsen? Todesursachen unabhängige Statistik, schwer im Detail für jedes BL zu bewerten.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Liegt Sterbe- oder Wohnort zugrunde?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Todesstatistik: nach Standesamt, in der Regel Sterbeort; Meldesystem: in der Regel Wohnort</w:t>
            </w:r>
          </w:p>
          <w:p>
            <w:pPr>
              <w:pStyle w:val="Listenabsatz"/>
              <w:ind w:left="1913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 xml:space="preserve">Modellierung </w:t>
            </w:r>
            <w:r>
              <w:rPr>
                <w:b/>
                <w:i/>
                <w:color w:val="8DB3E2" w:themeColor="text2" w:themeTint="66"/>
              </w:rPr>
              <w:t xml:space="preserve">(nur freitags)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Bundesweite Kontaktreduktion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Mittlere Anzahl der Kontakte ist leicht gesunken.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Starker Anstieg bei Variation der Kontakte war ab August zu beobachten. Variation der Kontakte stagniert in der Woche und nimmt am Wochenende zu.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Variation etwas weniger in letzten Wochen.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Sachsen und Bayern vs. Niedersachsen: in Sachsen eher geringere Werte; in Bayern stetiger Abfall am Wochenende, im Vergleich dazu in Niedersachsen kein Rückgang zu beobachten.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Modellschätzung: Beitrag Geimpfter vs. Ungeimpfter zum Infektionsgeschehen (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bezogen auf Lagebericht vom 11.11.2021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Annahme: Hohe Impfeffektivität: Impfeffektivität pro Altersgruppe: 12-17 Jahre: 92%, 18+ Jahre: 72%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91% der Neuinfektionen kommen durch mind. einen Ungeimpften zustande.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Von 100: 51 Ungeimpfte stecken Ungeimpfte an, 15 Geimpfte stecken Ungeimpfte an, 25 Ungeimpfte stecken Geimpfte an, 9 Geimpfte stecken Geimpfte an.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Annahme: Geringere Impfeffektivität: bis 69 Jahre: 60%, 60+ Jahre: 50%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84% der Neuinfektionen kommen durch mind. einen Ungeimpften zustande.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100: 38 Ungeimpfte stecken Ungeimpfte an, 17 Geimpfte stecken Ungeimpfte an, 29 Ungeimpfte stecken Geimpfte an, 16 Geimpfte stecken Geimpfte an.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Geimpfte tragen sehr viel weniger zum Infektions</w:t>
            </w:r>
            <w:r>
              <w:rPr>
                <w:sz w:val="22"/>
                <w:szCs w:val="22"/>
              </w:rPr>
              <w:softHyphen/>
              <w:t xml:space="preserve">geschehen bei, aber es gibt sehr viel mehr Geimpfte.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Polymod</w:t>
            </w:r>
            <w:proofErr w:type="spellEnd"/>
            <w:r>
              <w:rPr>
                <w:sz w:val="22"/>
                <w:szCs w:val="22"/>
              </w:rPr>
              <w:t xml:space="preserve">-Kontaktmatrix wurde genutzt, Dunkelziffer, wurde nicht berücksichtigt.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Kann mit dem Modell gezeigt werden, was passiert, wenn man Personen in kurzem Zeitfenster </w:t>
            </w:r>
            <w:proofErr w:type="spellStart"/>
            <w:r>
              <w:rPr>
                <w:sz w:val="22"/>
                <w:szCs w:val="22"/>
              </w:rPr>
              <w:t>boostert</w:t>
            </w:r>
            <w:proofErr w:type="spellEnd"/>
            <w:r>
              <w:rPr>
                <w:sz w:val="22"/>
                <w:szCs w:val="22"/>
              </w:rPr>
              <w:t xml:space="preserve"> im Vergleich zur </w:t>
            </w:r>
            <w:proofErr w:type="spellStart"/>
            <w:r>
              <w:rPr>
                <w:sz w:val="22"/>
                <w:szCs w:val="22"/>
              </w:rPr>
              <w:t>Boosterung</w:t>
            </w:r>
            <w:proofErr w:type="spellEnd"/>
            <w:r>
              <w:rPr>
                <w:sz w:val="22"/>
                <w:szCs w:val="22"/>
              </w:rPr>
              <w:t xml:space="preserve"> über einen längeren Zeitraum? Abnahme der Impfeffektivität im Zeitverlauf müsste einbezogen werden.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 Abnahme der Impfeffektivität im Zeitverlauf gibt es bereits Analysen. Man könnte den Unterschied zwischen schnellen und langsameren Boostern modellieren als Argumentations</w:t>
            </w:r>
            <w:r>
              <w:rPr>
                <w:sz w:val="22"/>
                <w:szCs w:val="22"/>
              </w:rPr>
              <w:softHyphen/>
              <w:t>hilfe für ein schnelles Boostern.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Politischer Entschluss ist schon längst gefasst, oberste Priorität so viele Leute so schnell wie möglich impfen.</w:t>
            </w:r>
          </w:p>
          <w:p>
            <w:pPr>
              <w:pStyle w:val="Listenabsatz"/>
              <w:ind w:left="1193"/>
              <w:rPr>
                <w:sz w:val="22"/>
                <w:szCs w:val="22"/>
              </w:rPr>
            </w:pPr>
          </w:p>
          <w:p>
            <w:pPr>
              <w:pStyle w:val="Liste1"/>
              <w:rPr>
                <w:lang w:val="en-US"/>
              </w:rPr>
            </w:pPr>
            <w:r>
              <w:rPr>
                <w:lang w:val="en-US"/>
              </w:rPr>
              <w:t>Systematic review of empirical studies comparing the effectiveness of non-pharmaceutical interventions (</w:t>
            </w:r>
            <w:proofErr w:type="spellStart"/>
            <w:r>
              <w:rPr>
                <w:lang w:val="en-US"/>
              </w:rPr>
              <w:t>Folien</w:t>
            </w:r>
            <w:proofErr w:type="spellEnd"/>
            <w:r>
              <w:rPr>
                <w:lang w:val="en-US"/>
              </w:rPr>
              <w:t xml:space="preserve"> </w:t>
            </w:r>
            <w:hyperlink r:id="rId14" w:history="1">
              <w:r>
                <w:rPr>
                  <w:rStyle w:val="Hyperlink"/>
                  <w:lang w:val="en-US"/>
                </w:rPr>
                <w:t>hier</w:t>
              </w:r>
            </w:hyperlink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hyperlink r:id="rId15" w:history="1">
              <w:r>
                <w:rPr>
                  <w:rStyle w:val="Hyperlink"/>
                  <w:lang w:val="en-US"/>
                </w:rPr>
                <w:t>https://www.journalofinfection.com/article/S0163-4453(21)00316-9/fulltext</w:t>
              </w:r>
            </w:hyperlink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Objective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To identify which </w:t>
            </w:r>
            <w:proofErr w:type="gramStart"/>
            <w:r>
              <w:rPr>
                <w:sz w:val="22"/>
                <w:szCs w:val="22"/>
                <w:lang w:val="en-US"/>
              </w:rPr>
              <w:t>non pharmaceutical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interventions (NPI) have been more or less effective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Systematic review of literature until March 2021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Empirical studies evaluating health outcomes and comparing at least 2 NPIs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Results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 ecological studies assessed and ranked, comparative effectiveness of 16 NPIs was assessed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School closing, work closing, business and venue closing und public events bans were most effective.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Also effective were public information campaigns und mask wearing requirements.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No evidence of effectiveness of public transport closures, testing strategies, contact tracing strategies, isolation and quarantine.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Conclusions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Early response and a combination of social distancing measures are effective at reducing COVID-19 cases and deaths.</w:t>
            </w:r>
          </w:p>
          <w:p>
            <w:pPr>
              <w:pStyle w:val="Listenabsatz"/>
              <w:numPr>
                <w:ilvl w:val="1"/>
                <w:numId w:val="29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Warum ist Kontaktpersonennachverfolgung nicht effektiv?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Durch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werden mehr Fälle gefunden. Zu Beginn einer Welle ist Identifikation und Quarantäne sehr effektiv, dann nicht mehr.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Studien haben in erster Linie die erste Welle analysiert, unterschiedliche Methodologien der Studien.</w:t>
            </w:r>
          </w:p>
          <w:p>
            <w:pPr>
              <w:pStyle w:val="Listenabsatz"/>
              <w:ind w:left="1321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ZIG 1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rStyle w:val="highlight"/>
                <w:sz w:val="22"/>
                <w:szCs w:val="22"/>
                <w:lang w:val="en-US"/>
              </w:rPr>
              <w:t>Correa-Martinez</w:t>
            </w:r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FG32 (</w:t>
            </w:r>
            <w:r>
              <w:rPr>
                <w:sz w:val="22"/>
                <w:lang w:val="en-US"/>
              </w:rPr>
              <w:t>Diercke)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P4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(Maier)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 (Pozo Martin)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</w:rPr>
              <w:t xml:space="preserve">Méndez </w:t>
            </w:r>
            <w:proofErr w:type="spellStart"/>
            <w:r>
              <w:rPr>
                <w:sz w:val="22"/>
              </w:rPr>
              <w:t>Brito</w:t>
            </w:r>
            <w:proofErr w:type="spellEnd"/>
            <w:r>
              <w:rPr>
                <w:sz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t xml:space="preserve">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CWA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 38 Mio. Downloads, ca. 12.000 Warnende/Tag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Arbeit an Informationen auf der roten Kachel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50k Views des letzten BPK-Videos</w:t>
            </w:r>
          </w:p>
          <w:p>
            <w:pPr>
              <w:pStyle w:val="Listenabsatz"/>
              <w:numPr>
                <w:ilvl w:val="0"/>
                <w:numId w:val="5"/>
              </w:numPr>
              <w:spacing w:before="120"/>
              <w:ind w:left="470" w:hanging="357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CovPass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Gestern Tweet mit 50.000 </w:t>
            </w:r>
            <w:proofErr w:type="spellStart"/>
            <w:r>
              <w:rPr>
                <w:sz w:val="22"/>
                <w:szCs w:val="22"/>
              </w:rPr>
              <w:t>Impressions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(Scheida)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im Text noch überall stark steigende Fallzahlen: Soll das zu Plateaubildung geändert werden?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 des Gesundheitswesens wurde nicht als Ziel formuliert.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Zurzeit keine Warnung vor nicht notwendigen Reisen: Soll wegen Omikron wieder davor gewarnt werden?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Entwurf vorbereiten, Mittwoch nochmal mit diesen 3 Punkten im Krisenstab besprechen, FF FG38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Kontaktbeschränkungen stehen im Vordergrund.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Impfkommunikation: Motive von Ralph Ruthe sehr erfolgreich, werden im Krisenstab zirkuliert.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Informationsmaterial für Teststellen für Ungeimpfte in Vorbereitung, Ziel Ungeimpfte zu erreichen.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Informationsstand der Bevölkerung relativ hoch: gut – sehr gut bei ca. 83%; relativ hoher Informationsdruck ohne aktiv nach Informationen suchen zu müssen.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(nicht berichtet)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2G/3G Flyer, Wintertipps wurden getwittert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Gestern Flyer zu Impfdurchbrüchen erschienen, heute getwittert.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(Dietrich)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(Lein)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MPK-Beschlüsse vom 2.12.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350 als neue Grenze für 7-Tages-Inzidenzen, Tabelle muss wieder täglich bereitgestellt werden.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Bezug auf tagesaktuelle, eingefrorene oder nachkorrigierte Werte genommen?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Letzter Stand waren nachkorrigierte Werte. -&gt; Mail ans BMG, dass davon ausgegangen wird, dass es sich wieder um nachkorrigierte Werte handelt.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muss das geklärt werden? RKI weist alle Werte aus.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von allen Seiten gefragt. Versuch der Klärung, falls nicht zu klären, wird auf Länder verwiesen.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Schutzmaßnahmen-Ausnahmenverordnung wird angepasst. Es sollte darauf eingewirkt werden, dass auf die jeweils aktuellen fachlichen Empfehlungen verwiesen wird und nicht wieder fixe Werte festgelegt werden.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32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letzte Woche schon so kommuniziert, bei Juristen nicht sehr beliebt. Sollte das RKI am Entwurf beteiligt werden, soll Hr. Mehlitz diesen Wunsch formulieren und begründen.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Erfreulich, dass überhaupt etwas beschlossen wurde. Wie die Beschlüsse umgesetzt werden, ist die Frage.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RKI-Liaison Krisenstab Bundeskanzleramt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Krisenstab etabliert sich gerade, wird sich in nächsten Tagen konstituieren.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Gespräch mit Hr. Wieler, Hr. Schaade und den beiden Generälen, die Krisenstab leiten, fand statt. Krisenstab soll ergänzen, wo aktuell die größten Probleme bestehen.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Priorität: Impfen, Bereitstellung von Impfstoff und Koordination von Personen, die impfen.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Wichtig: Berücksichtigung des digitalen </w:t>
            </w:r>
            <w:proofErr w:type="spellStart"/>
            <w:r>
              <w:rPr>
                <w:sz w:val="22"/>
                <w:szCs w:val="22"/>
              </w:rPr>
              <w:t>Impfmonitorings</w:t>
            </w:r>
            <w:proofErr w:type="spellEnd"/>
            <w:r>
              <w:rPr>
                <w:sz w:val="22"/>
                <w:szCs w:val="22"/>
              </w:rPr>
              <w:t>, AP Fr. Siedler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Prioritäten: Koordination Patientenverlegung, AP Hr. Herzog; Steuerung der Testkapazitäten, AP AG Diagnostik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Expertenbeirat ist im Kanzleramt angesiedelt, tagt einmal pro Woche. Durch </w:t>
            </w:r>
            <w:proofErr w:type="spellStart"/>
            <w:r>
              <w:rPr>
                <w:sz w:val="22"/>
                <w:szCs w:val="22"/>
              </w:rPr>
              <w:t>Liaisonperson</w:t>
            </w:r>
            <w:proofErr w:type="spellEnd"/>
            <w:r>
              <w:rPr>
                <w:sz w:val="22"/>
                <w:szCs w:val="22"/>
              </w:rPr>
              <w:t xml:space="preserve"> Fr. Bremer besteht die Möglichkeit Themen in Krisenstab einzubringen (keine doppelten Erfassungssysteme, im Vorfeld filtern)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Bremer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STIKO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Empfehlung: Booster Impfung für alle ab 18 Jahre; nach 6 bzw. 5 Monaten.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&gt;60-Jährigen wurden bereits 30% </w:t>
            </w:r>
            <w:proofErr w:type="spellStart"/>
            <w:r>
              <w:rPr>
                <w:sz w:val="22"/>
                <w:szCs w:val="22"/>
              </w:rPr>
              <w:t>geboostert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Zurzeit 1 Mio. Impfungen pro Tag, über 1 Mio. Erstimpfungen in letzten 10 Tagen.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Empfehlung für 5-11-Jährige wird vorbereitet. Mitte nächster Woche Beschlussentwurf, geht Ende nächster Woche ins </w:t>
            </w:r>
            <w:proofErr w:type="spellStart"/>
            <w:r>
              <w:rPr>
                <w:sz w:val="22"/>
                <w:szCs w:val="22"/>
              </w:rPr>
              <w:t>Stellungnahmeverfahren</w:t>
            </w:r>
            <w:proofErr w:type="spellEnd"/>
            <w:r>
              <w:rPr>
                <w:sz w:val="22"/>
                <w:szCs w:val="22"/>
              </w:rPr>
              <w:t xml:space="preserve">: Tendenz Kinder mit Risiko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Kommentar zu Omikron von Kollegen aus Südafrika: Daten zur Wirksamkeit bei schweren Verläufen liegen noch nicht vor. Es </w:t>
            </w:r>
            <w:r>
              <w:rPr>
                <w:sz w:val="22"/>
                <w:szCs w:val="22"/>
              </w:rPr>
              <w:lastRenderedPageBreak/>
              <w:t>wird mit reduzierter Wirksamkeit gerechnet, T-Zell Response wird untersucht.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Virologisches Sentinel hatte in den letzten 4 Wochen 865 Proben, davon: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57 SARS-CoV-2 (7%)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162 </w:t>
            </w:r>
            <w:proofErr w:type="spellStart"/>
            <w:r>
              <w:rPr>
                <w:sz w:val="22"/>
                <w:szCs w:val="22"/>
              </w:rPr>
              <w:t>Rhinovirus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38 Parainfluenzavirus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135 saisonale (endemische) Coronaviren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4 Influenzavirus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 RSV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letzter Woche 137 Proben, davon 52 positiv auf SARS-CoV-2 (38%)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Omikronprobe</w:t>
            </w:r>
            <w:proofErr w:type="spellEnd"/>
            <w:r>
              <w:rPr>
                <w:sz w:val="22"/>
                <w:szCs w:val="22"/>
              </w:rPr>
              <w:t xml:space="preserve"> erhalten, sind dabei </w:t>
            </w:r>
            <w:proofErr w:type="spellStart"/>
            <w:r>
              <w:rPr>
                <w:sz w:val="22"/>
                <w:szCs w:val="22"/>
              </w:rPr>
              <w:t>Mutationsassays</w:t>
            </w:r>
            <w:proofErr w:type="spellEnd"/>
            <w:r>
              <w:rPr>
                <w:sz w:val="22"/>
                <w:szCs w:val="22"/>
              </w:rPr>
              <w:t xml:space="preserve"> zu testen, die kommerziellen funktionieren ganz gut; noch keine Anzucht möglich.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Von Patient</w:t>
            </w:r>
            <w:proofErr w:type="gramEnd"/>
            <w:r>
              <w:rPr>
                <w:sz w:val="22"/>
                <w:szCs w:val="22"/>
              </w:rPr>
              <w:t xml:space="preserve"> aus Pankow: Reiseanamnese, keine weiteren Informationen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weitere Verdachtsfälle in Charlottenburg, noch nicht sequenziert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Reiserückkehrer aus Mitte mit Kontaktperson, beide symptomatisch erkrankt, noch nicht bestätigt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Substantielle Informationen zur Funktionsfähigkeit der Teste bei Omikron werden kommen. Bisher keinen Anhaltspunkt, dass es relevante Ausfälle bei Antigentesten gibt.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(Michel)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 Entlassungs-/ Verlege-management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Verlegungen seit vergangener Woche aus Bayern, Sachsen und Thüringen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Verlegedruck</w:t>
            </w:r>
            <w:proofErr w:type="spellEnd"/>
            <w:r>
              <w:rPr>
                <w:sz w:val="22"/>
                <w:szCs w:val="22"/>
              </w:rPr>
              <w:t xml:space="preserve"> bleibt, laut Prognose des Intensivregisters werden ca. 1700 Betten mehr benötigt werden, im Vergleich dazu gibt es 800 freien Betten.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Gehen auf einzelne Kleeblätter zu, eine kontinuierliche Verlegung von kleinen Patientengruppen ist geplant.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Prüfung, ob Verlegung ins Ausland sinnvoll ist, läuft parallel.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Monoklonale Antikörper: Verbrauch wird über Apotheken gemeldet, Abfrage hat deutlich zugenommen.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Gibt es allgemeine Empfehlungen zur Triage analog zu Überlegungen aus der Katastrophenmedizin?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Überlegungen, wie man Patienten priorisieren könnte, diese werden nicht kommuniziert. Es soll vermittelt werden, dass es dazu nicht kommen wird.</w:t>
            </w:r>
          </w:p>
          <w:p>
            <w:pPr>
              <w:ind w:left="471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(Herzog)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Omikron beschäftigt Flughäfen, betrifft Flüge aus Südafrika nach Frankfurt und München, außerdem Transitflüge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Vor rechtskräftigem Eintreten wurde bereits mit Separierung, PCR-Testung und Quarantäne begonnen.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Vermutlich wieder Wochenendschichten bei internationaler Kommunikation nötig.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24. + 31.12. wird es keinen Situationsbericht, und dazwischen nur einen gekürzter Wochenbericht geben, dies wurde den Ländern so mitgeteilt.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08.12.2021,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12:34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9"/>
  </w:num>
  <w:num w:numId="5">
    <w:abstractNumId w:val="8"/>
  </w:num>
  <w:num w:numId="6">
    <w:abstractNumId w:val="20"/>
  </w:num>
  <w:num w:numId="7">
    <w:abstractNumId w:val="25"/>
  </w:num>
  <w:num w:numId="8">
    <w:abstractNumId w:val="14"/>
  </w:num>
  <w:num w:numId="9">
    <w:abstractNumId w:val="5"/>
  </w:num>
  <w:num w:numId="10">
    <w:abstractNumId w:val="29"/>
  </w:num>
  <w:num w:numId="11">
    <w:abstractNumId w:val="24"/>
  </w:num>
  <w:num w:numId="12">
    <w:abstractNumId w:val="16"/>
  </w:num>
  <w:num w:numId="13">
    <w:abstractNumId w:val="13"/>
  </w:num>
  <w:num w:numId="14">
    <w:abstractNumId w:val="21"/>
  </w:num>
  <w:num w:numId="15">
    <w:abstractNumId w:val="18"/>
  </w:num>
  <w:num w:numId="16">
    <w:abstractNumId w:val="0"/>
  </w:num>
  <w:num w:numId="17">
    <w:abstractNumId w:val="12"/>
  </w:num>
  <w:num w:numId="18">
    <w:abstractNumId w:val="27"/>
  </w:num>
  <w:num w:numId="19">
    <w:abstractNumId w:val="10"/>
  </w:num>
  <w:num w:numId="20">
    <w:abstractNumId w:val="26"/>
  </w:num>
  <w:num w:numId="21">
    <w:abstractNumId w:val="7"/>
  </w:num>
  <w:num w:numId="22">
    <w:abstractNumId w:val="9"/>
  </w:num>
  <w:num w:numId="23">
    <w:abstractNumId w:val="2"/>
  </w:num>
  <w:num w:numId="24">
    <w:abstractNumId w:val="22"/>
  </w:num>
  <w:num w:numId="25">
    <w:abstractNumId w:val="15"/>
  </w:num>
  <w:num w:numId="26">
    <w:abstractNumId w:val="1"/>
  </w:num>
  <w:num w:numId="27">
    <w:abstractNumId w:val="23"/>
  </w:num>
  <w:num w:numId="28">
    <w:abstractNumId w:val="28"/>
  </w:num>
  <w:num w:numId="29">
    <w:abstractNumId w:val="6"/>
  </w:num>
  <w:num w:numId="30">
    <w:abstractNumId w:val="17"/>
  </w:num>
  <w:num w:numId="31">
    <w:abstractNumId w:val="4"/>
  </w:num>
  <w:num w:numId="3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er-P4-Die%20Pandemie%20wird%20durch%20die%20Ungeimpfen%20befeuert.pdf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geNational_2021-12-03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Digi-Tools_Krisenstab_2021-12-03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1-12-03_Update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ournalofinfection.com/article/S0163-4453(21)00316-9/fulltex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2021.12.01.%20Krisenstab%20presentation%20-%20Systematic%20Review%20NPIs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39ED-5991-421D-90DB-2C5F6CBF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1982</Words>
  <Characters>12492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Michaela Diercke</cp:lastModifiedBy>
  <cp:revision>29</cp:revision>
  <cp:lastPrinted>2020-05-06T16:43:00Z</cp:lastPrinted>
  <dcterms:created xsi:type="dcterms:W3CDTF">2021-12-03T12:03:00Z</dcterms:created>
  <dcterms:modified xsi:type="dcterms:W3CDTF">2021-12-03T18:35:00Z</dcterms:modified>
</cp:coreProperties>
</file>