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10.12.2021,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szCs w:val="22"/>
        </w:rPr>
      </w:pPr>
      <w:r>
        <w:rPr>
          <w:sz w:val="22"/>
          <w:szCs w:val="22"/>
        </w:rPr>
        <w:t>FG28</w:t>
      </w:r>
    </w:p>
    <w:p>
      <w:pPr>
        <w:pStyle w:val="Listenabsatz"/>
        <w:numPr>
          <w:ilvl w:val="1"/>
          <w:numId w:val="2"/>
        </w:numPr>
        <w:spacing w:after="0"/>
        <w:contextualSpacing w:val="0"/>
        <w:rPr>
          <w:sz w:val="22"/>
          <w:szCs w:val="22"/>
        </w:rPr>
      </w:pPr>
      <w:r>
        <w:rPr>
          <w:sz w:val="22"/>
          <w:szCs w:val="22"/>
        </w:rPr>
        <w:t>Claudia Hövener</w:t>
      </w:r>
    </w:p>
    <w:p>
      <w:pPr>
        <w:pStyle w:val="Listenabsatz"/>
        <w:numPr>
          <w:ilvl w:val="1"/>
          <w:numId w:val="2"/>
        </w:numPr>
        <w:spacing w:after="0"/>
        <w:contextualSpacing w:val="0"/>
        <w:rPr>
          <w:sz w:val="22"/>
          <w:szCs w:val="22"/>
        </w:rPr>
      </w:pPr>
      <w:r>
        <w:rPr>
          <w:sz w:val="22"/>
          <w:szCs w:val="22"/>
        </w:rPr>
        <w:t>Jens Hoebel</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Claudia </w:t>
      </w:r>
      <w:proofErr w:type="spellStart"/>
      <w:r>
        <w:rPr>
          <w:sz w:val="22"/>
          <w:szCs w:val="22"/>
        </w:rPr>
        <w:t>Siffcyk</w:t>
      </w:r>
      <w:proofErr w:type="spellEnd"/>
    </w:p>
    <w:p>
      <w:pPr>
        <w:pStyle w:val="Listenabsatz"/>
        <w:numPr>
          <w:ilvl w:val="1"/>
          <w:numId w:val="2"/>
        </w:numPr>
        <w:spacing w:after="0"/>
        <w:contextualSpacing w:val="0"/>
        <w:rPr>
          <w:sz w:val="22"/>
          <w:szCs w:val="22"/>
        </w:rPr>
      </w:pPr>
      <w:r>
        <w:rPr>
          <w:sz w:val="22"/>
          <w:szCs w:val="22"/>
        </w:rPr>
        <w:t>Renke Biallas (</w:t>
      </w:r>
      <w:proofErr w:type="spellStart"/>
      <w:r>
        <w:rPr>
          <w:sz w:val="22"/>
          <w:szCs w:val="22"/>
        </w:rPr>
        <w:t>Protkoll</w:t>
      </w:r>
      <w:proofErr w:type="spellEnd"/>
      <w:r>
        <w:rPr>
          <w:sz w:val="22"/>
          <w:szCs w:val="22"/>
        </w:rPr>
        <w:t>)</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r>
        <w:rPr>
          <w:sz w:val="22"/>
        </w:rPr>
        <w:t>Dirk Brockmann</w:t>
      </w:r>
    </w:p>
    <w:p>
      <w:pPr>
        <w:pStyle w:val="Listenabsatz"/>
        <w:numPr>
          <w:ilvl w:val="1"/>
          <w:numId w:val="3"/>
        </w:numPr>
        <w:spacing w:after="0"/>
        <w:rPr>
          <w:sz w:val="22"/>
        </w:rPr>
      </w:pPr>
      <w:r>
        <w:rPr>
          <w:sz w:val="22"/>
        </w:rPr>
        <w:t xml:space="preserve">Susanne Gottwald </w:t>
      </w:r>
    </w:p>
    <w:p>
      <w:pPr>
        <w:pStyle w:val="Listenabsatz"/>
        <w:numPr>
          <w:ilvl w:val="1"/>
          <w:numId w:val="3"/>
        </w:numPr>
        <w:spacing w:after="0"/>
        <w:contextualSpacing w:val="0"/>
        <w:rPr>
          <w:sz w:val="22"/>
        </w:rPr>
      </w:pPr>
      <w:r>
        <w:rPr>
          <w:sz w:val="22"/>
        </w:rPr>
        <w:t>Benjamin Maier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1"/>
          <w:numId w:val="2"/>
        </w:numPr>
        <w:spacing w:after="0"/>
        <w:contextualSpacing w:val="0"/>
        <w:rPr>
          <w:sz w:val="22"/>
          <w:szCs w:val="22"/>
        </w:rPr>
      </w:pPr>
      <w:r>
        <w:rPr>
          <w:sz w:val="22"/>
          <w:szCs w:val="22"/>
        </w:rPr>
        <w:t xml:space="preserve">Anne </w:t>
      </w:r>
      <w:proofErr w:type="spellStart"/>
      <w:r>
        <w:rPr>
          <w:sz w:val="22"/>
          <w:szCs w:val="22"/>
        </w:rPr>
        <w:t>Meierkord</w:t>
      </w:r>
      <w:proofErr w:type="spellEnd"/>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Anna Rhode</w:t>
      </w:r>
    </w:p>
    <w:p>
      <w:pPr>
        <w:pStyle w:val="Listenabsatz"/>
        <w:numPr>
          <w:ilvl w:val="1"/>
          <w:numId w:val="2"/>
        </w:numPr>
        <w:spacing w:after="0"/>
        <w:contextualSpacing w:val="0"/>
        <w:rPr>
          <w:rStyle w:val="highlight"/>
          <w:sz w:val="22"/>
          <w:szCs w:val="22"/>
        </w:rPr>
      </w:pPr>
      <w:r>
        <w:rPr>
          <w:rStyle w:val="highlight"/>
          <w:sz w:val="22"/>
          <w:szCs w:val="22"/>
        </w:rPr>
        <w:t>Romy Kerber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Oliver Ommen</w:t>
      </w:r>
    </w:p>
    <w:p>
      <w:pPr>
        <w:pStyle w:val="Listenabsatz"/>
        <w:spacing w:after="0"/>
        <w:contextualSpacing w:val="0"/>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pStyle w:val="Liste2"/>
              <w:rPr>
                <w:lang w:val="de-DE"/>
              </w:rPr>
            </w:pPr>
            <w:r>
              <w:rPr>
                <w:lang w:val="de-DE"/>
              </w:rPr>
              <w:t xml:space="preserve">Folgende Berichte sollen in kommenden Sitzungen so kurz wie möglich zusammengefasst werden: VOC-Bericht und molekulare Surveillance, Testkapazitäten und ARS-Daten, </w:t>
            </w:r>
            <w:proofErr w:type="spellStart"/>
            <w:r>
              <w:rPr>
                <w:lang w:val="de-DE"/>
              </w:rPr>
              <w:t>syndromische</w:t>
            </w:r>
            <w:proofErr w:type="spellEnd"/>
            <w:r>
              <w:rPr>
                <w:lang w:val="de-DE"/>
              </w:rPr>
              <w:t xml:space="preserve"> und virologische Surveillance (ca. 8 Folien)</w:t>
            </w:r>
          </w:p>
          <w:p>
            <w:pPr>
              <w:pStyle w:val="Liste2"/>
              <w:rPr>
                <w:lang w:val="de-DE"/>
              </w:rPr>
            </w:pPr>
            <w:r>
              <w:rPr>
                <w:lang w:val="de-DE"/>
              </w:rPr>
              <w:t>Bis auf Weiteres wird es auch am Montag 13:00 Uhr eine Krisenstabssitzung geben.</w:t>
            </w:r>
          </w:p>
          <w:p>
            <w:pPr>
              <w:pStyle w:val="Liste1"/>
              <w:numPr>
                <w:ilvl w:val="0"/>
                <w:numId w:val="0"/>
              </w:numPr>
              <w:ind w:left="473"/>
            </w:pP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pPr>
            <w:proofErr w:type="spellStart"/>
            <w:r>
              <w:t>Folien</w:t>
            </w:r>
            <w:proofErr w:type="spellEnd"/>
            <w:r>
              <w:t xml:space="preserve"> </w:t>
            </w:r>
            <w:hyperlink r:id="rId14" w:history="1">
              <w:proofErr w:type="spellStart"/>
              <w:r>
                <w:rPr>
                  <w:rStyle w:val="Hyperlink"/>
                </w:rPr>
                <w:t>hier</w:t>
              </w:r>
              <w:proofErr w:type="spellEnd"/>
            </w:hyperlink>
          </w:p>
          <w:p>
            <w:pPr>
              <w:pStyle w:val="Liste2"/>
            </w:pPr>
            <w:proofErr w:type="spellStart"/>
            <w:r>
              <w:t>Datenstand</w:t>
            </w:r>
            <w:proofErr w:type="spellEnd"/>
            <w:r>
              <w:t>: WHO, 09.12.2021</w:t>
            </w:r>
          </w:p>
          <w:p>
            <w:pPr>
              <w:pStyle w:val="Liste2"/>
              <w:rPr>
                <w:lang w:val="de-DE"/>
              </w:rPr>
            </w:pPr>
            <w:r>
              <w:rPr>
                <w:lang w:val="de-DE"/>
              </w:rPr>
              <w:t>Weltweit: 267.184.623 Fälle (+6,03% im Vergleich zu Vorwoche)</w:t>
            </w:r>
          </w:p>
          <w:p>
            <w:pPr>
              <w:pStyle w:val="Liste2"/>
              <w:rPr>
                <w:lang w:val="de-DE"/>
              </w:rPr>
            </w:pPr>
            <w:proofErr w:type="spellStart"/>
            <w:r>
              <w:t>Todesfälle</w:t>
            </w:r>
            <w:proofErr w:type="spellEnd"/>
            <w:r>
              <w:t>: 5</w:t>
            </w:r>
            <w:r>
              <w:rPr>
                <w:sz w:val="24"/>
                <w:szCs w:val="24"/>
                <w:lang w:val="de-DE"/>
              </w:rPr>
              <w:t xml:space="preserve"> </w:t>
            </w:r>
            <w:r>
              <w:t xml:space="preserve">5.277.327 </w:t>
            </w:r>
            <w:proofErr w:type="spellStart"/>
            <w:r>
              <w:t>Todesfälle</w:t>
            </w:r>
            <w:proofErr w:type="spellEnd"/>
            <w:r>
              <w:t xml:space="preserve"> (CFR: 2%) </w:t>
            </w:r>
          </w:p>
          <w:p>
            <w:pPr>
              <w:pStyle w:val="Liste2"/>
              <w:rPr>
                <w:lang w:val="de-DE"/>
              </w:rPr>
            </w:pPr>
            <w:r>
              <w:rPr>
                <w:lang w:val="de-DE"/>
              </w:rPr>
              <w:t xml:space="preserve">Liste Top 10 Länder nach neuen Fällen: </w:t>
            </w:r>
          </w:p>
          <w:p>
            <w:pPr>
              <w:pStyle w:val="Listenabsatz"/>
              <w:numPr>
                <w:ilvl w:val="1"/>
                <w:numId w:val="7"/>
              </w:numPr>
              <w:rPr>
                <w:sz w:val="22"/>
                <w:szCs w:val="22"/>
              </w:rPr>
            </w:pPr>
            <w:r>
              <w:rPr>
                <w:sz w:val="22"/>
                <w:szCs w:val="22"/>
              </w:rPr>
              <w:t xml:space="preserve">Überwiegend europäische Länder </w:t>
            </w:r>
          </w:p>
          <w:p>
            <w:pPr>
              <w:pStyle w:val="Listenabsatz"/>
              <w:numPr>
                <w:ilvl w:val="1"/>
                <w:numId w:val="7"/>
              </w:numPr>
              <w:rPr>
                <w:sz w:val="22"/>
                <w:szCs w:val="22"/>
              </w:rPr>
            </w:pPr>
            <w:r>
              <w:rPr>
                <w:sz w:val="22"/>
                <w:szCs w:val="22"/>
              </w:rPr>
              <w:t>Wenig Änderung zur Vorwoche</w:t>
            </w:r>
          </w:p>
          <w:p>
            <w:pPr>
              <w:pStyle w:val="Liste2"/>
              <w:rPr>
                <w:lang w:val="de-DE"/>
              </w:rPr>
            </w:pPr>
            <w:r>
              <w:rPr>
                <w:lang w:val="de-DE"/>
              </w:rPr>
              <w:t>7-Tage-Inzidenz pro 100.000 Einwohner weltweit</w:t>
            </w:r>
          </w:p>
          <w:p>
            <w:pPr>
              <w:pStyle w:val="Listenabsatz"/>
              <w:numPr>
                <w:ilvl w:val="1"/>
                <w:numId w:val="7"/>
              </w:numPr>
              <w:rPr>
                <w:sz w:val="22"/>
                <w:szCs w:val="22"/>
              </w:rPr>
            </w:pPr>
            <w:r>
              <w:rPr>
                <w:sz w:val="22"/>
                <w:szCs w:val="22"/>
              </w:rPr>
              <w:t>Die meisten Fälle aus europäischer und amerikanischer Region, Südafrika 2%</w:t>
            </w:r>
          </w:p>
          <w:p>
            <w:pPr>
              <w:pStyle w:val="Liste2"/>
              <w:rPr>
                <w:lang w:val="de-DE"/>
              </w:rPr>
            </w:pPr>
            <w:r>
              <w:rPr>
                <w:lang w:val="de-DE"/>
              </w:rPr>
              <w:t>Weiterhin niedrige Impfquoten in der Russischen Föderation und Polen</w:t>
            </w:r>
          </w:p>
          <w:p>
            <w:pPr>
              <w:pStyle w:val="Liste2"/>
              <w:rPr>
                <w:lang w:val="de-DE"/>
              </w:rPr>
            </w:pPr>
            <w:r>
              <w:rPr>
                <w:lang w:val="de-DE"/>
              </w:rPr>
              <w:t>Steigende Fallzahlen in afrikanischen Ländern</w:t>
            </w:r>
          </w:p>
          <w:p>
            <w:pPr>
              <w:pStyle w:val="Liste2"/>
              <w:rPr>
                <w:lang w:val="de-DE"/>
              </w:rPr>
            </w:pPr>
            <w:r>
              <w:rPr>
                <w:lang w:val="de-DE"/>
              </w:rPr>
              <w:t>Omikron-Variante:</w:t>
            </w:r>
          </w:p>
          <w:p>
            <w:pPr>
              <w:pStyle w:val="Liste3"/>
            </w:pPr>
            <w:r>
              <w:t>In 53 Ländern bestätigte Fälle</w:t>
            </w:r>
          </w:p>
          <w:p>
            <w:pPr>
              <w:pStyle w:val="Liste3"/>
            </w:pPr>
            <w:r>
              <w:t xml:space="preserve">Bestätigte Fälle: 1.932 (Stand 09.12.2021) </w:t>
            </w:r>
          </w:p>
          <w:p>
            <w:pPr>
              <w:pStyle w:val="Liste3"/>
            </w:pPr>
            <w:r>
              <w:t>Erste Community-</w:t>
            </w:r>
            <w:proofErr w:type="spellStart"/>
            <w:r>
              <w:t>Transmissions</w:t>
            </w:r>
            <w:proofErr w:type="spellEnd"/>
            <w:r>
              <w:t xml:space="preserve"> wurden beobachtet</w:t>
            </w:r>
          </w:p>
          <w:p>
            <w:pPr>
              <w:pStyle w:val="Liste3"/>
            </w:pPr>
            <w:r>
              <w:t>Weiterhin asymptomatische oder milde Verläufe</w:t>
            </w:r>
          </w:p>
          <w:p>
            <w:pPr>
              <w:pStyle w:val="2"/>
            </w:pPr>
            <w:r>
              <w:t xml:space="preserve">National </w:t>
            </w:r>
          </w:p>
          <w:p>
            <w:pPr>
              <w:pStyle w:val="Liste2"/>
            </w:pPr>
            <w:r>
              <w:t xml:space="preserve">Fallzahlen, </w:t>
            </w:r>
            <w:proofErr w:type="spellStart"/>
            <w:r>
              <w:t>Todesfälle</w:t>
            </w:r>
            <w:proofErr w:type="spellEnd"/>
            <w:r>
              <w:t xml:space="preserve">, Trend, </w:t>
            </w:r>
            <w:proofErr w:type="spellStart"/>
            <w:r>
              <w:t>Folien</w:t>
            </w:r>
            <w:proofErr w:type="spellEnd"/>
            <w:r>
              <w:t xml:space="preserve"> </w:t>
            </w:r>
            <w:hyperlink r:id="rId15"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6.423.520 (+61.288), davon 104.996 (+484) Todesfälle; 989.200 aktive Fälle (+9.800)</w:t>
            </w:r>
          </w:p>
          <w:p>
            <w:pPr>
              <w:pStyle w:val="Liste2"/>
            </w:pPr>
            <w:r>
              <w:t xml:space="preserve">7-Tage-Inzidenz:  413,7/100.000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60.241.008 (72,4%), mit vollständiger Impfung 57.729.749 (69,4%), 3. Dosis 17.710.503 (21,3%)</w:t>
            </w:r>
          </w:p>
          <w:p>
            <w:pPr>
              <w:pStyle w:val="Liste2"/>
              <w:rPr>
                <w:lang w:val="de-DE"/>
              </w:rPr>
            </w:pPr>
            <w:r>
              <w:rPr>
                <w:lang w:val="de-DE"/>
              </w:rPr>
              <w:t>Verlauf der 7-Tage-Inzidenz der Bundesländer:</w:t>
            </w:r>
          </w:p>
          <w:p>
            <w:pPr>
              <w:pStyle w:val="Liste3"/>
              <w:numPr>
                <w:ilvl w:val="1"/>
                <w:numId w:val="7"/>
              </w:numPr>
            </w:pPr>
            <w:r>
              <w:t>Seit Ende November kein Anstieg mehr in allen BL, minimaler Rückgang, weiterhin sehr hohes Niveau</w:t>
            </w:r>
          </w:p>
          <w:p>
            <w:pPr>
              <w:pStyle w:val="Liste3"/>
              <w:numPr>
                <w:ilvl w:val="1"/>
                <w:numId w:val="7"/>
              </w:numPr>
            </w:pPr>
            <w:r>
              <w:t>Rückgang in Sachsen seit einigen Tagen, Thüringen kein Anstieg</w:t>
            </w:r>
          </w:p>
          <w:p>
            <w:pPr>
              <w:pStyle w:val="Liste3"/>
              <w:numPr>
                <w:ilvl w:val="1"/>
                <w:numId w:val="7"/>
              </w:numPr>
            </w:pPr>
            <w:r>
              <w:t xml:space="preserve">Anzahl Kreise mit 7-TI &gt; 50/100.000 EW: 411 </w:t>
            </w:r>
          </w:p>
          <w:p>
            <w:pPr>
              <w:pStyle w:val="Liste3"/>
              <w:numPr>
                <w:ilvl w:val="1"/>
                <w:numId w:val="7"/>
              </w:numPr>
            </w:pPr>
            <w:r>
              <w:t>Anzahl Kreise mit 7-TI &gt; 50/100.000 EW: 121 (-1)</w:t>
            </w:r>
          </w:p>
          <w:p>
            <w:pPr>
              <w:pStyle w:val="Liste3"/>
              <w:numPr>
                <w:ilvl w:val="1"/>
                <w:numId w:val="7"/>
              </w:numPr>
            </w:pPr>
            <w:r>
              <w:t>Anzahl Kreise mit 7-TI &gt; 50/100.000 EW: 26 (+1)</w:t>
            </w:r>
          </w:p>
          <w:p>
            <w:pPr>
              <w:pStyle w:val="Liste2"/>
            </w:pPr>
            <w:proofErr w:type="spellStart"/>
            <w:r>
              <w:t>Hospitalisierungsinzidenz</w:t>
            </w:r>
            <w:proofErr w:type="spellEnd"/>
          </w:p>
          <w:p>
            <w:pPr>
              <w:pStyle w:val="Liste3"/>
              <w:numPr>
                <w:ilvl w:val="1"/>
                <w:numId w:val="7"/>
              </w:numPr>
            </w:pPr>
            <w:r>
              <w:t>Ebenfalls keine starke Steigerung mehr</w:t>
            </w:r>
          </w:p>
          <w:p>
            <w:pPr>
              <w:pStyle w:val="Liste3"/>
              <w:numPr>
                <w:ilvl w:val="1"/>
                <w:numId w:val="7"/>
              </w:numPr>
            </w:pPr>
            <w:r>
              <w:t>7-TI: 5,71 / 100.000 EW</w:t>
            </w:r>
          </w:p>
          <w:p>
            <w:pPr>
              <w:pStyle w:val="Liste3"/>
              <w:numPr>
                <w:ilvl w:val="1"/>
                <w:numId w:val="7"/>
              </w:numPr>
            </w:pPr>
            <w:r>
              <w:lastRenderedPageBreak/>
              <w:t>7-TI bei &gt;60: 13,40 / 100.000 EW</w:t>
            </w:r>
          </w:p>
          <w:p>
            <w:pPr>
              <w:pStyle w:val="Liste3"/>
              <w:numPr>
                <w:ilvl w:val="1"/>
                <w:numId w:val="7"/>
              </w:numPr>
            </w:pPr>
            <w:r>
              <w:t>Anteil der COVID-19 Pat. An ITS-Belegung: 22,2%</w:t>
            </w:r>
          </w:p>
          <w:p>
            <w:pPr>
              <w:pStyle w:val="Liste3"/>
              <w:numPr>
                <w:ilvl w:val="1"/>
                <w:numId w:val="7"/>
              </w:numPr>
            </w:pPr>
            <w:r>
              <w:t>Veränderung der Fälle zum Vortag auf ITS: +46</w:t>
            </w:r>
          </w:p>
          <w:p>
            <w:pPr>
              <w:pStyle w:val="Liste2"/>
            </w:pPr>
            <w:proofErr w:type="spellStart"/>
            <w:r>
              <w:t>Sterbefallzahlen</w:t>
            </w:r>
            <w:proofErr w:type="spellEnd"/>
          </w:p>
          <w:p>
            <w:pPr>
              <w:pStyle w:val="Liste3"/>
              <w:numPr>
                <w:ilvl w:val="1"/>
                <w:numId w:val="7"/>
              </w:numPr>
            </w:pPr>
            <w:r>
              <w:t>Kein steiler Anstieg, weiterhin Übersterblichkeit</w:t>
            </w:r>
          </w:p>
          <w:p>
            <w:pPr>
              <w:pStyle w:val="Liste3"/>
              <w:numPr>
                <w:ilvl w:val="0"/>
                <w:numId w:val="0"/>
              </w:numPr>
              <w:ind w:left="1553"/>
            </w:pPr>
          </w:p>
          <w:p>
            <w:pPr>
              <w:rPr>
                <w:b/>
              </w:rPr>
            </w:pPr>
            <w:r>
              <w:rPr>
                <w:b/>
              </w:rPr>
              <w:t xml:space="preserve">Diskussion </w:t>
            </w:r>
          </w:p>
          <w:p>
            <w:pPr>
              <w:pStyle w:val="Liste1"/>
            </w:pPr>
            <w:r>
              <w:t>Eine wirklich überzeugende Reduktion der Fallzahlen zeigt sich nicht. Eine strategische Kommunikation soll weiter diskutiert werden. Anscheinend reichen die bisherigen Maßnahmen nicht um die Belastung in einem größeren Maße zu reduzieren. Weitere Kontaktreduktion wäre eine Option.</w:t>
            </w:r>
          </w:p>
          <w:p>
            <w:pPr>
              <w:pStyle w:val="Liste1"/>
              <w:numPr>
                <w:ilvl w:val="0"/>
                <w:numId w:val="0"/>
              </w:numPr>
              <w:ind w:left="473" w:hanging="360"/>
            </w:pPr>
          </w:p>
          <w:p>
            <w:pPr>
              <w:pStyle w:val="ToDo"/>
            </w:pPr>
            <w:proofErr w:type="spellStart"/>
            <w:r>
              <w:rPr>
                <w:b/>
              </w:rPr>
              <w:t>ToDo</w:t>
            </w:r>
            <w:proofErr w:type="spellEnd"/>
            <w:r>
              <w:rPr>
                <w:b/>
              </w:rPr>
              <w:t>:</w:t>
            </w:r>
            <w:r>
              <w:t xml:space="preserve"> Ein Bericht zur Bedeutung der Kontaktreduktion v.a. vor dem Hintergrund der Verbreitung der neuen Omikron-Variante soll angefertigt werden. Frist: Montag</w:t>
            </w:r>
          </w:p>
          <w:p>
            <w:pPr>
              <w:pStyle w:val="ToDo"/>
            </w:pPr>
          </w:p>
          <w:p>
            <w:pPr>
              <w:pStyle w:val="2"/>
            </w:pPr>
            <w:r>
              <w:t xml:space="preserve">Modellierungen </w:t>
            </w:r>
            <w:r>
              <w:rPr>
                <w:i/>
                <w:color w:val="95B3D7" w:themeColor="accent1" w:themeTint="99"/>
                <w:sz w:val="20"/>
              </w:rPr>
              <w:t>(nur freitags)</w:t>
            </w:r>
          </w:p>
          <w:p>
            <w:pPr>
              <w:pStyle w:val="Liste2"/>
            </w:pPr>
            <w:r>
              <w:t xml:space="preserve">Update </w:t>
            </w:r>
            <w:proofErr w:type="spellStart"/>
            <w:r>
              <w:t>Kontaktanalysen</w:t>
            </w:r>
            <w:proofErr w:type="spellEnd"/>
            <w:r>
              <w:t>:</w:t>
            </w:r>
          </w:p>
          <w:p>
            <w:pPr>
              <w:pStyle w:val="Liste3"/>
              <w:numPr>
                <w:ilvl w:val="1"/>
                <w:numId w:val="7"/>
              </w:numPr>
            </w:pPr>
            <w:r>
              <w:t>Analyse der Tagesmittelwerte</w:t>
            </w:r>
          </w:p>
          <w:p>
            <w:pPr>
              <w:pStyle w:val="Liste3"/>
              <w:numPr>
                <w:ilvl w:val="1"/>
                <w:numId w:val="7"/>
              </w:numPr>
            </w:pPr>
            <w:r>
              <w:t xml:space="preserve">Variabilität in den Kontakten reduziert sich weiter, d.h. Personen treffen sich weniger in großen Gruppen </w:t>
            </w:r>
          </w:p>
          <w:p>
            <w:pPr>
              <w:pStyle w:val="Liste3"/>
              <w:numPr>
                <w:ilvl w:val="1"/>
                <w:numId w:val="7"/>
              </w:numPr>
            </w:pPr>
            <w:r>
              <w:t>In der letzten Woche zeigte sich jedoch wieder ein Aufwärtstrend in der mittleren Anzahl der Kontakt, aber die Variation der Kontakte geht weiter runter, d.h. die leider sich wieder vermehrt, aber nicht in großen Gruppen (z.B. Konzerte, Clubs etc.)</w:t>
            </w:r>
          </w:p>
          <w:p>
            <w:pPr>
              <w:pStyle w:val="Liste3"/>
              <w:numPr>
                <w:ilvl w:val="1"/>
                <w:numId w:val="7"/>
              </w:numPr>
            </w:pPr>
            <w:r>
              <w:t>Beide Maßzahlen sollten bei effektiven Kontaktbeschränkungen sinken. Kontakte könnten zurzeit noch weiter reduziert werden.</w:t>
            </w:r>
          </w:p>
          <w:p>
            <w:pPr>
              <w:pStyle w:val="Liste3"/>
              <w:numPr>
                <w:ilvl w:val="1"/>
                <w:numId w:val="7"/>
              </w:numPr>
            </w:pPr>
            <w:r>
              <w:t>Die Trends unterscheiden sich teils stark zwischen den Bundesländern</w:t>
            </w:r>
          </w:p>
          <w:p>
            <w:pPr>
              <w:pStyle w:val="Liste2"/>
            </w:pPr>
            <w:proofErr w:type="spellStart"/>
            <w:r>
              <w:t>Omikron-Modellierungen</w:t>
            </w:r>
            <w:proofErr w:type="spellEnd"/>
          </w:p>
          <w:p>
            <w:pPr>
              <w:pStyle w:val="Liste3"/>
              <w:numPr>
                <w:ilvl w:val="1"/>
                <w:numId w:val="7"/>
              </w:numPr>
            </w:pPr>
            <w:r>
              <w:t>Bisher schlechte Datenlage</w:t>
            </w:r>
          </w:p>
          <w:p>
            <w:pPr>
              <w:pStyle w:val="Liste3"/>
              <w:numPr>
                <w:ilvl w:val="1"/>
                <w:numId w:val="7"/>
              </w:numPr>
            </w:pPr>
            <w:r>
              <w:t xml:space="preserve">Analysen zeigen, dass der R-Wert von Omikron bis zu 4-mal so hoch (in anderen Analysen bis 2-mal so hoch) wie der von Delta sein kann. Die Evidenz ist </w:t>
            </w:r>
            <w:proofErr w:type="spellStart"/>
            <w:r>
              <w:rPr>
                <w:i/>
              </w:rPr>
              <w:t>uncertain</w:t>
            </w:r>
            <w:proofErr w:type="spellEnd"/>
            <w:r>
              <w:t>.</w:t>
            </w:r>
          </w:p>
          <w:p>
            <w:pPr>
              <w:pStyle w:val="Liste3"/>
              <w:numPr>
                <w:ilvl w:val="0"/>
                <w:numId w:val="0"/>
              </w:numPr>
              <w:ind w:left="1193"/>
            </w:pPr>
          </w:p>
          <w:p>
            <w:pPr>
              <w:rPr>
                <w:b/>
              </w:rPr>
            </w:pPr>
            <w:r>
              <w:rPr>
                <w:b/>
              </w:rPr>
              <w:t>Diskussion:</w:t>
            </w:r>
          </w:p>
          <w:p>
            <w:pPr>
              <w:pStyle w:val="Liste2"/>
              <w:rPr>
                <w:lang w:val="de-DE"/>
              </w:rPr>
            </w:pPr>
            <w:r>
              <w:rPr>
                <w:lang w:val="de-DE"/>
              </w:rPr>
              <w:t>Der Kontaktindex ist ein guter Prädiktor für den R-Wert auf Bundesebene. Dies zeigt sich nicht auf Landesebene.</w:t>
            </w:r>
          </w:p>
          <w:p>
            <w:pPr>
              <w:pStyle w:val="Liste2"/>
              <w:rPr>
                <w:lang w:val="de-DE"/>
              </w:rPr>
            </w:pPr>
            <w:r>
              <w:rPr>
                <w:lang w:val="de-DE"/>
              </w:rPr>
              <w:t>Daten ob die Kontakte auch vermehrt in z.B. Impfzentren oder Arztpraxen stattfinden liegen nicht vor</w:t>
            </w:r>
          </w:p>
          <w:p>
            <w:pPr>
              <w:pStyle w:val="Liste2"/>
              <w:rPr>
                <w:lang w:val="de-DE"/>
              </w:rPr>
            </w:pPr>
            <w:r>
              <w:rPr>
                <w:lang w:val="de-DE"/>
              </w:rPr>
              <w:t xml:space="preserve">Modellierungen aus UK gehen von einem R-Wert von 2,2 aus </w:t>
            </w: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ind w:left="833" w:hanging="360"/>
              <w:rPr>
                <w:lang w:val="de-DE"/>
              </w:rPr>
            </w:pPr>
          </w:p>
          <w:p>
            <w:pPr>
              <w:pStyle w:val="2"/>
            </w:pPr>
            <w:r>
              <w:lastRenderedPageBreak/>
              <w:t>Soziale Ungleichheit und COVID-19 in Deutschland</w:t>
            </w:r>
          </w:p>
          <w:p>
            <w:pPr>
              <w:pStyle w:val="Liste2"/>
            </w:pPr>
            <w:proofErr w:type="spellStart"/>
            <w:r>
              <w:t>Folien</w:t>
            </w:r>
            <w:proofErr w:type="spellEnd"/>
            <w:r>
              <w:t xml:space="preserve"> </w:t>
            </w:r>
            <w:hyperlink r:id="rId16" w:history="1">
              <w:proofErr w:type="spellStart"/>
              <w:r>
                <w:rPr>
                  <w:rStyle w:val="Hyperlink"/>
                </w:rPr>
                <w:t>hier</w:t>
              </w:r>
              <w:proofErr w:type="spellEnd"/>
            </w:hyperlink>
          </w:p>
          <w:p>
            <w:pPr>
              <w:pStyle w:val="Liste2"/>
              <w:rPr>
                <w:lang w:val="de-DE"/>
              </w:rPr>
            </w:pPr>
            <w:r>
              <w:rPr>
                <w:lang w:val="de-DE"/>
              </w:rPr>
              <w:t>Bundesweite Meldedaten wurden mit einem Deprivationsindex verknüpft</w:t>
            </w:r>
          </w:p>
          <w:p>
            <w:pPr>
              <w:pStyle w:val="Liste2"/>
              <w:rPr>
                <w:lang w:val="de-DE"/>
              </w:rPr>
            </w:pPr>
            <w:r>
              <w:rPr>
                <w:lang w:val="de-DE"/>
              </w:rPr>
              <w:t>In Welle 1 zeigte sich ein erhöhtes Infektionsgeschehen in eher wohlhaben Regionen. In den Wellen 2 und 3 waren Personen in hoch-deprivierten Gebieten mehr betroffen. Dies scheint auch in der aktuellen 4. Welle der Fall zu sein</w:t>
            </w:r>
          </w:p>
          <w:p>
            <w:pPr>
              <w:pStyle w:val="Liste2"/>
              <w:rPr>
                <w:lang w:val="de-DE"/>
              </w:rPr>
            </w:pPr>
            <w:r>
              <w:rPr>
                <w:lang w:val="de-DE"/>
              </w:rPr>
              <w:t>Die kumulative Todesfallzahl stieg im Verlauf der Pandemie in sozial deprivierten Regionen besonders stark an und übersteigt seit Welle 2 die entsprechende Zahl in wohlhabenden Regionen deutlich</w:t>
            </w:r>
          </w:p>
          <w:p>
            <w:pPr>
              <w:pStyle w:val="Liste2"/>
              <w:rPr>
                <w:lang w:val="de-DE"/>
              </w:rPr>
            </w:pPr>
            <w:r>
              <w:rPr>
                <w:lang w:val="de-DE"/>
              </w:rPr>
              <w:t>Auf individueller Ebene zeigte sich ein doppelt erhöhtes Infektionsrisiko mit niedrigeren Qualifikationstand</w:t>
            </w:r>
          </w:p>
          <w:p>
            <w:pPr>
              <w:pStyle w:val="Liste2"/>
              <w:rPr>
                <w:lang w:val="de-DE"/>
              </w:rPr>
            </w:pPr>
            <w:r>
              <w:rPr>
                <w:lang w:val="de-DE"/>
              </w:rPr>
              <w:t>In Gruppen mit hoher Deprivation / hoch-deprivierte Regionen wurde weniger getestet und es kam zu einer höheren Untererfassung in den Meldedaten</w:t>
            </w:r>
          </w:p>
          <w:p>
            <w:pPr>
              <w:pStyle w:val="Liste2"/>
              <w:rPr>
                <w:lang w:val="de-DE"/>
              </w:rPr>
            </w:pPr>
            <w:r>
              <w:rPr>
                <w:lang w:val="de-DE"/>
              </w:rPr>
              <w:t xml:space="preserve">Die Studien werden weiter durchgeführt um weitere Aussagen zu sozialen Unterschieden treffen zu können, insbesondere auch </w:t>
            </w:r>
            <w:bookmarkStart w:id="1" w:name="_GoBack"/>
            <w:bookmarkEnd w:id="1"/>
            <w:r>
              <w:rPr>
                <w:lang w:val="de-DE"/>
              </w:rPr>
              <w:t xml:space="preserve">im </w:t>
            </w:r>
            <w:proofErr w:type="spellStart"/>
            <w:r>
              <w:rPr>
                <w:lang w:val="de-DE"/>
              </w:rPr>
              <w:t>Sero</w:t>
            </w:r>
            <w:proofErr w:type="spellEnd"/>
            <w:r>
              <w:rPr>
                <w:lang w:val="de-DE"/>
              </w:rPr>
              <w:t>- und Impfstatus</w:t>
            </w:r>
          </w:p>
          <w:p>
            <w:pPr>
              <w:pStyle w:val="Liste2"/>
              <w:rPr>
                <w:lang w:val="de-DE"/>
              </w:rPr>
            </w:pPr>
            <w:r>
              <w:rPr>
                <w:lang w:val="de-DE"/>
              </w:rPr>
              <w:t>Die Impfakzeptanz scheint in sozial benachteiligten Gruppen geringer zu sein, insbesondere im Alter unter 60 Jahren</w:t>
            </w:r>
          </w:p>
          <w:p>
            <w:pPr>
              <w:pStyle w:val="Liste2"/>
            </w:pPr>
            <w:proofErr w:type="spellStart"/>
            <w:r>
              <w:t>Zusammenfassung</w:t>
            </w:r>
            <w:proofErr w:type="spellEnd"/>
            <w:r>
              <w:t xml:space="preserve"> und </w:t>
            </w:r>
            <w:proofErr w:type="spellStart"/>
            <w:r>
              <w:t>Präventionspotenziale</w:t>
            </w:r>
            <w:proofErr w:type="spellEnd"/>
            <w:r>
              <w:t>:</w:t>
            </w:r>
          </w:p>
          <w:p>
            <w:pPr>
              <w:pStyle w:val="Liste3"/>
              <w:numPr>
                <w:ilvl w:val="1"/>
                <w:numId w:val="7"/>
              </w:numPr>
            </w:pPr>
            <w:r>
              <w:t xml:space="preserve">Mehr Infektionen </w:t>
            </w:r>
          </w:p>
          <w:p>
            <w:pPr>
              <w:pStyle w:val="Liste3"/>
              <w:numPr>
                <w:ilvl w:val="2"/>
                <w:numId w:val="7"/>
              </w:numPr>
            </w:pPr>
            <w:r>
              <w:t>Auf Lebens- und Arbeitsbedingungen abgestimmter Infektionsschutz und Prävention</w:t>
            </w:r>
          </w:p>
          <w:p>
            <w:pPr>
              <w:pStyle w:val="Liste3"/>
              <w:numPr>
                <w:ilvl w:val="2"/>
                <w:numId w:val="7"/>
              </w:numPr>
            </w:pPr>
            <w:r>
              <w:t>Verbesserter Informationszugang (zielgruppenorientiert)</w:t>
            </w:r>
          </w:p>
          <w:p>
            <w:pPr>
              <w:pStyle w:val="Liste3"/>
              <w:numPr>
                <w:ilvl w:val="1"/>
                <w:numId w:val="7"/>
              </w:numPr>
            </w:pPr>
            <w:r>
              <w:t>Untererfassung höher</w:t>
            </w:r>
          </w:p>
          <w:p>
            <w:pPr>
              <w:pStyle w:val="Liste3"/>
              <w:numPr>
                <w:ilvl w:val="2"/>
                <w:numId w:val="7"/>
              </w:numPr>
            </w:pPr>
            <w:r>
              <w:t>Zielgerichtetes niedrigschwelliges Testangebot</w:t>
            </w:r>
          </w:p>
          <w:p>
            <w:pPr>
              <w:pStyle w:val="Liste2"/>
              <w:rPr>
                <w:lang w:val="de-DE"/>
              </w:rPr>
            </w:pPr>
            <w:r>
              <w:rPr>
                <w:lang w:val="de-DE"/>
              </w:rPr>
              <w:t>Die Ergebnisse werden in Berichtform geteilt</w:t>
            </w:r>
          </w:p>
          <w:p>
            <w:pPr>
              <w:pStyle w:val="Liste2"/>
              <w:numPr>
                <w:ilvl w:val="0"/>
                <w:numId w:val="0"/>
              </w:numPr>
              <w:ind w:left="833" w:hanging="360"/>
              <w:rPr>
                <w:lang w:val="de-DE"/>
              </w:rPr>
            </w:pPr>
          </w:p>
          <w:p>
            <w:pPr>
              <w:rPr>
                <w:b/>
              </w:rPr>
            </w:pPr>
            <w:r>
              <w:rPr>
                <w:b/>
              </w:rPr>
              <w:t>Diskussion:</w:t>
            </w:r>
          </w:p>
          <w:p>
            <w:pPr>
              <w:pStyle w:val="Liste2"/>
            </w:pPr>
            <w:r>
              <w:rPr>
                <w:lang w:val="de-DE"/>
              </w:rPr>
              <w:t xml:space="preserve">Ein (Kurz-) Initiativbericht soll auch mit dem BMG und der BZgA geteilt werden. </w:t>
            </w:r>
            <w:proofErr w:type="spellStart"/>
            <w:r>
              <w:t>Konkrete</w:t>
            </w:r>
            <w:proofErr w:type="spellEnd"/>
            <w:r>
              <w:t xml:space="preserve"> </w:t>
            </w:r>
            <w:proofErr w:type="spellStart"/>
            <w:r>
              <w:t>Vorschläge</w:t>
            </w:r>
            <w:proofErr w:type="spellEnd"/>
            <w:r>
              <w:t xml:space="preserve"> und </w:t>
            </w:r>
            <w:proofErr w:type="spellStart"/>
            <w:r>
              <w:t>Empfehlungen</w:t>
            </w:r>
            <w:proofErr w:type="spellEnd"/>
            <w:r>
              <w:t xml:space="preserve"> sollen gerne darin enthalten sein.</w:t>
            </w:r>
          </w:p>
          <w:p>
            <w:pPr>
              <w:pStyle w:val="Liste2"/>
              <w:rPr>
                <w:lang w:val="de-DE"/>
              </w:rPr>
            </w:pPr>
            <w:r>
              <w:rPr>
                <w:lang w:val="de-DE"/>
              </w:rPr>
              <w:t xml:space="preserve">Die Ergebnisse haben eine hohe Relevanz und weitere Medien und Foren können genutzt werden um die Ergebnisse zu teilen, z.B. Städtetag, Bundespressekonferenz, </w:t>
            </w:r>
            <w:proofErr w:type="spellStart"/>
            <w:r>
              <w:rPr>
                <w:lang w:val="de-DE"/>
              </w:rPr>
              <w:t>EpiBull</w:t>
            </w:r>
            <w:proofErr w:type="spellEnd"/>
            <w:r>
              <w:rPr>
                <w:lang w:val="de-DE"/>
              </w:rPr>
              <w:t>.</w:t>
            </w:r>
          </w:p>
          <w:p>
            <w:pPr>
              <w:pStyle w:val="Liste2"/>
              <w:rPr>
                <w:lang w:val="de-DE"/>
              </w:rPr>
            </w:pPr>
            <w:r>
              <w:rPr>
                <w:lang w:val="de-DE"/>
              </w:rPr>
              <w:t>Die Formulierung der Empfehlungen sollte vorsichtig erfolgen auf die Potenziale der Verhältnisprävention hingewiesen werden.</w:t>
            </w:r>
          </w:p>
          <w:p>
            <w:pPr>
              <w:pStyle w:val="Liste2"/>
              <w:rPr>
                <w:lang w:val="de-DE"/>
              </w:rPr>
            </w:pPr>
            <w:r>
              <w:rPr>
                <w:lang w:val="de-DE"/>
              </w:rPr>
              <w:t>Eine Darstellung der Daten nach Deprivation im Wochenbericht wäre möglich, jedoch wäre dazu eine Einordnung nötig. Dies würde den Wochenbericht deutlich erhöhen. Ein Hinweis auf den Kurzbericht kann einfacher im Wochenbericht geteilt werden.</w:t>
            </w: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ind w:left="833" w:hanging="360"/>
              <w:rPr>
                <w:lang w:val="de-DE"/>
              </w:rPr>
            </w:pPr>
          </w:p>
        </w:tc>
        <w:tc>
          <w:tcPr>
            <w:tcW w:w="1463" w:type="dxa"/>
          </w:tcPr>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 &amp; LZ</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FG28</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rPr>
                <w:b/>
              </w:rPr>
            </w:pPr>
            <w:r>
              <w:rPr>
                <w:b/>
              </w:rPr>
              <w:t>Überblick internationale Aktivitäten</w:t>
            </w:r>
          </w:p>
          <w:p>
            <w:pPr>
              <w:pStyle w:val="Liste2"/>
              <w:rPr>
                <w:lang w:val="de-DE"/>
              </w:rPr>
            </w:pPr>
            <w:r>
              <w:rPr>
                <w:lang w:val="de-DE"/>
              </w:rPr>
              <w:t>Die 2. Mission im Iran ist abgeschlossen</w:t>
            </w:r>
          </w:p>
          <w:p>
            <w:pPr>
              <w:pStyle w:val="Liste2"/>
              <w:rPr>
                <w:lang w:val="de-DE"/>
              </w:rPr>
            </w:pPr>
            <w:r>
              <w:rPr>
                <w:lang w:val="de-DE"/>
              </w:rPr>
              <w:t>Die Mission in Papua New-Guinea ist ebenfalls abgeschlossen</w:t>
            </w:r>
          </w:p>
          <w:p>
            <w:pPr>
              <w:pStyle w:val="Liste2"/>
              <w:rPr>
                <w:lang w:val="de-DE"/>
              </w:rPr>
            </w:pPr>
            <w:r>
              <w:rPr>
                <w:lang w:val="de-DE"/>
              </w:rPr>
              <w:t>Die Regionalisierung der Laborkapazitäten in Montenegro wurde heute feierlich eröffnet</w:t>
            </w:r>
          </w:p>
          <w:p>
            <w:pPr>
              <w:pStyle w:val="Liste2"/>
              <w:numPr>
                <w:ilvl w:val="0"/>
                <w:numId w:val="0"/>
              </w:numPr>
              <w:ind w:left="833" w:hanging="360"/>
              <w:rPr>
                <w:lang w:val="de-DE"/>
              </w:rPr>
            </w:pPr>
          </w:p>
          <w:p>
            <w:pPr>
              <w:pStyle w:val="Liste1"/>
              <w:rPr>
                <w:b/>
              </w:rPr>
            </w:pPr>
            <w:r>
              <w:rPr>
                <w:b/>
              </w:rPr>
              <w:t>Übersterblichkeit in afrikanischen Ländern</w:t>
            </w:r>
          </w:p>
          <w:p>
            <w:pPr>
              <w:pStyle w:val="Liste2"/>
            </w:pPr>
            <w:proofErr w:type="spellStart"/>
            <w:r>
              <w:t>Folien</w:t>
            </w:r>
            <w:proofErr w:type="spellEnd"/>
            <w:r>
              <w:t xml:space="preserve"> </w:t>
            </w:r>
            <w:hyperlink r:id="rId17" w:history="1">
              <w:proofErr w:type="spellStart"/>
              <w:r>
                <w:rPr>
                  <w:rStyle w:val="Hyperlink"/>
                </w:rPr>
                <w:t>hier</w:t>
              </w:r>
              <w:proofErr w:type="spellEnd"/>
            </w:hyperlink>
          </w:p>
          <w:p>
            <w:pPr>
              <w:pStyle w:val="Liste2"/>
              <w:rPr>
                <w:lang w:val="de-DE"/>
              </w:rPr>
            </w:pPr>
            <w:r>
              <w:rPr>
                <w:lang w:val="de-DE"/>
              </w:rPr>
              <w:t>In den meisten afrikanischen Ländern gibt es keine systematische Erfassung von Todesfällen (18/54 Ländern erfassen Todesfälle)</w:t>
            </w:r>
          </w:p>
          <w:p>
            <w:pPr>
              <w:pStyle w:val="Liste2"/>
              <w:rPr>
                <w:lang w:val="de-DE"/>
              </w:rPr>
            </w:pPr>
            <w:r>
              <w:rPr>
                <w:lang w:val="de-DE"/>
              </w:rPr>
              <w:t>Vereinten Nationen gehen davon aus, dass unter nicht-pandemie Bedingungen nur 2/3 aller Länder 90% ihrer Todesfälle registrieren - Manche Länder sogar weniger als 10%</w:t>
            </w:r>
          </w:p>
          <w:p>
            <w:pPr>
              <w:pStyle w:val="Liste2"/>
              <w:rPr>
                <w:lang w:val="de-DE"/>
              </w:rPr>
            </w:pPr>
            <w:r>
              <w:rPr>
                <w:lang w:val="de-DE"/>
              </w:rPr>
              <w:t>Momentan keine WHO Daten zu Übersterblichkeit in Afrika</w:t>
            </w:r>
          </w:p>
          <w:p>
            <w:pPr>
              <w:pStyle w:val="Liste2"/>
              <w:rPr>
                <w:lang w:val="de-DE"/>
              </w:rPr>
            </w:pPr>
            <w:r>
              <w:rPr>
                <w:lang w:val="de-DE"/>
              </w:rPr>
              <w:t>Zur Erfassung der Übersterblichkeit sind Daten zur historischen Mortalität und der aktuellen Mortalität. In vielen Ländern liegen die historischen Daten nicht vor. Es gibt bereits Initiativen diese Datenlücken zu schließen.</w:t>
            </w:r>
          </w:p>
          <w:p>
            <w:pPr>
              <w:pStyle w:val="Liste2"/>
              <w:rPr>
                <w:lang w:val="de-DE"/>
              </w:rPr>
            </w:pPr>
            <w:r>
              <w:rPr>
                <w:lang w:val="de-DE"/>
              </w:rPr>
              <w:t xml:space="preserve">Südafrika hat bis Feb 2021 fast 138.000 </w:t>
            </w:r>
            <w:proofErr w:type="spellStart"/>
            <w:r>
              <w:rPr>
                <w:lang w:val="de-DE"/>
              </w:rPr>
              <w:t>excess</w:t>
            </w:r>
            <w:proofErr w:type="spellEnd"/>
            <w:r>
              <w:rPr>
                <w:lang w:val="de-DE"/>
              </w:rPr>
              <w:t xml:space="preserve"> </w:t>
            </w:r>
            <w:proofErr w:type="spellStart"/>
            <w:r>
              <w:rPr>
                <w:lang w:val="de-DE"/>
              </w:rPr>
              <w:t>deaths</w:t>
            </w:r>
            <w:proofErr w:type="spellEnd"/>
            <w:r>
              <w:rPr>
                <w:lang w:val="de-DE"/>
              </w:rPr>
              <w:t xml:space="preserve"> verzeichnet- fast </w:t>
            </w:r>
            <w:proofErr w:type="gramStart"/>
            <w:r>
              <w:rPr>
                <w:lang w:val="de-DE"/>
              </w:rPr>
              <w:t>3 mal</w:t>
            </w:r>
            <w:proofErr w:type="gramEnd"/>
            <w:r>
              <w:rPr>
                <w:lang w:val="de-DE"/>
              </w:rPr>
              <w:t xml:space="preserve"> so viel wie durch offizielle COVID-19 Todeszahlen (46.200)</w:t>
            </w:r>
          </w:p>
          <w:p>
            <w:pPr>
              <w:pStyle w:val="Liste2"/>
              <w:rPr>
                <w:lang w:val="de-DE"/>
              </w:rPr>
            </w:pPr>
            <w:r>
              <w:rPr>
                <w:lang w:val="de-DE"/>
              </w:rPr>
              <w:t xml:space="preserve">Ägypten 68.000 </w:t>
            </w:r>
            <w:proofErr w:type="spellStart"/>
            <w:r>
              <w:rPr>
                <w:lang w:val="de-DE"/>
              </w:rPr>
              <w:t>excess</w:t>
            </w:r>
            <w:proofErr w:type="spellEnd"/>
            <w:r>
              <w:rPr>
                <w:lang w:val="de-DE"/>
              </w:rPr>
              <w:t xml:space="preserve"> </w:t>
            </w:r>
            <w:proofErr w:type="spellStart"/>
            <w:r>
              <w:rPr>
                <w:lang w:val="de-DE"/>
              </w:rPr>
              <w:t>deaths</w:t>
            </w:r>
            <w:proofErr w:type="spellEnd"/>
            <w:r>
              <w:rPr>
                <w:lang w:val="de-DE"/>
              </w:rPr>
              <w:t xml:space="preserve"> zwischen Mai und August 2020</w:t>
            </w:r>
          </w:p>
          <w:p>
            <w:pPr>
              <w:pStyle w:val="Liste2"/>
              <w:rPr>
                <w:lang w:val="de-DE"/>
              </w:rPr>
            </w:pPr>
            <w:r>
              <w:rPr>
                <w:lang w:val="de-DE"/>
              </w:rPr>
              <w:t xml:space="preserve">Sterblichkeitsrate von kritischen Kranken in Afrika </w:t>
            </w:r>
            <w:r>
              <w:rPr>
                <w:b/>
                <w:bCs/>
                <w:lang w:val="de-DE"/>
              </w:rPr>
              <w:t>48·2%</w:t>
            </w:r>
            <w:r>
              <w:rPr>
                <w:lang w:val="de-DE"/>
              </w:rPr>
              <w:t xml:space="preserve"> (95% CI 46·4–50·0; 1483 </w:t>
            </w:r>
            <w:proofErr w:type="spellStart"/>
            <w:r>
              <w:rPr>
                <w:lang w:val="de-DE"/>
              </w:rPr>
              <w:t>of</w:t>
            </w:r>
            <w:proofErr w:type="spellEnd"/>
            <w:r>
              <w:rPr>
                <w:lang w:val="de-DE"/>
              </w:rPr>
              <w:t xml:space="preserve"> 3077 </w:t>
            </w:r>
            <w:proofErr w:type="spellStart"/>
            <w:r>
              <w:rPr>
                <w:lang w:val="de-DE"/>
              </w:rPr>
              <w:t>patients</w:t>
            </w:r>
            <w:proofErr w:type="spellEnd"/>
            <w:r>
              <w:rPr>
                <w:lang w:val="de-DE"/>
              </w:rPr>
              <w:t xml:space="preserve">) im Vergleich zu einem weltweiten Durchschnitt von </w:t>
            </w:r>
            <w:r>
              <w:rPr>
                <w:b/>
                <w:bCs/>
                <w:lang w:val="de-DE"/>
              </w:rPr>
              <w:t>31·5%</w:t>
            </w:r>
            <w:r>
              <w:rPr>
                <w:lang w:val="de-DE"/>
              </w:rPr>
              <w:t xml:space="preserve"> (27·5–35·5).</w:t>
            </w:r>
          </w:p>
          <w:p>
            <w:pPr>
              <w:pStyle w:val="Liste2"/>
            </w:pPr>
            <w:proofErr w:type="spellStart"/>
            <w:r>
              <w:rPr>
                <w:lang w:val="en-US"/>
              </w:rPr>
              <w:t>Mögliche</w:t>
            </w:r>
            <w:proofErr w:type="spellEnd"/>
            <w:r>
              <w:rPr>
                <w:lang w:val="en-US"/>
              </w:rPr>
              <w:t xml:space="preserve"> </w:t>
            </w:r>
            <w:proofErr w:type="spellStart"/>
            <w:r>
              <w:rPr>
                <w:lang w:val="en-US"/>
              </w:rPr>
              <w:t>Gründe</w:t>
            </w:r>
            <w:proofErr w:type="spellEnd"/>
            <w:r>
              <w:rPr>
                <w:lang w:val="en-US"/>
              </w:rPr>
              <w:t xml:space="preserve">: </w:t>
            </w:r>
          </w:p>
          <w:p>
            <w:pPr>
              <w:pStyle w:val="Liste3"/>
            </w:pPr>
            <w:proofErr w:type="spellStart"/>
            <w:r>
              <w:rPr>
                <w:lang w:val="en-US"/>
              </w:rPr>
              <w:t>Fachkräftemangel</w:t>
            </w:r>
            <w:proofErr w:type="spellEnd"/>
            <w:r>
              <w:rPr>
                <w:lang w:val="en-US"/>
              </w:rPr>
              <w:t xml:space="preserve"> im </w:t>
            </w:r>
            <w:proofErr w:type="spellStart"/>
            <w:r>
              <w:rPr>
                <w:lang w:val="en-US"/>
              </w:rPr>
              <w:t>Intensivbereich</w:t>
            </w:r>
            <w:proofErr w:type="spellEnd"/>
          </w:p>
          <w:p>
            <w:pPr>
              <w:pStyle w:val="Liste3"/>
            </w:pPr>
            <w:proofErr w:type="spellStart"/>
            <w:r>
              <w:rPr>
                <w:lang w:val="en-US"/>
              </w:rPr>
              <w:t>Niedrige</w:t>
            </w:r>
            <w:proofErr w:type="spellEnd"/>
            <w:r>
              <w:rPr>
                <w:lang w:val="en-US"/>
              </w:rPr>
              <w:t xml:space="preserve"> </w:t>
            </w:r>
            <w:proofErr w:type="spellStart"/>
            <w:r>
              <w:rPr>
                <w:lang w:val="en-US"/>
              </w:rPr>
              <w:t>Anzahl</w:t>
            </w:r>
            <w:proofErr w:type="spellEnd"/>
            <w:r>
              <w:rPr>
                <w:lang w:val="en-US"/>
              </w:rPr>
              <w:t xml:space="preserve"> and </w:t>
            </w:r>
            <w:proofErr w:type="spellStart"/>
            <w:r>
              <w:rPr>
                <w:lang w:val="en-US"/>
              </w:rPr>
              <w:t>Intensivbetten</w:t>
            </w:r>
            <w:proofErr w:type="spellEnd"/>
          </w:p>
          <w:p>
            <w:pPr>
              <w:pStyle w:val="Liste3"/>
            </w:pPr>
            <w:r>
              <w:t>Geringe Verfügbarkeit von Monitoring und invasiver Therapie (Dialyse, ECMO, etc.)</w:t>
            </w:r>
          </w:p>
          <w:p>
            <w:pPr>
              <w:pStyle w:val="Liste2"/>
              <w:rPr>
                <w:lang w:val="de-DE"/>
              </w:rPr>
            </w:pPr>
            <w:r>
              <w:rPr>
                <w:lang w:val="de-DE"/>
              </w:rPr>
              <w:t>Sehr wahrscheinlich hohe Dunkelziffern der COVID-19 Todesfälle und der Übersterblichkeitsdaten</w:t>
            </w:r>
          </w:p>
          <w:p>
            <w:pPr>
              <w:pStyle w:val="Liste3"/>
            </w:pPr>
            <w:r>
              <w:t xml:space="preserve">Mischung aus: </w:t>
            </w:r>
          </w:p>
          <w:p>
            <w:pPr>
              <w:pStyle w:val="Liste3"/>
              <w:numPr>
                <w:ilvl w:val="2"/>
                <w:numId w:val="6"/>
              </w:numPr>
            </w:pPr>
            <w:r>
              <w:t>Untererfassung,</w:t>
            </w:r>
          </w:p>
          <w:p>
            <w:pPr>
              <w:pStyle w:val="Liste3"/>
              <w:numPr>
                <w:ilvl w:val="2"/>
                <w:numId w:val="6"/>
              </w:numPr>
            </w:pPr>
            <w:r>
              <w:t>Lücken/Verzögerungen in der Datenlage</w:t>
            </w:r>
          </w:p>
          <w:p>
            <w:pPr>
              <w:pStyle w:val="Liste3"/>
              <w:numPr>
                <w:ilvl w:val="2"/>
                <w:numId w:val="6"/>
              </w:numPr>
            </w:pPr>
            <w:r>
              <w:t xml:space="preserve">Reduzierte medizinische Versorgung aufgrund der Pandemie </w:t>
            </w:r>
          </w:p>
          <w:p>
            <w:pPr>
              <w:pStyle w:val="Liste3"/>
              <w:numPr>
                <w:ilvl w:val="2"/>
                <w:numId w:val="6"/>
              </w:numPr>
            </w:pPr>
            <w:r>
              <w:t>Ungeklärte Effekte wie erhöhte Langzeitsterblichkeit nach Infektion</w:t>
            </w:r>
          </w:p>
          <w:p>
            <w:pPr>
              <w:pStyle w:val="Liste2"/>
              <w:rPr>
                <w:lang w:val="de-DE"/>
              </w:rPr>
            </w:pPr>
            <w:r>
              <w:rPr>
                <w:lang w:val="de-DE"/>
              </w:rPr>
              <w:t>Weiterhin unklar, ähnlich zu Europa, wie NCDs und verzögertes Abklären von Symptomen zu einer höheren Übersterblichkeit während der COVID-19 Pandemie (aber anzunehmen, dass diese drastischer sind aufgrund von weniger resilienten Gesundheitssystemen)</w:t>
            </w:r>
          </w:p>
          <w:p>
            <w:pPr>
              <w:pStyle w:val="Liste3"/>
              <w:numPr>
                <w:ilvl w:val="0"/>
                <w:numId w:val="0"/>
              </w:numPr>
            </w:pPr>
          </w:p>
          <w:p>
            <w:pPr>
              <w:pStyle w:val="Liste3"/>
              <w:numPr>
                <w:ilvl w:val="0"/>
                <w:numId w:val="0"/>
              </w:numPr>
            </w:pPr>
          </w:p>
          <w:p>
            <w:pPr>
              <w:pStyle w:val="Liste3"/>
              <w:numPr>
                <w:ilvl w:val="0"/>
                <w:numId w:val="0"/>
              </w:numPr>
            </w:pPr>
          </w:p>
          <w:p>
            <w:pPr>
              <w:pStyle w:val="Liste3"/>
              <w:numPr>
                <w:ilvl w:val="0"/>
                <w:numId w:val="0"/>
              </w:numPr>
            </w:pP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Meierkord</w:t>
            </w:r>
            <w:proofErr w:type="spellEnd"/>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FrZchn"/>
              </w:rPr>
            </w:pPr>
            <w:r>
              <w:rPr>
                <w:rStyle w:val="1Zchn"/>
              </w:rPr>
              <w:t>Update digitale Projekte</w:t>
            </w:r>
            <w:r>
              <w:rPr>
                <w:b/>
                <w:sz w:val="28"/>
              </w:rPr>
              <w:t xml:space="preserve"> </w:t>
            </w:r>
            <w:r>
              <w:rPr>
                <w:rStyle w:val="TagFrZchn"/>
              </w:rPr>
              <w:t>(nur freitags)</w:t>
            </w:r>
          </w:p>
          <w:p>
            <w:pPr>
              <w:pStyle w:val="Liste1"/>
            </w:pPr>
            <w:r>
              <w:t xml:space="preserve">Folien </w:t>
            </w:r>
            <w:hyperlink r:id="rId18" w:history="1">
              <w:r>
                <w:rPr>
                  <w:rStyle w:val="Hyperlink"/>
                </w:rPr>
                <w:t>hier</w:t>
              </w:r>
            </w:hyperlink>
          </w:p>
          <w:p>
            <w:pPr>
              <w:pStyle w:val="Liste1"/>
            </w:pPr>
            <w:r>
              <w:t>CWA:</w:t>
            </w:r>
          </w:p>
          <w:p>
            <w:pPr>
              <w:pStyle w:val="Liste2"/>
              <w:rPr>
                <w:lang w:val="de-DE"/>
              </w:rPr>
            </w:pPr>
            <w:r>
              <w:rPr>
                <w:lang w:val="de-DE"/>
              </w:rPr>
              <w:t>&gt; 38,2 Mio. Downloads | &gt; 70.000 Downloads/Tag</w:t>
            </w:r>
          </w:p>
          <w:p>
            <w:pPr>
              <w:pStyle w:val="Liste2"/>
              <w:rPr>
                <w:lang w:val="de-DE"/>
              </w:rPr>
            </w:pPr>
            <w:r>
              <w:rPr>
                <w:lang w:val="de-DE"/>
              </w:rPr>
              <w:t>&gt;880.000 Warnende insgesamt, rund 8000 Warnende/Tag</w:t>
            </w:r>
          </w:p>
          <w:p>
            <w:pPr>
              <w:pStyle w:val="Liste2"/>
              <w:rPr>
                <w:lang w:val="de-DE"/>
              </w:rPr>
            </w:pPr>
            <w:r>
              <w:rPr>
                <w:lang w:val="de-DE"/>
              </w:rPr>
              <w:t>&gt;90.000 empfangene rote Warnungen (PPA-Zahlen)</w:t>
            </w:r>
          </w:p>
          <w:p>
            <w:pPr>
              <w:pStyle w:val="Liste2"/>
              <w:rPr>
                <w:lang w:val="de-DE"/>
              </w:rPr>
            </w:pPr>
            <w:r>
              <w:rPr>
                <w:lang w:val="de-DE"/>
              </w:rPr>
              <w:t>In Entwicklung: Version 2.15 mit angepasstem Text zur roten Warnung</w:t>
            </w:r>
          </w:p>
          <w:p>
            <w:pPr>
              <w:pStyle w:val="Liste1"/>
            </w:pPr>
            <w:proofErr w:type="spellStart"/>
            <w:r>
              <w:t>CovPass</w:t>
            </w:r>
            <w:proofErr w:type="spellEnd"/>
            <w:r>
              <w:t>:</w:t>
            </w:r>
          </w:p>
          <w:p>
            <w:pPr>
              <w:pStyle w:val="Liste2"/>
              <w:rPr>
                <w:lang w:val="de-DE"/>
              </w:rPr>
            </w:pPr>
            <w:r>
              <w:rPr>
                <w:lang w:val="de-DE"/>
              </w:rPr>
              <w:t xml:space="preserve">&gt; 157,14 </w:t>
            </w:r>
            <w:proofErr w:type="spellStart"/>
            <w:r>
              <w:rPr>
                <w:lang w:val="de-DE"/>
              </w:rPr>
              <w:t>Mio</w:t>
            </w:r>
            <w:proofErr w:type="spellEnd"/>
            <w:r>
              <w:rPr>
                <w:lang w:val="de-DE"/>
              </w:rPr>
              <w:t xml:space="preserve"> DCC (06.12.)</w:t>
            </w:r>
          </w:p>
          <w:p>
            <w:pPr>
              <w:pStyle w:val="Liste2"/>
              <w:rPr>
                <w:lang w:val="de-DE"/>
              </w:rPr>
            </w:pPr>
            <w:proofErr w:type="spellStart"/>
            <w:r>
              <w:rPr>
                <w:lang w:val="de-DE"/>
              </w:rPr>
              <w:t>CovPass</w:t>
            </w:r>
            <w:proofErr w:type="spellEnd"/>
            <w:r>
              <w:rPr>
                <w:lang w:val="de-DE"/>
              </w:rPr>
              <w:t>-App: &gt; 26,8 Mio. Downloads (06.12.)</w:t>
            </w:r>
          </w:p>
          <w:p>
            <w:pPr>
              <w:pStyle w:val="Liste2"/>
              <w:rPr>
                <w:lang w:val="de-DE"/>
              </w:rPr>
            </w:pPr>
            <w:proofErr w:type="spellStart"/>
            <w:r>
              <w:rPr>
                <w:lang w:val="de-DE"/>
              </w:rPr>
              <w:t>CovPassCheck</w:t>
            </w:r>
            <w:proofErr w:type="spellEnd"/>
            <w:r>
              <w:rPr>
                <w:lang w:val="de-DE"/>
              </w:rPr>
              <w:t xml:space="preserve">-App: &gt; 1,65 Mio. Downloads (06.12), + 21% Wochenvergleich </w:t>
            </w:r>
          </w:p>
          <w:p>
            <w:pPr>
              <w:pStyle w:val="Liste1"/>
            </w:pPr>
            <w:r>
              <w:t>DEA:</w:t>
            </w:r>
          </w:p>
          <w:p>
            <w:pPr>
              <w:pStyle w:val="Liste2"/>
            </w:pPr>
            <w:r>
              <w:t xml:space="preserve">&lt; 50.000 </w:t>
            </w:r>
            <w:proofErr w:type="spellStart"/>
            <w:r>
              <w:t>Anmeldungen</w:t>
            </w:r>
            <w:proofErr w:type="spellEnd"/>
            <w:r>
              <w:t xml:space="preserve"> pro Tag </w:t>
            </w:r>
          </w:p>
          <w:p>
            <w:pPr>
              <w:pStyle w:val="Liste2"/>
            </w:pPr>
            <w:r>
              <w:t xml:space="preserve">&gt; 17,9 Mio. </w:t>
            </w:r>
            <w:proofErr w:type="spellStart"/>
            <w:r>
              <w:t>Anmeldungen</w:t>
            </w:r>
            <w:proofErr w:type="spellEnd"/>
            <w:r>
              <w:t xml:space="preserve"> </w:t>
            </w:r>
            <w:proofErr w:type="spellStart"/>
            <w:r>
              <w:t>seit</w:t>
            </w:r>
            <w:proofErr w:type="spellEnd"/>
            <w:r>
              <w:t xml:space="preserve"> 11/2020</w:t>
            </w:r>
          </w:p>
          <w:p>
            <w:pPr>
              <w:pStyle w:val="Liste1"/>
              <w:numPr>
                <w:ilvl w:val="0"/>
                <w:numId w:val="0"/>
              </w:numPr>
              <w:ind w:left="473" w:hanging="360"/>
            </w:pPr>
          </w:p>
          <w:p>
            <w:pPr>
              <w:rPr>
                <w:b/>
              </w:rPr>
            </w:pPr>
            <w:r>
              <w:rPr>
                <w:b/>
              </w:rPr>
              <w:t>Diskussion:</w:t>
            </w:r>
          </w:p>
          <w:p>
            <w:pPr>
              <w:pStyle w:val="Liste1"/>
            </w:pPr>
            <w:r>
              <w:t xml:space="preserve">Durch hohe Zahl Personen die eine Warnung bekommen kann es teils dazu kommen, dass Meldungen in der CWA ihren Warncharakter verlieren. Auf der anderen Seite werden Personen noch mehr auf das aktuelle Infektionsgeschehen aufmerksam. Eine Auswertung dieser Wirkung ist schwer möglich. </w:t>
            </w:r>
          </w:p>
          <w:p>
            <w:pPr>
              <w:pStyle w:val="Liste1"/>
            </w:pPr>
            <w:r>
              <w:t>Kommunikative Möglichkeiten in der App sind begrenzt</w:t>
            </w:r>
          </w:p>
          <w:p>
            <w:pPr>
              <w:pStyle w:val="Liste1"/>
            </w:pPr>
            <w:r>
              <w:t>Eine weitere Eingrenzung des Zeitraums in dem ein Risikokontakt auftrat ist derzeit nicht möglich. Gründe dafür sind Datenschutzthemen, aber auch die technischen Spezifikationen der Anwendung selbst.</w:t>
            </w:r>
          </w:p>
          <w:p>
            <w:pPr>
              <w:pStyle w:val="Liste1"/>
            </w:pPr>
            <w:r>
              <w:t xml:space="preserve">Bei den Downloads der CWA zeigen sich regionale Unterschiede (mehr in „Westdeutschland“ und in den Städten). </w:t>
            </w:r>
            <w:hyperlink r:id="rId19" w:history="1">
              <w:r>
                <w:rPr>
                  <w:rStyle w:val="Hyperlink"/>
                </w:rPr>
                <w:t>https://www.coronawarn.app/de/science/2021-07-08-science-blog-2/</w:t>
              </w:r>
            </w:hyperlink>
            <w:r>
              <w:t xml:space="preserve"> </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rPr>
                <w:b/>
              </w:rPr>
            </w:pPr>
            <w:r>
              <w:rPr>
                <w:b/>
              </w:rPr>
              <w:t>Diskussion</w:t>
            </w:r>
          </w:p>
          <w:p>
            <w:pPr>
              <w:pStyle w:val="Liste1"/>
            </w:pPr>
            <w:r>
              <w:t xml:space="preserve">Eine Risikobewertung könnte in Zukunft stratifiziert nach Impfstatus und Virusvariante dargestellt werden. </w:t>
            </w:r>
          </w:p>
          <w:p>
            <w:pPr>
              <w:pStyle w:val="Liste2"/>
              <w:rPr>
                <w:lang w:val="de-DE"/>
              </w:rPr>
            </w:pPr>
            <w:r>
              <w:rPr>
                <w:lang w:val="de-DE"/>
              </w:rPr>
              <w:t>Die Risikobewertung richtet sich nicht an das Individuum, sondern an Bevölkerungsgruppen. Viele unterschiedliche Faktoren (z.B. Umgebungsfaktoren, aber auch stark andere Verhaltensweisen) beeinflussen das individuelle Risiko.</w:t>
            </w:r>
          </w:p>
          <w:p>
            <w:pPr>
              <w:pStyle w:val="Liste2"/>
              <w:rPr>
                <w:lang w:val="de-DE"/>
              </w:rPr>
            </w:pPr>
            <w:r>
              <w:rPr>
                <w:lang w:val="de-DE"/>
              </w:rPr>
              <w:t>Eine solche Darstellung kann missinterpretiert oder sogar missbraucht werden. Ebenfalls wäre es möglich, dass ein falsches Gefühl der Sicherheit kommuniziert wird.</w:t>
            </w:r>
          </w:p>
          <w:p>
            <w:pPr>
              <w:pStyle w:val="Liste2"/>
              <w:rPr>
                <w:lang w:val="de-DE"/>
              </w:rPr>
            </w:pPr>
            <w:r>
              <w:rPr>
                <w:lang w:val="de-DE"/>
              </w:rPr>
              <w:t>In die Risikobewertung für Deutschland fließt auch ein, wie viele Menschen es jeweils in den einzelnen Kategorien gibt. Transmission und Belastung des Gesundheitswesens ist hier nicht abgebildet.</w:t>
            </w:r>
          </w:p>
          <w:p>
            <w:pPr>
              <w:pStyle w:val="Liste2"/>
              <w:rPr>
                <w:lang w:val="de-DE"/>
              </w:rPr>
            </w:pPr>
            <w:r>
              <w:rPr>
                <w:lang w:val="de-DE"/>
              </w:rPr>
              <w:lastRenderedPageBreak/>
              <w:t>Eine Darstellung zur Effektivität und dem Schutz des bestehenden Impfstatus wäre ebenfalls interessant.</w:t>
            </w:r>
            <w:r>
              <w:rPr>
                <w:lang w:val="de-DE"/>
              </w:rP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(nicht berichtet)</w:t>
            </w:r>
          </w:p>
          <w:p>
            <w:pPr>
              <w:pStyle w:val="2"/>
            </w:pPr>
            <w:r>
              <w:t>Presse</w:t>
            </w:r>
          </w:p>
          <w:p>
            <w:pPr>
              <w:pStyle w:val="Liste1"/>
            </w:pPr>
            <w:r>
              <w:t>(nicht berichtet)</w:t>
            </w:r>
          </w:p>
          <w:p>
            <w:pPr>
              <w:pStyle w:val="2"/>
            </w:pPr>
            <w:r>
              <w:t>P1</w:t>
            </w:r>
          </w:p>
          <w:p>
            <w:pPr>
              <w:pStyle w:val="Liste1"/>
              <w:rPr>
                <w:i/>
              </w:rPr>
            </w:pPr>
            <w:r>
              <w:t xml:space="preserve">2 Twitter-Beiträge: Datenspende und aktueller </w:t>
            </w:r>
            <w:proofErr w:type="spellStart"/>
            <w:r>
              <w:t>EpiBull</w:t>
            </w:r>
            <w:proofErr w:type="spellEnd"/>
            <w:r>
              <w:t>-Artikel</w:t>
            </w:r>
          </w:p>
          <w:p>
            <w:pPr>
              <w:pStyle w:val="Liste1"/>
              <w:rPr>
                <w:i/>
              </w:rPr>
            </w:pPr>
            <w:r>
              <w:t>Aufruf zur Booster-Impfung und Kontaktbeschränkung</w:t>
            </w:r>
            <w:r>
              <w:br/>
            </w:r>
          </w:p>
        </w:tc>
        <w:tc>
          <w:tcPr>
            <w:tcW w:w="1463" w:type="dxa"/>
          </w:tcPr>
          <w:p>
            <w:pPr>
              <w:rPr>
                <w:sz w:val="22"/>
                <w:szCs w:val="22"/>
              </w:rPr>
            </w:pPr>
          </w:p>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Effekt der Booster-Impfung: Klare Effekte sind ersichtlich. Diese Daten sollen im Wochenbericht nächste Woche kommuniziert werden.</w:t>
            </w:r>
          </w:p>
          <w:p>
            <w:pPr>
              <w:pStyle w:val="Liste1"/>
            </w:pPr>
            <w:r>
              <w:t xml:space="preserve">Die Begleitkommunikation zu der neu beschlossenen Impfpflicht in Einrichtungen der Gesundheitsversorgung wird erarbeitet. </w:t>
            </w:r>
          </w:p>
          <w:p>
            <w:pPr>
              <w:pStyle w:val="2"/>
            </w:pPr>
            <w:r>
              <w:t>STIKO</w:t>
            </w:r>
          </w:p>
          <w:p>
            <w:pPr>
              <w:pStyle w:val="Liste1"/>
            </w:pPr>
            <w:r>
              <w:t>STIKO empfiehlt Impfung bei Kindern mit Vorerkrankungen und plant eine Klausel, sodass eine informierte Entscheidung zur Impfung von Kindern auch unabhängig davon stattfinden kann</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Virologisches Sentinel hatte in den letzten 4 Wochen 877 Proben, davon:</w:t>
            </w:r>
          </w:p>
          <w:p>
            <w:pPr>
              <w:pStyle w:val="Liste2"/>
              <w:rPr>
                <w:lang w:val="de-DE"/>
              </w:rPr>
            </w:pPr>
            <w:r>
              <w:rPr>
                <w:lang w:val="de-DE"/>
              </w:rPr>
              <w:t>63 SARS-CoV-2, 1 Verdacht auf Omikron</w:t>
            </w:r>
          </w:p>
          <w:p>
            <w:pPr>
              <w:pStyle w:val="Liste2"/>
              <w:rPr>
                <w:lang w:val="de-DE"/>
              </w:rPr>
            </w:pPr>
            <w:r>
              <w:rPr>
                <w:highlight w:val="yellow"/>
                <w:lang w:val="de-DE"/>
              </w:rPr>
              <w:t>##</w:t>
            </w:r>
            <w:r>
              <w:rPr>
                <w:lang w:val="de-DE"/>
              </w:rPr>
              <w:t xml:space="preserve"> RSV</w:t>
            </w:r>
          </w:p>
          <w:p>
            <w:pPr>
              <w:pStyle w:val="Liste2"/>
            </w:pPr>
            <w:r>
              <w:t>135 Rhinovirus</w:t>
            </w:r>
          </w:p>
          <w:p>
            <w:pPr>
              <w:pStyle w:val="Liste2"/>
            </w:pPr>
            <w:r>
              <w:t xml:space="preserve">39 </w:t>
            </w:r>
            <w:proofErr w:type="spellStart"/>
            <w:r>
              <w:t>Parainfluenzavirus</w:t>
            </w:r>
            <w:proofErr w:type="spellEnd"/>
          </w:p>
          <w:p>
            <w:pPr>
              <w:pStyle w:val="Liste2"/>
            </w:pPr>
            <w:r>
              <w:rPr>
                <w:lang w:val="de-DE"/>
              </w:rPr>
              <w:t xml:space="preserve">127 saisonale (endemische) Coronaviren </w:t>
            </w:r>
          </w:p>
          <w:p>
            <w:pPr>
              <w:pStyle w:val="Liste2"/>
            </w:pPr>
            <w:r>
              <w:t>18 Metapneumovirus</w:t>
            </w:r>
          </w:p>
          <w:p>
            <w:pPr>
              <w:pStyle w:val="Liste2"/>
            </w:pPr>
            <w:r>
              <w:t xml:space="preserve">4 </w:t>
            </w:r>
            <w:proofErr w:type="spellStart"/>
            <w:r>
              <w:t>Influenzavirus</w:t>
            </w:r>
            <w:proofErr w:type="spellEnd"/>
          </w:p>
          <w:p>
            <w:pPr>
              <w:pStyle w:val="2"/>
            </w:pPr>
            <w:r>
              <w:t>ZBS1</w:t>
            </w:r>
          </w:p>
          <w:p>
            <w:pPr>
              <w:pStyle w:val="Liste1"/>
            </w:pPr>
            <w:r>
              <w:lastRenderedPageBreak/>
              <w:t>234 Einsendungen, davon 58 Proben positiv</w:t>
            </w:r>
          </w:p>
          <w:p>
            <w:pPr>
              <w:pStyle w:val="Liste1"/>
            </w:pPr>
            <w:r>
              <w:t>Weitere Omikron-Fälle wurden identifiziert aber es liegen wenig weitere Informationen vor</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824" w:type="dxa"/>
          </w:tcPr>
          <w:p>
            <w:pPr>
              <w:pStyle w:val="1"/>
            </w:pPr>
            <w:r>
              <w:t>Klinisches Management/Entlassungsmanagement</w:t>
            </w:r>
          </w:p>
          <w:p>
            <w:pPr>
              <w:pStyle w:val="Liste1"/>
            </w:pPr>
            <w:r>
              <w:t xml:space="preserve">Strategische Patientenverlegung: </w:t>
            </w:r>
          </w:p>
          <w:p>
            <w:pPr>
              <w:pStyle w:val="Liste2"/>
            </w:pPr>
            <w:r>
              <w:t xml:space="preserve">94 </w:t>
            </w:r>
            <w:proofErr w:type="spellStart"/>
            <w:r>
              <w:t>PatientInnen</w:t>
            </w:r>
            <w:proofErr w:type="spellEnd"/>
            <w:r>
              <w:t xml:space="preserve"> </w:t>
            </w:r>
            <w:proofErr w:type="spellStart"/>
            <w:r>
              <w:t>wurden</w:t>
            </w:r>
            <w:proofErr w:type="spellEnd"/>
            <w:r>
              <w:t xml:space="preserve"> </w:t>
            </w:r>
            <w:proofErr w:type="spellStart"/>
            <w:r>
              <w:t>bereits</w:t>
            </w:r>
            <w:proofErr w:type="spellEnd"/>
            <w:r>
              <w:t xml:space="preserve"> </w:t>
            </w:r>
            <w:proofErr w:type="spellStart"/>
            <w:r>
              <w:t>verlegt</w:t>
            </w:r>
            <w:proofErr w:type="spellEnd"/>
          </w:p>
          <w:p>
            <w:pPr>
              <w:pStyle w:val="Liste2"/>
              <w:rPr>
                <w:lang w:val="de-DE"/>
              </w:rPr>
            </w:pPr>
            <w:r>
              <w:rPr>
                <w:lang w:val="de-DE"/>
              </w:rPr>
              <w:t>Kriterien wurden entwickelt um zu prüfen, ob PatientInnen verlegt werden können</w:t>
            </w:r>
          </w:p>
          <w:p>
            <w:pPr>
              <w:pStyle w:val="Liste2"/>
              <w:rPr>
                <w:lang w:val="de-DE"/>
              </w:rPr>
            </w:pPr>
            <w:r>
              <w:rPr>
                <w:lang w:val="de-DE"/>
              </w:rPr>
              <w:t xml:space="preserve">Eine Evaluation ist geplant und ein Ethikvotum wurde beim UKSH eingereicht. </w:t>
            </w:r>
          </w:p>
          <w:p>
            <w:pPr>
              <w:pStyle w:val="Liste2"/>
              <w:rPr>
                <w:lang w:val="de-DE"/>
              </w:rPr>
            </w:pPr>
            <w:r>
              <w:rPr>
                <w:lang w:val="de-DE"/>
              </w:rPr>
              <w:t>Die Verlegungen werden wahrscheinlich in den kommenden Wochen noch weiter durchgeführt</w:t>
            </w:r>
          </w:p>
          <w:p>
            <w:pPr>
              <w:pStyle w:val="Liste2"/>
              <w:rPr>
                <w:lang w:val="de-DE"/>
              </w:rPr>
            </w:pPr>
            <w:r>
              <w:rPr>
                <w:lang w:val="de-DE"/>
              </w:rPr>
              <w:t>Es zeigen sich Probleme in der Deckung der Kosten, die durch eine Verlegung entstehen</w:t>
            </w:r>
          </w:p>
          <w:p>
            <w:pPr>
              <w:pStyle w:val="Liste2"/>
              <w:rPr>
                <w:lang w:val="de-DE"/>
              </w:rPr>
            </w:pPr>
            <w:r>
              <w:rPr>
                <w:lang w:val="de-DE"/>
              </w:rPr>
              <w:t xml:space="preserve">Es wird geprüft, ob auch Non-COVID-PatientInnen zu verlegen, um eine Entlastung auf ITS zu erreichen </w:t>
            </w:r>
          </w:p>
          <w:p>
            <w:pPr>
              <w:pStyle w:val="Liste2"/>
              <w:rPr>
                <w:lang w:val="de-DE"/>
              </w:rPr>
            </w:pPr>
            <w:r>
              <w:rPr>
                <w:lang w:val="de-DE"/>
              </w:rPr>
              <w:t xml:space="preserve">SOPs zur Verlegung </w:t>
            </w:r>
            <w:proofErr w:type="gramStart"/>
            <w:r>
              <w:rPr>
                <w:lang w:val="de-DE"/>
              </w:rPr>
              <w:t>von PatientInnen</w:t>
            </w:r>
            <w:proofErr w:type="gramEnd"/>
            <w:r>
              <w:rPr>
                <w:lang w:val="de-DE"/>
              </w:rPr>
              <w:t xml:space="preserve"> ins Ausland werden erstellt, auch wenn nicht davon ausgegangen wird, dass diese genutzt werden müssen</w:t>
            </w:r>
          </w:p>
          <w:p>
            <w:pPr>
              <w:pStyle w:val="3"/>
              <w:numPr>
                <w:ilvl w:val="0"/>
                <w:numId w:val="0"/>
              </w:numPr>
              <w:spacing w:before="0"/>
              <w:ind w:left="107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Wird am Montag berichtet</w:t>
            </w:r>
          </w:p>
          <w:p>
            <w:pPr>
              <w:pStyle w:val="Liste1"/>
              <w:numPr>
                <w:ilvl w:val="0"/>
                <w:numId w:val="0"/>
              </w:numPr>
              <w:ind w:left="473"/>
              <w:rPr>
                <w:i/>
              </w:rPr>
            </w:pP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 xml:space="preserve">Hohe Belastungen an den Flughäfen (v.a. </w:t>
            </w:r>
            <w:proofErr w:type="spellStart"/>
            <w:r>
              <w:t>Frankport</w:t>
            </w:r>
            <w:proofErr w:type="spellEnd"/>
            <w:r>
              <w:t>), da alle Personen aus VV-Gebieten getestet und nachverfolgt werden sollen. Der Umgang mit positiv-getesteten Personen an den Flughäfen, in internationalen Bereichen, ist nicht geklärt.</w:t>
            </w:r>
          </w:p>
          <w:p>
            <w:pPr>
              <w:pStyle w:val="Liste1"/>
              <w:numPr>
                <w:ilvl w:val="0"/>
                <w:numId w:val="0"/>
              </w:numPr>
              <w:ind w:left="473"/>
            </w:pP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Hoher Arbeitsaufwand im LZ und zusätzliche Belastung durch Ausfall durch Krankheit oder CWA-Warnungen, aber auch Quarantäne von Kindern.</w:t>
            </w:r>
          </w:p>
          <w:p>
            <w:pPr>
              <w:pStyle w:val="Liste1"/>
            </w:pPr>
            <w:r>
              <w:t>Einige Schichten können derzeit nicht voll besetzt werden.</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p>
            <w:pPr>
              <w:pStyle w:val="Liste1"/>
              <w:numPr>
                <w:ilvl w:val="0"/>
                <w:numId w:val="0"/>
              </w:numPr>
              <w:ind w:left="473"/>
            </w:pP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Nächste Sitzung: Montag, 13.12.2021</w:t>
            </w:r>
            <w:proofErr w:type="gramStart"/>
            <w:r>
              <w:t>,  13</w:t>
            </w:r>
            <w:proofErr w:type="gramEnd"/>
            <w:r>
              <w:t xml:space="preserve">:00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13:15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3"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AB08AF"/>
    <w:multiLevelType w:val="hybridMultilevel"/>
    <w:tmpl w:val="D594107E"/>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2368">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07647593">
      <w:bodyDiv w:val="1"/>
      <w:marLeft w:val="0"/>
      <w:marRight w:val="0"/>
      <w:marTop w:val="0"/>
      <w:marBottom w:val="0"/>
      <w:divBdr>
        <w:top w:val="none" w:sz="0" w:space="0" w:color="auto"/>
        <w:left w:val="none" w:sz="0" w:space="0" w:color="auto"/>
        <w:bottom w:val="none" w:sz="0" w:space="0" w:color="auto"/>
        <w:right w:val="none" w:sz="0" w:space="0" w:color="auto"/>
      </w:divBdr>
      <w:divsChild>
        <w:div w:id="528956474">
          <w:marLeft w:val="547"/>
          <w:marRight w:val="0"/>
          <w:marTop w:val="86"/>
          <w:marBottom w:val="0"/>
          <w:divBdr>
            <w:top w:val="none" w:sz="0" w:space="0" w:color="auto"/>
            <w:left w:val="none" w:sz="0" w:space="0" w:color="auto"/>
            <w:bottom w:val="none" w:sz="0" w:space="0" w:color="auto"/>
            <w:right w:val="none" w:sz="0" w:space="0" w:color="auto"/>
          </w:divBdr>
        </w:div>
      </w:divsChild>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63796691">
      <w:bodyDiv w:val="1"/>
      <w:marLeft w:val="0"/>
      <w:marRight w:val="0"/>
      <w:marTop w:val="0"/>
      <w:marBottom w:val="0"/>
      <w:divBdr>
        <w:top w:val="none" w:sz="0" w:space="0" w:color="auto"/>
        <w:left w:val="none" w:sz="0" w:space="0" w:color="auto"/>
        <w:bottom w:val="none" w:sz="0" w:space="0" w:color="auto"/>
        <w:right w:val="none" w:sz="0" w:space="0" w:color="auto"/>
      </w:divBdr>
      <w:divsChild>
        <w:div w:id="733116321">
          <w:marLeft w:val="547"/>
          <w:marRight w:val="0"/>
          <w:marTop w:val="86"/>
          <w:marBottom w:val="0"/>
          <w:divBdr>
            <w:top w:val="none" w:sz="0" w:space="0" w:color="auto"/>
            <w:left w:val="none" w:sz="0" w:space="0" w:color="auto"/>
            <w:bottom w:val="none" w:sz="0" w:space="0" w:color="auto"/>
            <w:right w:val="none" w:sz="0" w:space="0" w:color="auto"/>
          </w:divBdr>
        </w:div>
      </w:divsChild>
    </w:div>
    <w:div w:id="432865661">
      <w:bodyDiv w:val="1"/>
      <w:marLeft w:val="0"/>
      <w:marRight w:val="0"/>
      <w:marTop w:val="0"/>
      <w:marBottom w:val="0"/>
      <w:divBdr>
        <w:top w:val="none" w:sz="0" w:space="0" w:color="auto"/>
        <w:left w:val="none" w:sz="0" w:space="0" w:color="auto"/>
        <w:bottom w:val="none" w:sz="0" w:space="0" w:color="auto"/>
        <w:right w:val="none" w:sz="0" w:space="0" w:color="auto"/>
      </w:divBdr>
      <w:divsChild>
        <w:div w:id="184682016">
          <w:marLeft w:val="547"/>
          <w:marRight w:val="0"/>
          <w:marTop w:val="86"/>
          <w:marBottom w:val="0"/>
          <w:divBdr>
            <w:top w:val="none" w:sz="0" w:space="0" w:color="auto"/>
            <w:left w:val="none" w:sz="0" w:space="0" w:color="auto"/>
            <w:bottom w:val="none" w:sz="0" w:space="0" w:color="auto"/>
            <w:right w:val="none" w:sz="0" w:space="0" w:color="auto"/>
          </w:divBdr>
        </w:div>
        <w:div w:id="353967101">
          <w:marLeft w:val="547"/>
          <w:marRight w:val="0"/>
          <w:marTop w:val="86"/>
          <w:marBottom w:val="0"/>
          <w:divBdr>
            <w:top w:val="none" w:sz="0" w:space="0" w:color="auto"/>
            <w:left w:val="none" w:sz="0" w:space="0" w:color="auto"/>
            <w:bottom w:val="none" w:sz="0" w:space="0" w:color="auto"/>
            <w:right w:val="none" w:sz="0" w:space="0" w:color="auto"/>
          </w:divBdr>
        </w:div>
        <w:div w:id="911308873">
          <w:marLeft w:val="1166"/>
          <w:marRight w:val="0"/>
          <w:marTop w:val="86"/>
          <w:marBottom w:val="0"/>
          <w:divBdr>
            <w:top w:val="none" w:sz="0" w:space="0" w:color="auto"/>
            <w:left w:val="none" w:sz="0" w:space="0" w:color="auto"/>
            <w:bottom w:val="none" w:sz="0" w:space="0" w:color="auto"/>
            <w:right w:val="none" w:sz="0" w:space="0" w:color="auto"/>
          </w:divBdr>
        </w:div>
        <w:div w:id="719133181">
          <w:marLeft w:val="1166"/>
          <w:marRight w:val="0"/>
          <w:marTop w:val="86"/>
          <w:marBottom w:val="0"/>
          <w:divBdr>
            <w:top w:val="none" w:sz="0" w:space="0" w:color="auto"/>
            <w:left w:val="none" w:sz="0" w:space="0" w:color="auto"/>
            <w:bottom w:val="none" w:sz="0" w:space="0" w:color="auto"/>
            <w:right w:val="none" w:sz="0" w:space="0" w:color="auto"/>
          </w:divBdr>
        </w:div>
        <w:div w:id="307365058">
          <w:marLeft w:val="1166"/>
          <w:marRight w:val="0"/>
          <w:marTop w:val="86"/>
          <w:marBottom w:val="0"/>
          <w:divBdr>
            <w:top w:val="none" w:sz="0" w:space="0" w:color="auto"/>
            <w:left w:val="none" w:sz="0" w:space="0" w:color="auto"/>
            <w:bottom w:val="none" w:sz="0" w:space="0" w:color="auto"/>
            <w:right w:val="none" w:sz="0" w:space="0" w:color="auto"/>
          </w:divBdr>
        </w:div>
      </w:divsChild>
    </w:div>
    <w:div w:id="470291031">
      <w:bodyDiv w:val="1"/>
      <w:marLeft w:val="0"/>
      <w:marRight w:val="0"/>
      <w:marTop w:val="0"/>
      <w:marBottom w:val="0"/>
      <w:divBdr>
        <w:top w:val="none" w:sz="0" w:space="0" w:color="auto"/>
        <w:left w:val="none" w:sz="0" w:space="0" w:color="auto"/>
        <w:bottom w:val="none" w:sz="0" w:space="0" w:color="auto"/>
        <w:right w:val="none" w:sz="0" w:space="0" w:color="auto"/>
      </w:divBdr>
      <w:divsChild>
        <w:div w:id="1141581270">
          <w:marLeft w:val="1800"/>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583074349">
      <w:bodyDiv w:val="1"/>
      <w:marLeft w:val="0"/>
      <w:marRight w:val="0"/>
      <w:marTop w:val="0"/>
      <w:marBottom w:val="0"/>
      <w:divBdr>
        <w:top w:val="none" w:sz="0" w:space="0" w:color="auto"/>
        <w:left w:val="none" w:sz="0" w:space="0" w:color="auto"/>
        <w:bottom w:val="none" w:sz="0" w:space="0" w:color="auto"/>
        <w:right w:val="none" w:sz="0" w:space="0" w:color="auto"/>
      </w:divBdr>
    </w:div>
    <w:div w:id="595985051">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68723372">
      <w:bodyDiv w:val="1"/>
      <w:marLeft w:val="0"/>
      <w:marRight w:val="0"/>
      <w:marTop w:val="0"/>
      <w:marBottom w:val="0"/>
      <w:divBdr>
        <w:top w:val="none" w:sz="0" w:space="0" w:color="auto"/>
        <w:left w:val="none" w:sz="0" w:space="0" w:color="auto"/>
        <w:bottom w:val="none" w:sz="0" w:space="0" w:color="auto"/>
        <w:right w:val="none" w:sz="0" w:space="0" w:color="auto"/>
      </w:divBdr>
      <w:divsChild>
        <w:div w:id="2052344879">
          <w:marLeft w:val="547"/>
          <w:marRight w:val="0"/>
          <w:marTop w:val="86"/>
          <w:marBottom w:val="0"/>
          <w:divBdr>
            <w:top w:val="none" w:sz="0" w:space="0" w:color="auto"/>
            <w:left w:val="none" w:sz="0" w:space="0" w:color="auto"/>
            <w:bottom w:val="none" w:sz="0" w:space="0" w:color="auto"/>
            <w:right w:val="none" w:sz="0" w:space="0" w:color="auto"/>
          </w:divBdr>
        </w:div>
      </w:divsChild>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105229971">
      <w:bodyDiv w:val="1"/>
      <w:marLeft w:val="0"/>
      <w:marRight w:val="0"/>
      <w:marTop w:val="0"/>
      <w:marBottom w:val="0"/>
      <w:divBdr>
        <w:top w:val="none" w:sz="0" w:space="0" w:color="auto"/>
        <w:left w:val="none" w:sz="0" w:space="0" w:color="auto"/>
        <w:bottom w:val="none" w:sz="0" w:space="0" w:color="auto"/>
        <w:right w:val="none" w:sz="0" w:space="0" w:color="auto"/>
      </w:divBdr>
      <w:divsChild>
        <w:div w:id="221868791">
          <w:marLeft w:val="547"/>
          <w:marRight w:val="0"/>
          <w:marTop w:val="86"/>
          <w:marBottom w:val="0"/>
          <w:divBdr>
            <w:top w:val="none" w:sz="0" w:space="0" w:color="auto"/>
            <w:left w:val="none" w:sz="0" w:space="0" w:color="auto"/>
            <w:bottom w:val="none" w:sz="0" w:space="0" w:color="auto"/>
            <w:right w:val="none" w:sz="0" w:space="0" w:color="auto"/>
          </w:divBdr>
        </w:div>
        <w:div w:id="200023813">
          <w:marLeft w:val="1166"/>
          <w:marRight w:val="0"/>
          <w:marTop w:val="86"/>
          <w:marBottom w:val="0"/>
          <w:divBdr>
            <w:top w:val="none" w:sz="0" w:space="0" w:color="auto"/>
            <w:left w:val="none" w:sz="0" w:space="0" w:color="auto"/>
            <w:bottom w:val="none" w:sz="0" w:space="0" w:color="auto"/>
            <w:right w:val="none" w:sz="0" w:space="0" w:color="auto"/>
          </w:divBdr>
        </w:div>
        <w:div w:id="113523619">
          <w:marLeft w:val="1800"/>
          <w:marRight w:val="0"/>
          <w:marTop w:val="86"/>
          <w:marBottom w:val="0"/>
          <w:divBdr>
            <w:top w:val="none" w:sz="0" w:space="0" w:color="auto"/>
            <w:left w:val="none" w:sz="0" w:space="0" w:color="auto"/>
            <w:bottom w:val="none" w:sz="0" w:space="0" w:color="auto"/>
            <w:right w:val="none" w:sz="0" w:space="0" w:color="auto"/>
          </w:divBdr>
        </w:div>
        <w:div w:id="1777019451">
          <w:marLeft w:val="1800"/>
          <w:marRight w:val="0"/>
          <w:marTop w:val="86"/>
          <w:marBottom w:val="0"/>
          <w:divBdr>
            <w:top w:val="none" w:sz="0" w:space="0" w:color="auto"/>
            <w:left w:val="none" w:sz="0" w:space="0" w:color="auto"/>
            <w:bottom w:val="none" w:sz="0" w:space="0" w:color="auto"/>
            <w:right w:val="none" w:sz="0" w:space="0" w:color="auto"/>
          </w:divBdr>
        </w:div>
        <w:div w:id="995063107">
          <w:marLeft w:val="1800"/>
          <w:marRight w:val="0"/>
          <w:marTop w:val="86"/>
          <w:marBottom w:val="0"/>
          <w:divBdr>
            <w:top w:val="none" w:sz="0" w:space="0" w:color="auto"/>
            <w:left w:val="none" w:sz="0" w:space="0" w:color="auto"/>
            <w:bottom w:val="none" w:sz="0" w:space="0" w:color="auto"/>
            <w:right w:val="none" w:sz="0" w:space="0" w:color="auto"/>
          </w:divBdr>
        </w:div>
        <w:div w:id="805705408">
          <w:marLeft w:val="1800"/>
          <w:marRight w:val="0"/>
          <w:marTop w:val="86"/>
          <w:marBottom w:val="0"/>
          <w:divBdr>
            <w:top w:val="none" w:sz="0" w:space="0" w:color="auto"/>
            <w:left w:val="none" w:sz="0" w:space="0" w:color="auto"/>
            <w:bottom w:val="none" w:sz="0" w:space="0" w:color="auto"/>
            <w:right w:val="none" w:sz="0" w:space="0" w:color="auto"/>
          </w:divBdr>
        </w:div>
      </w:divsChild>
    </w:div>
    <w:div w:id="1267350532">
      <w:bodyDiv w:val="1"/>
      <w:marLeft w:val="0"/>
      <w:marRight w:val="0"/>
      <w:marTop w:val="0"/>
      <w:marBottom w:val="0"/>
      <w:divBdr>
        <w:top w:val="none" w:sz="0" w:space="0" w:color="auto"/>
        <w:left w:val="none" w:sz="0" w:space="0" w:color="auto"/>
        <w:bottom w:val="none" w:sz="0" w:space="0" w:color="auto"/>
        <w:right w:val="none" w:sz="0" w:space="0" w:color="auto"/>
      </w:divBdr>
      <w:divsChild>
        <w:div w:id="440078870">
          <w:marLeft w:val="547"/>
          <w:marRight w:val="0"/>
          <w:marTop w:val="86"/>
          <w:marBottom w:val="0"/>
          <w:divBdr>
            <w:top w:val="none" w:sz="0" w:space="0" w:color="auto"/>
            <w:left w:val="none" w:sz="0" w:space="0" w:color="auto"/>
            <w:bottom w:val="none" w:sz="0" w:space="0" w:color="auto"/>
            <w:right w:val="none" w:sz="0" w:space="0" w:color="auto"/>
          </w:divBdr>
        </w:div>
        <w:div w:id="1700812041">
          <w:marLeft w:val="1166"/>
          <w:marRight w:val="0"/>
          <w:marTop w:val="86"/>
          <w:marBottom w:val="0"/>
          <w:divBdr>
            <w:top w:val="none" w:sz="0" w:space="0" w:color="auto"/>
            <w:left w:val="none" w:sz="0" w:space="0" w:color="auto"/>
            <w:bottom w:val="none" w:sz="0" w:space="0" w:color="auto"/>
            <w:right w:val="none" w:sz="0" w:space="0" w:color="auto"/>
          </w:divBdr>
        </w:div>
        <w:div w:id="1235971653">
          <w:marLeft w:val="1166"/>
          <w:marRight w:val="0"/>
          <w:marTop w:val="86"/>
          <w:marBottom w:val="0"/>
          <w:divBdr>
            <w:top w:val="none" w:sz="0" w:space="0" w:color="auto"/>
            <w:left w:val="none" w:sz="0" w:space="0" w:color="auto"/>
            <w:bottom w:val="none" w:sz="0" w:space="0" w:color="auto"/>
            <w:right w:val="none" w:sz="0" w:space="0" w:color="auto"/>
          </w:divBdr>
        </w:div>
        <w:div w:id="1864439737">
          <w:marLeft w:val="547"/>
          <w:marRight w:val="0"/>
          <w:marTop w:val="86"/>
          <w:marBottom w:val="0"/>
          <w:divBdr>
            <w:top w:val="none" w:sz="0" w:space="0" w:color="auto"/>
            <w:left w:val="none" w:sz="0" w:space="0" w:color="auto"/>
            <w:bottom w:val="none" w:sz="0" w:space="0" w:color="auto"/>
            <w:right w:val="none" w:sz="0" w:space="0" w:color="auto"/>
          </w:divBdr>
        </w:div>
        <w:div w:id="597442343">
          <w:marLeft w:val="1166"/>
          <w:marRight w:val="0"/>
          <w:marTop w:val="86"/>
          <w:marBottom w:val="0"/>
          <w:divBdr>
            <w:top w:val="none" w:sz="0" w:space="0" w:color="auto"/>
            <w:left w:val="none" w:sz="0" w:space="0" w:color="auto"/>
            <w:bottom w:val="none" w:sz="0" w:space="0" w:color="auto"/>
            <w:right w:val="none" w:sz="0" w:space="0" w:color="auto"/>
          </w:divBdr>
        </w:div>
      </w:divsChild>
    </w:div>
    <w:div w:id="1493326515">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71196793">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1931348492">
      <w:bodyDiv w:val="1"/>
      <w:marLeft w:val="0"/>
      <w:marRight w:val="0"/>
      <w:marTop w:val="0"/>
      <w:marBottom w:val="0"/>
      <w:divBdr>
        <w:top w:val="none" w:sz="0" w:space="0" w:color="auto"/>
        <w:left w:val="none" w:sz="0" w:space="0" w:color="auto"/>
        <w:bottom w:val="none" w:sz="0" w:space="0" w:color="auto"/>
        <w:right w:val="none" w:sz="0" w:space="0" w:color="auto"/>
      </w:divBdr>
      <w:divsChild>
        <w:div w:id="1035083978">
          <w:marLeft w:val="1800"/>
          <w:marRight w:val="0"/>
          <w:marTop w:val="0"/>
          <w:marBottom w:val="0"/>
          <w:divBdr>
            <w:top w:val="none" w:sz="0" w:space="0" w:color="auto"/>
            <w:left w:val="none" w:sz="0" w:space="0" w:color="auto"/>
            <w:bottom w:val="none" w:sz="0" w:space="0" w:color="auto"/>
            <w:right w:val="none" w:sz="0" w:space="0" w:color="auto"/>
          </w:divBdr>
        </w:div>
        <w:div w:id="2101949700">
          <w:marLeft w:val="1800"/>
          <w:marRight w:val="0"/>
          <w:marTop w:val="0"/>
          <w:marBottom w:val="0"/>
          <w:divBdr>
            <w:top w:val="none" w:sz="0" w:space="0" w:color="auto"/>
            <w:left w:val="none" w:sz="0" w:space="0" w:color="auto"/>
            <w:bottom w:val="none" w:sz="0" w:space="0" w:color="auto"/>
            <w:right w:val="none" w:sz="0" w:space="0" w:color="auto"/>
          </w:divBdr>
        </w:div>
        <w:div w:id="2126190096">
          <w:marLeft w:val="1800"/>
          <w:marRight w:val="0"/>
          <w:marTop w:val="0"/>
          <w:marBottom w:val="0"/>
          <w:divBdr>
            <w:top w:val="none" w:sz="0" w:space="0" w:color="auto"/>
            <w:left w:val="none" w:sz="0" w:space="0" w:color="auto"/>
            <w:bottom w:val="none" w:sz="0" w:space="0" w:color="auto"/>
            <w:right w:val="none" w:sz="0" w:space="0" w:color="auto"/>
          </w:divBdr>
        </w:div>
      </w:divsChild>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078436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12-10_Lage-AG\Digi-Tools_Krisenstab_2021-12-10_neu.ppt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12-10_Lage-AG\Excess%20mortality%20in%20Africa.Lage_2021-12-10.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12-10_Lage-AG\SozialeUngleichheit_COVID.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12-03_Lage-AG\LageNational_2021-12-03.pptx" TargetMode="External"/><Relationship Id="rId10" Type="http://schemas.openxmlformats.org/officeDocument/2006/relationships/footer" Target="footer1.xml"/><Relationship Id="rId19" Type="http://schemas.openxmlformats.org/officeDocument/2006/relationships/hyperlink" Target="https://www.coronawarn.app/de/science/2021-07-08-science-blog-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12-10_Lage-AG\COVID-19_internat.%20Lage_2021-12-10_Update.ppt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40D80-F388-426F-AEEA-01A21822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1983</Words>
  <Characters>12498</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Jens Hoebel</cp:lastModifiedBy>
  <cp:revision>44</cp:revision>
  <cp:lastPrinted>2020-05-06T16:43:00Z</cp:lastPrinted>
  <dcterms:created xsi:type="dcterms:W3CDTF">2021-05-05T09:19:00Z</dcterms:created>
  <dcterms:modified xsi:type="dcterms:W3CDTF">2021-12-13T10:02:00Z</dcterms:modified>
</cp:coreProperties>
</file>