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05.01.2021,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highlight w:val="yellow"/>
        </w:rPr>
      </w:pPr>
      <w:r>
        <w:rPr>
          <w:b/>
          <w:sz w:val="22"/>
        </w:rPr>
        <w:t xml:space="preserve">Moderation: Lars Schaade </w:t>
      </w:r>
    </w:p>
    <w:p>
      <w:pPr>
        <w:spacing w:after="0"/>
        <w:rPr>
          <w:b/>
          <w:sz w:val="22"/>
          <w:highlight w:val="yellow"/>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contextualSpacing w:val="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Nadine Litzba (Protokoll)</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2"/>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2"/>
        </w:numPr>
        <w:spacing w:after="0"/>
        <w:contextualSpacing w:val="0"/>
        <w:rPr>
          <w:sz w:val="22"/>
          <w:szCs w:val="22"/>
        </w:rPr>
      </w:pPr>
      <w:r>
        <w:rPr>
          <w:sz w:val="22"/>
          <w:szCs w:val="22"/>
        </w:rPr>
        <w:t>FG21</w:t>
      </w:r>
    </w:p>
    <w:p>
      <w:pPr>
        <w:pStyle w:val="Listenabsatz"/>
        <w:numPr>
          <w:ilvl w:val="1"/>
          <w:numId w:val="2"/>
        </w:numPr>
        <w:spacing w:after="0"/>
        <w:contextualSpacing w:val="0"/>
        <w:rPr>
          <w:sz w:val="22"/>
          <w:szCs w:val="22"/>
        </w:rPr>
      </w:pPr>
      <w:r>
        <w:rPr>
          <w:sz w:val="22"/>
          <w:szCs w:val="22"/>
        </w:rPr>
        <w:t>Wolfgang Scheida</w:t>
      </w:r>
    </w:p>
    <w:p>
      <w:pPr>
        <w:pStyle w:val="Listenabsatz"/>
        <w:numPr>
          <w:ilvl w:val="0"/>
          <w:numId w:val="4"/>
        </w:numPr>
        <w:spacing w:after="0"/>
        <w:contextualSpacing w:val="0"/>
        <w:rPr>
          <w:sz w:val="22"/>
          <w:szCs w:val="22"/>
        </w:rPr>
      </w:pPr>
      <w:r>
        <w:rPr>
          <w:sz w:val="22"/>
          <w:szCs w:val="22"/>
        </w:rPr>
        <w:t>FG25</w:t>
      </w:r>
    </w:p>
    <w:p>
      <w:pPr>
        <w:pStyle w:val="Listenabsatz"/>
        <w:numPr>
          <w:ilvl w:val="1"/>
          <w:numId w:val="4"/>
        </w:numPr>
        <w:spacing w:after="0"/>
        <w:contextualSpacing w:val="0"/>
        <w:rPr>
          <w:sz w:val="22"/>
          <w:szCs w:val="22"/>
        </w:rPr>
      </w:pPr>
      <w:r>
        <w:rPr>
          <w:sz w:val="22"/>
          <w:szCs w:val="22"/>
        </w:rPr>
        <w:t>Christa Scheidt-Nave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spacing w:after="0"/>
        <w:ind w:left="1440"/>
        <w:contextualSpacing w:val="0"/>
        <w:rPr>
          <w:sz w:val="22"/>
          <w:szCs w:val="22"/>
        </w:rPr>
      </w:pP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4"/>
        </w:numPr>
        <w:spacing w:after="0"/>
        <w:rPr>
          <w:sz w:val="22"/>
          <w:szCs w:val="22"/>
        </w:rPr>
      </w:pPr>
      <w:r>
        <w:rPr>
          <w:sz w:val="22"/>
          <w:szCs w:val="22"/>
        </w:rPr>
        <w:t>FG36</w:t>
      </w:r>
    </w:p>
    <w:p>
      <w:pPr>
        <w:pStyle w:val="Listenabsatz"/>
        <w:numPr>
          <w:ilvl w:val="1"/>
          <w:numId w:val="4"/>
        </w:numPr>
        <w:spacing w:after="0"/>
        <w:rPr>
          <w:sz w:val="22"/>
          <w:szCs w:val="22"/>
        </w:rPr>
      </w:pPr>
      <w:r>
        <w:rPr>
          <w:sz w:val="22"/>
          <w:szCs w:val="22"/>
        </w:rPr>
        <w:t>Walter Haas</w:t>
      </w:r>
    </w:p>
    <w:p>
      <w:pPr>
        <w:pStyle w:val="Listenabsatz"/>
        <w:numPr>
          <w:ilvl w:val="1"/>
          <w:numId w:val="4"/>
        </w:numPr>
        <w:spacing w:after="0"/>
        <w:rPr>
          <w:sz w:val="22"/>
          <w:szCs w:val="22"/>
        </w:rPr>
      </w:pPr>
      <w:r>
        <w:rPr>
          <w:sz w:val="22"/>
          <w:szCs w:val="22"/>
        </w:rPr>
        <w:t>Silke Buda</w:t>
      </w:r>
    </w:p>
    <w:p>
      <w:pPr>
        <w:pStyle w:val="Listenabsatz"/>
        <w:numPr>
          <w:ilvl w:val="1"/>
          <w:numId w:val="4"/>
        </w:numPr>
        <w:spacing w:after="0"/>
        <w:rPr>
          <w:sz w:val="22"/>
          <w:szCs w:val="22"/>
        </w:rPr>
      </w:pPr>
      <w:r>
        <w:rPr>
          <w:sz w:val="22"/>
          <w:szCs w:val="22"/>
        </w:rPr>
        <w:t>Stefan Kröger</w:t>
      </w:r>
    </w:p>
    <w:p>
      <w:pPr>
        <w:pStyle w:val="Listenabsatz"/>
        <w:numPr>
          <w:ilvl w:val="1"/>
          <w:numId w:val="4"/>
        </w:numPr>
        <w:spacing w:after="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bookmarkStart w:id="0" w:name="_Hlk90639552"/>
      <w:r>
        <w:rPr>
          <w:sz w:val="22"/>
          <w:szCs w:val="22"/>
        </w:rPr>
        <w:t>Ute Rexroth</w:t>
      </w:r>
    </w:p>
    <w:bookmarkEnd w:id="0"/>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sz w:val="22"/>
          <w:szCs w:val="22"/>
        </w:rPr>
      </w:pPr>
      <w:r>
        <w:rPr>
          <w:sz w:val="22"/>
          <w:szCs w:val="22"/>
        </w:rPr>
        <w:t>Susi Gottwald</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1"/>
          <w:numId w:val="3"/>
        </w:numPr>
        <w:spacing w:after="0"/>
        <w:contextualSpacing w:val="0"/>
        <w:rPr>
          <w:sz w:val="22"/>
          <w:szCs w:val="22"/>
        </w:rPr>
      </w:pPr>
      <w:r>
        <w:rPr>
          <w:sz w:val="22"/>
          <w:szCs w:val="22"/>
        </w:rPr>
        <w:t xml:space="preserve">Michaela </w:t>
      </w:r>
      <w:proofErr w:type="spellStart"/>
      <w:r>
        <w:rPr>
          <w:sz w:val="22"/>
          <w:szCs w:val="22"/>
        </w:rPr>
        <w:t>Niebank</w:t>
      </w:r>
      <w:proofErr w:type="spellEnd"/>
    </w:p>
    <w:p>
      <w:pPr>
        <w:pStyle w:val="Listenabsatz"/>
        <w:numPr>
          <w:ilvl w:val="0"/>
          <w:numId w:val="2"/>
        </w:numPr>
        <w:spacing w:after="0"/>
        <w:contextualSpacing w:val="0"/>
        <w:rPr>
          <w:sz w:val="22"/>
          <w:szCs w:val="22"/>
        </w:rPr>
      </w:pPr>
      <w:r>
        <w:rPr>
          <w:sz w:val="22"/>
          <w:szCs w:val="22"/>
        </w:rPr>
        <w:t>ZIG1</w:t>
      </w:r>
      <w:bookmarkStart w:id="1" w:name="_Hlk90631145"/>
    </w:p>
    <w:p>
      <w:pPr>
        <w:pStyle w:val="Listenabsatz"/>
        <w:numPr>
          <w:ilvl w:val="1"/>
          <w:numId w:val="2"/>
        </w:numPr>
        <w:spacing w:after="0"/>
        <w:contextualSpacing w:val="0"/>
        <w:rPr>
          <w:sz w:val="22"/>
          <w:szCs w:val="22"/>
        </w:rPr>
      </w:pPr>
      <w:r>
        <w:rPr>
          <w:sz w:val="22"/>
          <w:szCs w:val="22"/>
        </w:rPr>
        <w:t>Anna Rohde</w:t>
      </w:r>
    </w:p>
    <w:p>
      <w:pPr>
        <w:pStyle w:val="Listenabsatz"/>
        <w:numPr>
          <w:ilvl w:val="0"/>
          <w:numId w:val="2"/>
        </w:numPr>
        <w:spacing w:after="0"/>
        <w:contextualSpacing w:val="0"/>
        <w:rPr>
          <w:sz w:val="22"/>
          <w:szCs w:val="22"/>
        </w:rPr>
      </w:pPr>
      <w:r>
        <w:rPr>
          <w:sz w:val="22"/>
          <w:szCs w:val="22"/>
        </w:rPr>
        <w:t>BZgA</w:t>
      </w:r>
    </w:p>
    <w:p>
      <w:pPr>
        <w:pStyle w:val="Listenabsatz"/>
        <w:numPr>
          <w:ilvl w:val="1"/>
          <w:numId w:val="2"/>
        </w:numPr>
        <w:spacing w:after="0"/>
        <w:contextualSpacing w:val="0"/>
        <w:rPr>
          <w:sz w:val="22"/>
          <w:szCs w:val="22"/>
        </w:rPr>
      </w:pPr>
      <w:r>
        <w:rPr>
          <w:sz w:val="22"/>
          <w:szCs w:val="22"/>
        </w:rPr>
        <w:t xml:space="preserve">Andrea </w:t>
      </w:r>
      <w:proofErr w:type="spellStart"/>
      <w:r>
        <w:rPr>
          <w:sz w:val="22"/>
          <w:szCs w:val="22"/>
        </w:rPr>
        <w:t>Rückle</w:t>
      </w:r>
      <w:proofErr w:type="spellEnd"/>
    </w:p>
    <w:p>
      <w:pPr>
        <w:spacing w:after="0"/>
        <w:rPr>
          <w:sz w:val="22"/>
          <w:szCs w:val="22"/>
        </w:rPr>
      </w:pPr>
    </w:p>
    <w:bookmarkEnd w:id="1"/>
    <w:p>
      <w:pPr>
        <w:pStyle w:val="Listenabsatz"/>
        <w:numPr>
          <w:ilvl w:val="0"/>
          <w:numId w:val="8"/>
        </w:num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pStyle w:val="2"/>
            </w:pPr>
            <w:r>
              <w:t xml:space="preserve">National </w:t>
            </w:r>
          </w:p>
          <w:p>
            <w:pPr>
              <w:pStyle w:val="Liste2"/>
              <w:rPr>
                <w:lang w:val="de-DE"/>
              </w:rPr>
            </w:pPr>
            <w:r>
              <w:rPr>
                <w:lang w:val="de-DE"/>
              </w:rPr>
              <w:t>Fallzahlen, Todesfälle, Trend, Folien</w:t>
            </w:r>
            <w:hyperlink r:id="rId11" w:history="1">
              <w:r>
                <w:rPr>
                  <w:rStyle w:val="Hyperlink"/>
                  <w:lang w:val="de-DE"/>
                </w:rPr>
                <w:t xml:space="preserve"> hier</w:t>
              </w:r>
            </w:hyperlink>
          </w:p>
          <w:p>
            <w:pPr>
              <w:pStyle w:val="Liste2"/>
              <w:rPr>
                <w:lang w:val="de-DE"/>
              </w:rPr>
            </w:pPr>
            <w:proofErr w:type="spellStart"/>
            <w:r>
              <w:rPr>
                <w:lang w:val="de-DE"/>
              </w:rPr>
              <w:t>SurvNet</w:t>
            </w:r>
            <w:proofErr w:type="spellEnd"/>
            <w:r>
              <w:rPr>
                <w:lang w:val="de-DE"/>
              </w:rPr>
              <w:t xml:space="preserve"> übermittelt: 7.297.320 (+58.912), davon 112.926 (+346) Todesfälle </w:t>
            </w:r>
          </w:p>
          <w:p>
            <w:pPr>
              <w:pStyle w:val="Liste2"/>
              <w:rPr>
                <w:lang w:val="de-DE"/>
              </w:rPr>
            </w:pPr>
            <w:r>
              <w:rPr>
                <w:lang w:val="de-DE"/>
              </w:rPr>
              <w:t xml:space="preserve">7-Tage-Inzidenz (7TI):  258,6/100.000 EW  </w:t>
            </w:r>
          </w:p>
          <w:p>
            <w:pPr>
              <w:pStyle w:val="Liste2"/>
              <w:rPr>
                <w:lang w:val="de-DE"/>
              </w:rPr>
            </w:pPr>
            <w:r>
              <w:rPr>
                <w:lang w:val="de-DE"/>
              </w:rPr>
              <w:t>DIVI Intensivregister 3.670 (-133)</w:t>
            </w:r>
          </w:p>
          <w:p>
            <w:pPr>
              <w:pStyle w:val="Liste2"/>
              <w:rPr>
                <w:lang w:val="de-DE"/>
              </w:rPr>
            </w:pPr>
            <w:r>
              <w:rPr>
                <w:lang w:val="de-DE"/>
              </w:rPr>
              <w:t>Impfmonitoring: Geimpfte mit 1. Dosis 61.813.677 (74,3%), mit vollständiger Impfung 59.371.059 (71,4%), Auffrischimpfungen 33.376.080 (40,1%)</w:t>
            </w:r>
          </w:p>
          <w:p>
            <w:pPr>
              <w:pStyle w:val="Liste2"/>
              <w:rPr>
                <w:lang w:val="de-DE"/>
              </w:rPr>
            </w:pPr>
            <w:r>
              <w:rPr>
                <w:lang w:val="de-DE"/>
              </w:rPr>
              <w:t xml:space="preserve">7TI und Hospitalisierung ansteigend. </w:t>
            </w:r>
          </w:p>
          <w:p>
            <w:pPr>
              <w:pStyle w:val="Liste2"/>
              <w:rPr>
                <w:lang w:val="de-DE"/>
              </w:rPr>
            </w:pPr>
            <w:r>
              <w:rPr>
                <w:lang w:val="de-DE"/>
              </w:rPr>
              <w:t>Verlauf der 7-Tage-Inzidenz der Bundesländer:</w:t>
            </w:r>
          </w:p>
          <w:p>
            <w:pPr>
              <w:pStyle w:val="Liste3"/>
              <w:numPr>
                <w:ilvl w:val="1"/>
                <w:numId w:val="7"/>
              </w:numPr>
            </w:pPr>
            <w:r>
              <w:t xml:space="preserve">Der Anstieg in HB und in HH setzt sich fort. HB hat die höchste 7TI. SH zeigt auch einen deutlichen Anstieg. </w:t>
            </w:r>
          </w:p>
          <w:p>
            <w:pPr>
              <w:pStyle w:val="Liste3"/>
              <w:numPr>
                <w:ilvl w:val="1"/>
                <w:numId w:val="7"/>
              </w:numPr>
            </w:pPr>
            <w:r>
              <w:t>Anstieg auch im SL, MV und BB, insgesamt Trend in den westlichen BL ansteigend.</w:t>
            </w:r>
          </w:p>
          <w:p>
            <w:pPr>
              <w:pStyle w:val="Liste2"/>
              <w:rPr>
                <w:lang w:val="de-DE"/>
              </w:rPr>
            </w:pPr>
            <w:r>
              <w:rPr>
                <w:lang w:val="de-DE"/>
              </w:rPr>
              <w:t>Geografische Verteilung 7-Tage-Inzidenz nach Landkreis</w:t>
            </w:r>
          </w:p>
          <w:p>
            <w:pPr>
              <w:pStyle w:val="Liste3"/>
              <w:numPr>
                <w:ilvl w:val="1"/>
                <w:numId w:val="7"/>
              </w:numPr>
            </w:pPr>
            <w:r>
              <w:t xml:space="preserve">2 LK &gt; 500/100.000 EW </w:t>
            </w:r>
          </w:p>
          <w:p>
            <w:pPr>
              <w:pStyle w:val="Liste3"/>
              <w:numPr>
                <w:ilvl w:val="1"/>
                <w:numId w:val="7"/>
              </w:numPr>
            </w:pPr>
            <w:r>
              <w:t>Höchste Inzidenz in LK Dithmarschen 509/100.000 EW nach mehreren Weihnachtsfeiern. SK Bremen auch in den Top10.</w:t>
            </w:r>
          </w:p>
          <w:p>
            <w:pPr>
              <w:pStyle w:val="Liste2"/>
              <w:rPr>
                <w:lang w:val="de-DE"/>
              </w:rPr>
            </w:pPr>
            <w:r>
              <w:rPr>
                <w:lang w:val="de-DE"/>
              </w:rPr>
              <w:t>Inzidenz nach Altersgruppe und Meldewoche (Heatmap)</w:t>
            </w:r>
          </w:p>
          <w:p>
            <w:pPr>
              <w:pStyle w:val="Liste3"/>
              <w:numPr>
                <w:ilvl w:val="1"/>
                <w:numId w:val="7"/>
              </w:numPr>
            </w:pPr>
            <w:r>
              <w:t xml:space="preserve">In der Woche 51/52 sieht man Rückgänge bei den 0-4-Jährigen und Schulkindern. </w:t>
            </w:r>
          </w:p>
          <w:p>
            <w:pPr>
              <w:pStyle w:val="Liste3"/>
              <w:numPr>
                <w:ilvl w:val="1"/>
                <w:numId w:val="7"/>
              </w:numPr>
            </w:pPr>
            <w:r>
              <w:t xml:space="preserve">Deutlichster Anstieg bei 20-24-Jährigen, sehr großer Sprung im Vgl. zur Vorwoche. </w:t>
            </w:r>
          </w:p>
          <w:p>
            <w:pPr>
              <w:pStyle w:val="Liste3"/>
              <w:numPr>
                <w:ilvl w:val="1"/>
                <w:numId w:val="7"/>
              </w:numPr>
            </w:pPr>
            <w:r>
              <w:t>In SH gibt es mehrere LK bei denen die 7TI bei 20-29-Jährigen bei über 1000 liegt.</w:t>
            </w:r>
          </w:p>
          <w:p>
            <w:pPr>
              <w:pStyle w:val="Liste3"/>
              <w:numPr>
                <w:ilvl w:val="1"/>
                <w:numId w:val="7"/>
              </w:numPr>
            </w:pPr>
            <w:r>
              <w:t>Die anderen Altersgruppen sind stabil.</w:t>
            </w:r>
          </w:p>
          <w:p>
            <w:pPr>
              <w:pStyle w:val="Liste2"/>
              <w:rPr>
                <w:lang w:val="de-DE"/>
              </w:rPr>
            </w:pPr>
            <w:r>
              <w:rPr>
                <w:lang w:val="de-DE"/>
              </w:rPr>
              <w:t>Hospitalisierungsinzidenz</w:t>
            </w:r>
          </w:p>
          <w:p>
            <w:pPr>
              <w:pStyle w:val="Liste3"/>
            </w:pPr>
            <w:r>
              <w:t>Die Hospitalisierungsinzidenz adjustiert ging Ende Dezember etwas zurück, hat dann ein Plateau gebildet und steigt nun wieder an.</w:t>
            </w:r>
          </w:p>
          <w:p>
            <w:pPr>
              <w:pStyle w:val="Liste2"/>
              <w:rPr>
                <w:lang w:val="de-DE"/>
              </w:rPr>
            </w:pPr>
            <w:r>
              <w:rPr>
                <w:lang w:val="de-DE"/>
              </w:rPr>
              <w:t xml:space="preserve">COVID-19-Todesfälle nach Altersgruppe und Sterbewoche </w:t>
            </w:r>
          </w:p>
          <w:p>
            <w:pPr>
              <w:pStyle w:val="Liste3"/>
              <w:numPr>
                <w:ilvl w:val="1"/>
                <w:numId w:val="7"/>
              </w:numPr>
            </w:pPr>
            <w:r>
              <w:t>Höchste Anzahl Todesfälle in der Woche mit den höchsten 7TI, wahrscheinlich folgen Nachmeldungen über Jahreswechsel.</w:t>
            </w:r>
          </w:p>
          <w:p>
            <w:pPr>
              <w:pStyle w:val="Liste2"/>
              <w:numPr>
                <w:ilvl w:val="0"/>
                <w:numId w:val="0"/>
              </w:numPr>
              <w:rPr>
                <w:b/>
                <w:lang w:val="de-DE"/>
              </w:rPr>
            </w:pPr>
          </w:p>
          <w:p>
            <w:pPr>
              <w:pStyle w:val="Liste2"/>
              <w:numPr>
                <w:ilvl w:val="0"/>
                <w:numId w:val="0"/>
              </w:numPr>
              <w:rPr>
                <w:b/>
              </w:rPr>
            </w:pPr>
            <w:r>
              <w:rPr>
                <w:b/>
                <w:lang w:val="de-DE"/>
              </w:rPr>
              <w:t xml:space="preserve">Testzahlerfassung am RKI  </w:t>
            </w:r>
          </w:p>
          <w:p>
            <w:pPr>
              <w:pStyle w:val="Liste2"/>
            </w:pPr>
            <w:proofErr w:type="spellStart"/>
            <w:r>
              <w:t>Folien</w:t>
            </w:r>
            <w:proofErr w:type="spellEnd"/>
            <w:r>
              <w:t xml:space="preserve"> </w:t>
            </w:r>
            <w:hyperlink r:id="rId12" w:history="1">
              <w:proofErr w:type="spellStart"/>
              <w:r>
                <w:rPr>
                  <w:rStyle w:val="Hyperlink"/>
                </w:rPr>
                <w:t>hier</w:t>
              </w:r>
              <w:proofErr w:type="spellEnd"/>
            </w:hyperlink>
          </w:p>
          <w:p>
            <w:pPr>
              <w:pStyle w:val="Liste2"/>
              <w:rPr>
                <w:lang w:val="de-DE"/>
              </w:rPr>
            </w:pPr>
            <w:r>
              <w:rPr>
                <w:lang w:val="de-DE"/>
              </w:rPr>
              <w:t xml:space="preserve">947.946 Tests (Vorwoche 1,2 </w:t>
            </w:r>
            <w:proofErr w:type="spellStart"/>
            <w:r>
              <w:rPr>
                <w:lang w:val="de-DE"/>
              </w:rPr>
              <w:t>Mio</w:t>
            </w:r>
            <w:proofErr w:type="spellEnd"/>
            <w:r>
              <w:rPr>
                <w:lang w:val="de-DE"/>
              </w:rPr>
              <w:t xml:space="preserve">), wie erwartet in KW52 deutlich reduziert. </w:t>
            </w:r>
          </w:p>
          <w:p>
            <w:pPr>
              <w:pStyle w:val="Liste2"/>
              <w:rPr>
                <w:lang w:val="de-DE"/>
              </w:rPr>
            </w:pPr>
            <w:r>
              <w:rPr>
                <w:lang w:val="de-DE"/>
              </w:rPr>
              <w:t xml:space="preserve">Erwartungsgemäß auch Anstieg des </w:t>
            </w:r>
            <w:proofErr w:type="spellStart"/>
            <w:r>
              <w:rPr>
                <w:lang w:val="de-DE"/>
              </w:rPr>
              <w:t>Positivenanteils</w:t>
            </w:r>
            <w:proofErr w:type="spellEnd"/>
            <w:r>
              <w:rPr>
                <w:lang w:val="de-DE"/>
              </w:rPr>
              <w:t xml:space="preserve"> auf 21,6% (Vorwoche 16.4%)</w:t>
            </w:r>
          </w:p>
          <w:p>
            <w:pPr>
              <w:pStyle w:val="Liste2"/>
              <w:rPr>
                <w:lang w:val="de-DE"/>
              </w:rPr>
            </w:pPr>
            <w:r>
              <w:rPr>
                <w:lang w:val="de-DE"/>
              </w:rPr>
              <w:t xml:space="preserve">Laborauslastung: In allen BL außer Bremen rückläufig und unter 75%. </w:t>
            </w:r>
          </w:p>
          <w:p>
            <w:pPr>
              <w:pStyle w:val="Liste2"/>
              <w:rPr>
                <w:lang w:val="de-DE"/>
              </w:rPr>
            </w:pPr>
            <w:r>
              <w:rPr>
                <w:lang w:val="de-DE"/>
              </w:rPr>
              <w:t xml:space="preserve">SARS in ARS: </w:t>
            </w:r>
          </w:p>
          <w:p>
            <w:pPr>
              <w:pStyle w:val="Liste2"/>
              <w:numPr>
                <w:ilvl w:val="1"/>
                <w:numId w:val="7"/>
              </w:numPr>
              <w:rPr>
                <w:lang w:val="de-DE"/>
              </w:rPr>
            </w:pPr>
            <w:r>
              <w:rPr>
                <w:lang w:val="de-DE"/>
              </w:rPr>
              <w:lastRenderedPageBreak/>
              <w:t xml:space="preserve">In HH und SH ist die Anzahl der Testungen nicht rückläufig, NW und NI testen jedoch weniger. HH geht im </w:t>
            </w:r>
            <w:proofErr w:type="spellStart"/>
            <w:r>
              <w:rPr>
                <w:lang w:val="de-DE"/>
              </w:rPr>
              <w:t>Positivenanteil</w:t>
            </w:r>
            <w:proofErr w:type="spellEnd"/>
            <w:r>
              <w:rPr>
                <w:lang w:val="de-DE"/>
              </w:rPr>
              <w:t xml:space="preserve"> hoch, SI und NI auch, aber auch NW. </w:t>
            </w:r>
          </w:p>
          <w:p>
            <w:pPr>
              <w:pStyle w:val="Liste2"/>
              <w:rPr>
                <w:lang w:val="de-DE"/>
              </w:rPr>
            </w:pPr>
            <w:r>
              <w:rPr>
                <w:lang w:val="de-DE"/>
              </w:rPr>
              <w:t xml:space="preserve">Wer wird wo getestet: </w:t>
            </w:r>
          </w:p>
          <w:p>
            <w:pPr>
              <w:pStyle w:val="Liste2"/>
              <w:numPr>
                <w:ilvl w:val="1"/>
                <w:numId w:val="7"/>
              </w:numPr>
              <w:rPr>
                <w:lang w:val="de-DE"/>
              </w:rPr>
            </w:pPr>
            <w:r>
              <w:rPr>
                <w:lang w:val="de-DE"/>
              </w:rPr>
              <w:t xml:space="preserve">Rückgang bei Testung in Arztpraxen, aber Anstieg des </w:t>
            </w:r>
            <w:proofErr w:type="spellStart"/>
            <w:r>
              <w:rPr>
                <w:lang w:val="de-DE"/>
              </w:rPr>
              <w:t>Positivenanteils</w:t>
            </w:r>
            <w:proofErr w:type="spellEnd"/>
            <w:r>
              <w:rPr>
                <w:lang w:val="de-DE"/>
              </w:rPr>
              <w:t xml:space="preserve">. In KH bleibt die Anzahl der Testungen und der </w:t>
            </w:r>
            <w:proofErr w:type="spellStart"/>
            <w:r>
              <w:rPr>
                <w:lang w:val="de-DE"/>
              </w:rPr>
              <w:t>Positivenanteil</w:t>
            </w:r>
            <w:proofErr w:type="spellEnd"/>
            <w:r>
              <w:rPr>
                <w:lang w:val="de-DE"/>
              </w:rPr>
              <w:t xml:space="preserve"> konstant. </w:t>
            </w:r>
          </w:p>
          <w:p>
            <w:pPr>
              <w:pStyle w:val="Liste2"/>
              <w:numPr>
                <w:ilvl w:val="1"/>
                <w:numId w:val="7"/>
              </w:numPr>
              <w:rPr>
                <w:lang w:val="de-DE"/>
              </w:rPr>
            </w:pPr>
            <w:r>
              <w:rPr>
                <w:lang w:val="de-DE"/>
              </w:rPr>
              <w:t xml:space="preserve">Im Vergleich zum letzten Jahr: Anstieg des </w:t>
            </w:r>
            <w:proofErr w:type="spellStart"/>
            <w:r>
              <w:rPr>
                <w:lang w:val="de-DE"/>
              </w:rPr>
              <w:t>Positivenanteils</w:t>
            </w:r>
            <w:proofErr w:type="spellEnd"/>
            <w:r>
              <w:rPr>
                <w:lang w:val="de-DE"/>
              </w:rPr>
              <w:t xml:space="preserve"> in Arztpraxen nach Weihnachten wie im letzten Jahr, in KH letztes Jahr Anstieg des </w:t>
            </w:r>
            <w:proofErr w:type="spellStart"/>
            <w:r>
              <w:rPr>
                <w:lang w:val="de-DE"/>
              </w:rPr>
              <w:t>Positivenanteils</w:t>
            </w:r>
            <w:proofErr w:type="spellEnd"/>
            <w:r>
              <w:rPr>
                <w:lang w:val="de-DE"/>
              </w:rPr>
              <w:t xml:space="preserve"> (aufgrund von Ausbrüchen), </w:t>
            </w:r>
            <w:proofErr w:type="gramStart"/>
            <w:r>
              <w:rPr>
                <w:lang w:val="de-DE"/>
              </w:rPr>
              <w:t>diese Jahr</w:t>
            </w:r>
            <w:proofErr w:type="gramEnd"/>
            <w:r>
              <w:rPr>
                <w:lang w:val="de-DE"/>
              </w:rPr>
              <w:t xml:space="preserve"> konstant. </w:t>
            </w:r>
          </w:p>
          <w:p>
            <w:pPr>
              <w:pStyle w:val="Liste2"/>
              <w:numPr>
                <w:ilvl w:val="1"/>
                <w:numId w:val="7"/>
              </w:numPr>
              <w:rPr>
                <w:lang w:val="de-DE"/>
              </w:rPr>
            </w:pPr>
            <w:r>
              <w:rPr>
                <w:lang w:val="de-DE"/>
              </w:rPr>
              <w:t xml:space="preserve">In NW geht der </w:t>
            </w:r>
            <w:proofErr w:type="spellStart"/>
            <w:r>
              <w:rPr>
                <w:lang w:val="de-DE"/>
              </w:rPr>
              <w:t>Positivenanteil</w:t>
            </w:r>
            <w:proofErr w:type="spellEnd"/>
            <w:r>
              <w:rPr>
                <w:lang w:val="de-DE"/>
              </w:rPr>
              <w:t xml:space="preserve"> der Schulkinder in den Ferien sehr hoch (zuvor niedrig durch Lolli-Testung)</w:t>
            </w:r>
          </w:p>
          <w:p>
            <w:pPr>
              <w:pStyle w:val="Liste2"/>
              <w:rPr>
                <w:lang w:val="de-DE"/>
              </w:rPr>
            </w:pPr>
            <w:r>
              <w:rPr>
                <w:lang w:val="de-DE"/>
              </w:rPr>
              <w:t xml:space="preserve">Anzahl der Testungen nach Altersgruppe: </w:t>
            </w:r>
          </w:p>
          <w:p>
            <w:pPr>
              <w:pStyle w:val="Liste2"/>
              <w:numPr>
                <w:ilvl w:val="1"/>
                <w:numId w:val="7"/>
              </w:numPr>
              <w:rPr>
                <w:lang w:val="de-DE"/>
              </w:rPr>
            </w:pPr>
            <w:r>
              <w:rPr>
                <w:lang w:val="de-DE"/>
              </w:rPr>
              <w:t>Bei 5-14-jährigen Kindern starker Abfall, sonst Testung nicht stark reduziert.</w:t>
            </w:r>
          </w:p>
          <w:p>
            <w:pPr>
              <w:pStyle w:val="Liste2"/>
              <w:numPr>
                <w:ilvl w:val="1"/>
                <w:numId w:val="7"/>
              </w:numPr>
              <w:rPr>
                <w:lang w:val="de-DE"/>
              </w:rPr>
            </w:pPr>
            <w:r>
              <w:rPr>
                <w:lang w:val="de-DE"/>
              </w:rPr>
              <w:t xml:space="preserve">Anstieg des </w:t>
            </w:r>
            <w:proofErr w:type="spellStart"/>
            <w:r>
              <w:rPr>
                <w:lang w:val="de-DE"/>
              </w:rPr>
              <w:t>Positivenanteils</w:t>
            </w:r>
            <w:proofErr w:type="spellEnd"/>
            <w:r>
              <w:rPr>
                <w:lang w:val="de-DE"/>
              </w:rPr>
              <w:t xml:space="preserve"> bei Kindern und auch bei 15-34-Jährigen. </w:t>
            </w:r>
          </w:p>
          <w:p>
            <w:pPr>
              <w:pStyle w:val="Liste2"/>
              <w:numPr>
                <w:ilvl w:val="1"/>
                <w:numId w:val="7"/>
              </w:numPr>
              <w:rPr>
                <w:lang w:val="de-DE"/>
              </w:rPr>
            </w:pPr>
            <w:r>
              <w:rPr>
                <w:lang w:val="de-DE"/>
              </w:rPr>
              <w:t xml:space="preserve">Bei der Anzahl pos. Testungen/100.000 </w:t>
            </w:r>
            <w:proofErr w:type="spellStart"/>
            <w:r>
              <w:rPr>
                <w:lang w:val="de-DE"/>
              </w:rPr>
              <w:t>Ew</w:t>
            </w:r>
            <w:proofErr w:type="spellEnd"/>
            <w:r>
              <w:rPr>
                <w:lang w:val="de-DE"/>
              </w:rPr>
              <w:t xml:space="preserve"> steigen nur die 15-34-Jährigen an.</w:t>
            </w:r>
          </w:p>
          <w:p>
            <w:pPr>
              <w:pStyle w:val="Liste2"/>
              <w:rPr>
                <w:lang w:val="de-DE"/>
              </w:rPr>
            </w:pPr>
            <w:r>
              <w:rPr>
                <w:lang w:val="de-DE"/>
              </w:rPr>
              <w:t>VOC (SARS in ARS)</w:t>
            </w:r>
          </w:p>
          <w:p>
            <w:pPr>
              <w:pStyle w:val="Liste2"/>
              <w:numPr>
                <w:ilvl w:val="1"/>
                <w:numId w:val="7"/>
              </w:numPr>
              <w:rPr>
                <w:lang w:val="de-DE"/>
              </w:rPr>
            </w:pPr>
            <w:r>
              <w:rPr>
                <w:lang w:val="de-DE"/>
              </w:rPr>
              <w:t>Verdacht auf Omikron in KW 52: 35%, Vorwoche zunächst 12,5%, nun mit Nachmeldungen 20%, d.h. mit Nachmeldungen für KW52 ca. 50% Omikron-Anteil zu erwarten.</w:t>
            </w:r>
          </w:p>
          <w:p>
            <w:pPr>
              <w:pStyle w:val="Liste2"/>
              <w:numPr>
                <w:ilvl w:val="1"/>
                <w:numId w:val="7"/>
              </w:numPr>
              <w:rPr>
                <w:lang w:val="de-DE"/>
              </w:rPr>
            </w:pPr>
            <w:r>
              <w:rPr>
                <w:lang w:val="de-DE"/>
              </w:rPr>
              <w:t>Anteil Omikron an allen Nachweisen:  in NI 75%, SH bei fast 100%, NW noch 25%</w:t>
            </w:r>
          </w:p>
          <w:p>
            <w:pPr>
              <w:pStyle w:val="Liste2"/>
            </w:pPr>
            <w:r>
              <w:t>COSIK</w:t>
            </w:r>
          </w:p>
          <w:p>
            <w:pPr>
              <w:pStyle w:val="Liste2"/>
              <w:numPr>
                <w:ilvl w:val="1"/>
                <w:numId w:val="7"/>
              </w:numPr>
            </w:pPr>
            <w:r>
              <w:rPr>
                <w:lang w:val="de-DE"/>
              </w:rPr>
              <w:t xml:space="preserve">Hat am 01.01.2021 begonnen, KH-Belastung, nosokomiale Infektionen und Infektionen unter </w:t>
            </w:r>
            <w:proofErr w:type="spellStart"/>
            <w:r>
              <w:rPr>
                <w:lang w:val="de-DE"/>
              </w:rPr>
              <w:t>mediz</w:t>
            </w:r>
            <w:proofErr w:type="spellEnd"/>
            <w:r>
              <w:rPr>
                <w:lang w:val="de-DE"/>
              </w:rPr>
              <w:t>. Personal, 37 KH haben teilgenommen</w:t>
            </w:r>
          </w:p>
          <w:p>
            <w:pPr>
              <w:pStyle w:val="Liste2"/>
              <w:numPr>
                <w:ilvl w:val="1"/>
                <w:numId w:val="7"/>
              </w:numPr>
              <w:rPr>
                <w:lang w:val="de-DE"/>
              </w:rPr>
            </w:pPr>
            <w:r>
              <w:rPr>
                <w:lang w:val="de-DE"/>
              </w:rPr>
              <w:t>Bis zu 8% Patiententage durch COVID-19-Fälle, auf ITS bis zu 33% der Patiententage (in 3. Welle).</w:t>
            </w:r>
          </w:p>
          <w:p>
            <w:pPr>
              <w:pStyle w:val="Liste2"/>
              <w:numPr>
                <w:ilvl w:val="1"/>
                <w:numId w:val="7"/>
              </w:numPr>
              <w:rPr>
                <w:lang w:val="de-DE"/>
              </w:rPr>
            </w:pPr>
            <w:r>
              <w:rPr>
                <w:lang w:val="de-DE"/>
              </w:rPr>
              <w:t xml:space="preserve">1,6 bis 7,8 nosokomiale Infektionen pro 1000 </w:t>
            </w:r>
            <w:proofErr w:type="spellStart"/>
            <w:r>
              <w:rPr>
                <w:lang w:val="de-DE"/>
              </w:rPr>
              <w:t>Falltage</w:t>
            </w:r>
            <w:proofErr w:type="spellEnd"/>
            <w:r>
              <w:rPr>
                <w:lang w:val="de-DE"/>
              </w:rPr>
              <w:t xml:space="preserve"> </w:t>
            </w:r>
            <w:r>
              <w:rPr>
                <w:lang w:val="de-DE"/>
              </w:rPr>
              <w:br/>
              <w:t>(4-Wochen-Zeitraum)</w:t>
            </w:r>
          </w:p>
          <w:p>
            <w:pPr>
              <w:pStyle w:val="Liste2"/>
              <w:numPr>
                <w:ilvl w:val="1"/>
                <w:numId w:val="7"/>
              </w:numPr>
              <w:rPr>
                <w:lang w:val="de-DE"/>
              </w:rPr>
            </w:pPr>
            <w:r>
              <w:rPr>
                <w:lang w:val="de-DE"/>
              </w:rPr>
              <w:t>10% der HCW haben sich im KH infiziert (in Ausbrüchen liegt dieser Wert jedoch höher)</w:t>
            </w:r>
          </w:p>
          <w:p>
            <w:pPr>
              <w:pStyle w:val="Liste2"/>
              <w:numPr>
                <w:ilvl w:val="0"/>
                <w:numId w:val="0"/>
              </w:numPr>
              <w:ind w:left="833"/>
              <w:rPr>
                <w:lang w:val="de-DE"/>
              </w:rPr>
            </w:pPr>
          </w:p>
          <w:p>
            <w:pPr>
              <w:pStyle w:val="3"/>
              <w:numPr>
                <w:ilvl w:val="0"/>
                <w:numId w:val="0"/>
              </w:numPr>
            </w:pPr>
            <w:proofErr w:type="spellStart"/>
            <w:r>
              <w:t>Syndromische</w:t>
            </w:r>
            <w:proofErr w:type="spellEnd"/>
            <w:r>
              <w:t xml:space="preserve"> Surveillance</w:t>
            </w:r>
          </w:p>
          <w:p>
            <w:pPr>
              <w:pStyle w:val="Liste2"/>
            </w:pPr>
            <w:proofErr w:type="spellStart"/>
            <w:r>
              <w:t>Folien</w:t>
            </w:r>
            <w:proofErr w:type="spellEnd"/>
            <w:r>
              <w:t xml:space="preserve"> </w:t>
            </w:r>
            <w:hyperlink r:id="rId13" w:history="1">
              <w:proofErr w:type="spellStart"/>
              <w:r>
                <w:rPr>
                  <w:rStyle w:val="Hyperlink"/>
                </w:rPr>
                <w:t>hier</w:t>
              </w:r>
              <w:proofErr w:type="spellEnd"/>
            </w:hyperlink>
          </w:p>
          <w:p>
            <w:pPr>
              <w:pStyle w:val="Liste2"/>
              <w:rPr>
                <w:lang w:val="de-DE"/>
              </w:rPr>
            </w:pPr>
            <w:r>
              <w:rPr>
                <w:lang w:val="de-DE"/>
              </w:rPr>
              <w:t xml:space="preserve">Grippe Web: </w:t>
            </w:r>
          </w:p>
          <w:p>
            <w:pPr>
              <w:pStyle w:val="Liste2"/>
              <w:numPr>
                <w:ilvl w:val="1"/>
                <w:numId w:val="7"/>
              </w:numPr>
              <w:rPr>
                <w:lang w:val="de-DE"/>
              </w:rPr>
            </w:pPr>
            <w:r>
              <w:rPr>
                <w:lang w:val="de-DE"/>
              </w:rPr>
              <w:t xml:space="preserve">Akute Atemwegserkrankungen in Bevölkerung von KW51 zu KW52 zurückgegangen. Rückgang sowohl bei Kindern wie auch bei </w:t>
            </w:r>
            <w:proofErr w:type="spellStart"/>
            <w:r>
              <w:rPr>
                <w:lang w:val="de-DE"/>
              </w:rPr>
              <w:t>Erw</w:t>
            </w:r>
            <w:proofErr w:type="spellEnd"/>
            <w:r>
              <w:rPr>
                <w:lang w:val="de-DE"/>
              </w:rPr>
              <w:t xml:space="preserve">. Bei </w:t>
            </w:r>
            <w:proofErr w:type="spellStart"/>
            <w:r>
              <w:rPr>
                <w:lang w:val="de-DE"/>
              </w:rPr>
              <w:t>Erw</w:t>
            </w:r>
            <w:proofErr w:type="spellEnd"/>
            <w:r>
              <w:rPr>
                <w:lang w:val="de-DE"/>
              </w:rPr>
              <w:t>. auf Niveau des Vorjahres, bei Kindern etwas höher</w:t>
            </w:r>
          </w:p>
          <w:p>
            <w:pPr>
              <w:pStyle w:val="Liste2"/>
            </w:pPr>
            <w:proofErr w:type="spellStart"/>
            <w:r>
              <w:t>Arbeitsgemeinschaft</w:t>
            </w:r>
            <w:proofErr w:type="spellEnd"/>
            <w:r>
              <w:t xml:space="preserve"> Influenza</w:t>
            </w:r>
          </w:p>
          <w:p>
            <w:pPr>
              <w:pStyle w:val="Liste2"/>
              <w:numPr>
                <w:ilvl w:val="1"/>
                <w:numId w:val="7"/>
              </w:numPr>
              <w:rPr>
                <w:lang w:val="de-DE"/>
              </w:rPr>
            </w:pPr>
            <w:r>
              <w:rPr>
                <w:lang w:val="de-DE"/>
              </w:rPr>
              <w:t xml:space="preserve">ARE-Konsultationen: Anzahl der Arztbesuche ist wie in den letzten Jahren zum Jahresende zurückgegangen. </w:t>
            </w:r>
          </w:p>
          <w:p>
            <w:pPr>
              <w:pStyle w:val="Liste2"/>
              <w:numPr>
                <w:ilvl w:val="1"/>
                <w:numId w:val="7"/>
              </w:numPr>
              <w:rPr>
                <w:lang w:val="de-DE"/>
              </w:rPr>
            </w:pPr>
            <w:r>
              <w:rPr>
                <w:lang w:val="de-DE"/>
              </w:rPr>
              <w:lastRenderedPageBreak/>
              <w:t>SEED</w:t>
            </w:r>
            <w:r>
              <w:rPr>
                <w:vertAlign w:val="superscript"/>
                <w:lang w:val="de-DE"/>
              </w:rPr>
              <w:t>ARE</w:t>
            </w:r>
            <w:r>
              <w:rPr>
                <w:lang w:val="de-DE"/>
              </w:rPr>
              <w:t xml:space="preserve">: Es sind zwar weniger Menschen in KW52 zum Arzt gegangen, aber Anteil der COVID-19-Diagnosen ist bei diesen Besuchen gestiegen, lag bei rund 12%. </w:t>
            </w:r>
            <w:r>
              <w:rPr>
                <w:lang w:val="de-DE"/>
              </w:rPr>
              <w:br/>
              <w:t>Bei kleinen Kindern viele Konsultationen aufgrund von ARE, Anteil der COVID-19-Diagnosen jedoch gering. Bei 15-34-Jährigen ist der Anteil deutlich angestiegen. In Älteren ist der Anteil der COVID-19-Diagnosen rückläufig.</w:t>
            </w:r>
          </w:p>
          <w:p>
            <w:pPr>
              <w:pStyle w:val="Liste2"/>
            </w:pPr>
            <w:r>
              <w:t>ICOSARI:</w:t>
            </w:r>
          </w:p>
          <w:p>
            <w:pPr>
              <w:pStyle w:val="Liste2"/>
              <w:numPr>
                <w:ilvl w:val="1"/>
                <w:numId w:val="7"/>
              </w:numPr>
              <w:rPr>
                <w:lang w:val="de-DE"/>
              </w:rPr>
            </w:pPr>
            <w:r>
              <w:rPr>
                <w:lang w:val="de-DE"/>
              </w:rPr>
              <w:t xml:space="preserve">0-4-Jährige: RSV-bedingte Erhöhung geht kontinuierlich zurück. </w:t>
            </w:r>
          </w:p>
          <w:p>
            <w:pPr>
              <w:pStyle w:val="Liste2"/>
              <w:numPr>
                <w:ilvl w:val="1"/>
                <w:numId w:val="7"/>
              </w:numPr>
              <w:rPr>
                <w:lang w:val="de-DE"/>
              </w:rPr>
            </w:pPr>
            <w:r>
              <w:rPr>
                <w:lang w:val="de-DE"/>
              </w:rPr>
              <w:t>4-14- und 14-34-Jährige: Zahl der SARI-Fälle wie in den Vorjahren.</w:t>
            </w:r>
          </w:p>
          <w:p>
            <w:pPr>
              <w:pStyle w:val="Liste2"/>
              <w:numPr>
                <w:ilvl w:val="1"/>
                <w:numId w:val="7"/>
              </w:numPr>
              <w:rPr>
                <w:lang w:val="de-DE"/>
              </w:rPr>
            </w:pPr>
            <w:r>
              <w:rPr>
                <w:lang w:val="de-DE"/>
              </w:rPr>
              <w:t xml:space="preserve">Bei Älteren </w:t>
            </w:r>
            <w:proofErr w:type="gramStart"/>
            <w:r>
              <w:rPr>
                <w:lang w:val="de-DE"/>
              </w:rPr>
              <w:t>geht</w:t>
            </w:r>
            <w:proofErr w:type="gramEnd"/>
            <w:r>
              <w:rPr>
                <w:lang w:val="de-DE"/>
              </w:rPr>
              <w:t xml:space="preserve"> die Anzahl und der Anteil der COVID-19-Diagnosen zurück. Anzahl der SARI-Fälle bei &gt;60-Jährigen auf dem Niveau der Vorjahre.</w:t>
            </w:r>
          </w:p>
          <w:p>
            <w:pPr>
              <w:pStyle w:val="Liste2"/>
              <w:numPr>
                <w:ilvl w:val="1"/>
                <w:numId w:val="7"/>
              </w:numPr>
              <w:rPr>
                <w:lang w:val="de-DE"/>
              </w:rPr>
            </w:pPr>
            <w:r>
              <w:rPr>
                <w:lang w:val="de-DE"/>
              </w:rPr>
              <w:t>Vergleich Herbst 2020/2021: Im letzten Jahr sind die COVID-SARI-Fälle weiter angestiegen, insbes. bei &gt;60-Jährigen, dieses Jahr fallen sie seit 49 KW ab. Auch die COVID-SARI-Fälle mit Intensivbehandlung und die Verstorbenen gehen seit KW48 zurück.</w:t>
            </w:r>
          </w:p>
          <w:p>
            <w:pPr>
              <w:pStyle w:val="Liste2"/>
            </w:pPr>
            <w:r>
              <w:t>Kita-/</w:t>
            </w:r>
            <w:proofErr w:type="spellStart"/>
            <w:r>
              <w:t>Schulausbrüche</w:t>
            </w:r>
            <w:proofErr w:type="spellEnd"/>
          </w:p>
          <w:p>
            <w:pPr>
              <w:pStyle w:val="Liste2"/>
              <w:numPr>
                <w:ilvl w:val="1"/>
                <w:numId w:val="7"/>
              </w:numPr>
              <w:rPr>
                <w:lang w:val="de-DE"/>
              </w:rPr>
            </w:pPr>
            <w:r>
              <w:rPr>
                <w:lang w:val="de-DE"/>
              </w:rPr>
              <w:t>Aufgrund der Ferien hat die Anzahl der Ausbrüche stark abgenommen. Feriendichte ist bei 100%</w:t>
            </w:r>
          </w:p>
          <w:p>
            <w:pPr>
              <w:pStyle w:val="Liste2"/>
              <w:numPr>
                <w:ilvl w:val="1"/>
                <w:numId w:val="7"/>
              </w:numPr>
              <w:rPr>
                <w:lang w:val="de-DE"/>
              </w:rPr>
            </w:pPr>
            <w:r>
              <w:rPr>
                <w:lang w:val="de-DE"/>
              </w:rPr>
              <w:t>Anteil der Kinder nimmt zu und Anteil der Erzieher nimmt ab, möglicherweise aufgrund der zunehmenden Auffrischimpfung.</w:t>
            </w:r>
          </w:p>
          <w:p>
            <w:pPr>
              <w:pStyle w:val="Liste2"/>
              <w:numPr>
                <w:ilvl w:val="1"/>
                <w:numId w:val="7"/>
              </w:numPr>
              <w:rPr>
                <w:lang w:val="de-DE"/>
              </w:rPr>
            </w:pPr>
            <w:r>
              <w:rPr>
                <w:lang w:val="de-DE"/>
              </w:rPr>
              <w:t xml:space="preserve">In Schulen v.a. jüngere Altersgruppen (AG6-10) betroffen, wahrscheinlich </w:t>
            </w:r>
            <w:proofErr w:type="spellStart"/>
            <w:r>
              <w:rPr>
                <w:lang w:val="de-DE"/>
              </w:rPr>
              <w:t>wg</w:t>
            </w:r>
            <w:proofErr w:type="spellEnd"/>
            <w:r>
              <w:rPr>
                <w:lang w:val="de-DE"/>
              </w:rPr>
              <w:t xml:space="preserve"> nicht vorhandener Impfung.</w:t>
            </w:r>
          </w:p>
          <w:p>
            <w:pPr>
              <w:pStyle w:val="Liste2"/>
              <w:numPr>
                <w:ilvl w:val="0"/>
                <w:numId w:val="0"/>
              </w:numPr>
              <w:rPr>
                <w:lang w:val="de-DE"/>
              </w:rPr>
            </w:pPr>
          </w:p>
          <w:p>
            <w:pPr>
              <w:pStyle w:val="3"/>
              <w:numPr>
                <w:ilvl w:val="0"/>
                <w:numId w:val="0"/>
              </w:numPr>
              <w:rPr>
                <w:rStyle w:val="TagMiZchn"/>
              </w:rPr>
            </w:pPr>
            <w:r>
              <w:t xml:space="preserve">Virologische Surveillance, NRZ Influenza-Daten </w:t>
            </w:r>
          </w:p>
          <w:p>
            <w:pPr>
              <w:pStyle w:val="Liste2"/>
            </w:pPr>
            <w:proofErr w:type="spellStart"/>
            <w:r>
              <w:t>Folien</w:t>
            </w:r>
            <w:proofErr w:type="spellEnd"/>
            <w:r>
              <w:t xml:space="preserve"> </w:t>
            </w:r>
            <w:hyperlink r:id="rId14" w:history="1">
              <w:proofErr w:type="spellStart"/>
              <w:r>
                <w:rPr>
                  <w:rStyle w:val="Hyperlink"/>
                </w:rPr>
                <w:t>hier</w:t>
              </w:r>
              <w:proofErr w:type="spellEnd"/>
            </w:hyperlink>
            <w:r>
              <w:t xml:space="preserve"> </w:t>
            </w:r>
          </w:p>
          <w:p>
            <w:pPr>
              <w:pStyle w:val="Liste2"/>
              <w:rPr>
                <w:lang w:val="de-DE"/>
              </w:rPr>
            </w:pPr>
            <w:r>
              <w:rPr>
                <w:lang w:val="de-DE"/>
              </w:rPr>
              <w:t xml:space="preserve">KW 51: 65 Einsendungen, </w:t>
            </w:r>
            <w:proofErr w:type="spellStart"/>
            <w:r>
              <w:rPr>
                <w:lang w:val="de-DE"/>
              </w:rPr>
              <w:t>Positivenanteil</w:t>
            </w:r>
            <w:proofErr w:type="spellEnd"/>
            <w:r>
              <w:rPr>
                <w:lang w:val="de-DE"/>
              </w:rPr>
              <w:t xml:space="preserve"> 45%</w:t>
            </w:r>
          </w:p>
          <w:p>
            <w:pPr>
              <w:pStyle w:val="Liste2"/>
              <w:rPr>
                <w:lang w:val="de-DE"/>
              </w:rPr>
            </w:pPr>
            <w:r>
              <w:rPr>
                <w:lang w:val="de-DE"/>
              </w:rPr>
              <w:t xml:space="preserve">SARS-CoV-2-Anteil auf 10,9% gestiegen, stärkstes Virus im Sentinel, am häufigsten bei &gt;60 </w:t>
            </w:r>
          </w:p>
          <w:p>
            <w:pPr>
              <w:pStyle w:val="Liste2"/>
              <w:rPr>
                <w:lang w:val="de-DE"/>
              </w:rPr>
            </w:pPr>
            <w:r>
              <w:rPr>
                <w:lang w:val="de-DE"/>
              </w:rPr>
              <w:t>Anteil der Geimpften nimmt zu, ab dem 3. Monat nach Impfung kaum Unterschiede im Ct-Wert</w:t>
            </w:r>
          </w:p>
          <w:p>
            <w:pPr>
              <w:pStyle w:val="Liste2"/>
              <w:rPr>
                <w:lang w:val="de-DE"/>
              </w:rPr>
            </w:pPr>
            <w:r>
              <w:rPr>
                <w:lang w:val="de-DE"/>
              </w:rPr>
              <w:t>2 Omikron-Nachweise</w:t>
            </w:r>
          </w:p>
          <w:p>
            <w:pPr>
              <w:pStyle w:val="Liste2"/>
              <w:rPr>
                <w:lang w:val="de-DE"/>
              </w:rPr>
            </w:pPr>
            <w:r>
              <w:rPr>
                <w:lang w:val="de-DE"/>
              </w:rPr>
              <w:t>Anstieg bei Influenza zu verzeichnen. Aus Labor Berlin 5 Nachweise (H3N2), davon eine Doppelinfektion (H3N2/SARS-CoV-2)</w:t>
            </w:r>
          </w:p>
          <w:p>
            <w:pPr>
              <w:pStyle w:val="Liste2"/>
              <w:rPr>
                <w:b/>
                <w:lang w:val="de-DE"/>
              </w:rPr>
            </w:pPr>
            <w:r>
              <w:rPr>
                <w:lang w:val="de-DE"/>
              </w:rPr>
              <w:t xml:space="preserve">Endemische Coronaviren: Anteil OC43 rückläufig, 229E stabil. </w:t>
            </w:r>
          </w:p>
          <w:p>
            <w:pPr>
              <w:pStyle w:val="Liste2"/>
              <w:rPr>
                <w:lang w:val="de-DE"/>
              </w:rPr>
            </w:pPr>
            <w:r>
              <w:rPr>
                <w:lang w:val="de-DE"/>
              </w:rPr>
              <w:t xml:space="preserve">Sonstige Atemwegsviren: </w:t>
            </w:r>
            <w:proofErr w:type="spellStart"/>
            <w:r>
              <w:rPr>
                <w:lang w:val="de-DE"/>
              </w:rPr>
              <w:t>Rhinoviren</w:t>
            </w:r>
            <w:proofErr w:type="spellEnd"/>
            <w:r>
              <w:rPr>
                <w:lang w:val="de-DE"/>
              </w:rPr>
              <w:t xml:space="preserve"> stabil, RSV-Welle beendet, Parainfluenza niedriges Niveau, meist Parainfluenza-4.</w:t>
            </w:r>
          </w:p>
          <w:p>
            <w:pPr>
              <w:pStyle w:val="3"/>
              <w:numPr>
                <w:ilvl w:val="0"/>
                <w:numId w:val="0"/>
              </w:numPr>
              <w:rPr>
                <w:highlight w:val="cyan"/>
              </w:rPr>
            </w:pPr>
          </w:p>
          <w:p>
            <w:pPr>
              <w:pStyle w:val="3"/>
              <w:numPr>
                <w:ilvl w:val="0"/>
                <w:numId w:val="0"/>
              </w:numPr>
            </w:pPr>
            <w:r>
              <w:t>VOC-Bericht/ Molekulare Surveillance</w:t>
            </w:r>
          </w:p>
          <w:p>
            <w:pPr>
              <w:pStyle w:val="Liste2"/>
            </w:pPr>
            <w:proofErr w:type="spellStart"/>
            <w:r>
              <w:t>Folien</w:t>
            </w:r>
            <w:proofErr w:type="spellEnd"/>
            <w:r>
              <w:t xml:space="preserve"> </w:t>
            </w:r>
            <w:hyperlink r:id="rId15" w:history="1">
              <w:proofErr w:type="spellStart"/>
              <w:r>
                <w:rPr>
                  <w:rStyle w:val="Hyperlink"/>
                </w:rPr>
                <w:t>hier</w:t>
              </w:r>
              <w:proofErr w:type="spellEnd"/>
            </w:hyperlink>
          </w:p>
          <w:p>
            <w:pPr>
              <w:pStyle w:val="Liste2"/>
              <w:rPr>
                <w:lang w:val="de-DE"/>
              </w:rPr>
            </w:pPr>
            <w:r>
              <w:rPr>
                <w:lang w:val="de-DE"/>
              </w:rPr>
              <w:t>Übersicht VOC/VOI in Erhebungssystemen:</w:t>
            </w:r>
          </w:p>
          <w:p>
            <w:pPr>
              <w:pStyle w:val="Liste2"/>
              <w:numPr>
                <w:ilvl w:val="1"/>
                <w:numId w:val="7"/>
              </w:numPr>
              <w:rPr>
                <w:lang w:val="de-DE"/>
              </w:rPr>
            </w:pPr>
            <w:r>
              <w:rPr>
                <w:lang w:val="de-DE"/>
              </w:rPr>
              <w:lastRenderedPageBreak/>
              <w:t>Omikron in KW51 in Genomsequenzierung: 20%, übereinstimmend mit IfSG-Daten, aber Cave: geringere FZ</w:t>
            </w:r>
          </w:p>
          <w:p>
            <w:pPr>
              <w:pStyle w:val="Liste2"/>
              <w:numPr>
                <w:ilvl w:val="1"/>
                <w:numId w:val="7"/>
              </w:numPr>
              <w:rPr>
                <w:lang w:val="de-DE"/>
              </w:rPr>
            </w:pPr>
            <w:r>
              <w:rPr>
                <w:lang w:val="de-DE"/>
              </w:rPr>
              <w:t xml:space="preserve">Omikron in KW52 in IfSG-Daten: 44,3% </w:t>
            </w:r>
          </w:p>
          <w:p>
            <w:pPr>
              <w:pStyle w:val="Liste2"/>
              <w:rPr>
                <w:lang w:val="de-DE"/>
              </w:rPr>
            </w:pPr>
            <w:r>
              <w:rPr>
                <w:lang w:val="de-DE"/>
              </w:rPr>
              <w:t>Übermittelte Omikron-Fälle:</w:t>
            </w:r>
          </w:p>
          <w:p>
            <w:pPr>
              <w:pStyle w:val="Liste2"/>
              <w:numPr>
                <w:ilvl w:val="1"/>
                <w:numId w:val="7"/>
              </w:numPr>
              <w:rPr>
                <w:lang w:val="de-DE"/>
              </w:rPr>
            </w:pPr>
            <w:r>
              <w:rPr>
                <w:lang w:val="de-DE"/>
              </w:rPr>
              <w:t>Anzahl übermittelter Omikron-Fälle: 35.529 (Stand 04.01.22), stetiger Anstieg der FZ</w:t>
            </w:r>
          </w:p>
          <w:p>
            <w:pPr>
              <w:pStyle w:val="Liste2"/>
              <w:numPr>
                <w:ilvl w:val="1"/>
                <w:numId w:val="7"/>
              </w:numPr>
              <w:rPr>
                <w:lang w:val="de-DE"/>
              </w:rPr>
            </w:pPr>
            <w:r>
              <w:rPr>
                <w:lang w:val="de-DE"/>
              </w:rPr>
              <w:t xml:space="preserve">Abb. Omikron-Fälle wurde verändert zu Fällen pro 100.000 </w:t>
            </w:r>
            <w:proofErr w:type="spellStart"/>
            <w:r>
              <w:rPr>
                <w:lang w:val="de-DE"/>
              </w:rPr>
              <w:t>Ew</w:t>
            </w:r>
            <w:proofErr w:type="spellEnd"/>
            <w:r>
              <w:rPr>
                <w:lang w:val="de-DE"/>
              </w:rPr>
              <w:t xml:space="preserve">. wird so auch in den Wochenbericht übernommen. </w:t>
            </w:r>
          </w:p>
          <w:p>
            <w:pPr>
              <w:pStyle w:val="Liste2"/>
              <w:rPr>
                <w:lang w:val="de-DE"/>
              </w:rPr>
            </w:pPr>
            <w:r>
              <w:rPr>
                <w:lang w:val="de-DE"/>
              </w:rPr>
              <w:t xml:space="preserve">Beschreibung der übermittelten Fälle: </w:t>
            </w:r>
          </w:p>
          <w:p>
            <w:pPr>
              <w:pStyle w:val="Liste2"/>
              <w:numPr>
                <w:ilvl w:val="1"/>
                <w:numId w:val="7"/>
              </w:numPr>
              <w:rPr>
                <w:lang w:val="de-DE"/>
              </w:rPr>
            </w:pPr>
            <w:r>
              <w:rPr>
                <w:lang w:val="de-DE"/>
              </w:rPr>
              <w:t>v.a. 15-34- und 35-59-Jährige, Anteil der Hospitalisierten und Gestorbenen steigt</w:t>
            </w:r>
          </w:p>
          <w:p>
            <w:pPr>
              <w:pStyle w:val="Liste2"/>
              <w:rPr>
                <w:lang w:val="de-DE"/>
              </w:rPr>
            </w:pPr>
            <w:r>
              <w:rPr>
                <w:lang w:val="de-DE"/>
              </w:rPr>
              <w:t xml:space="preserve">Impfung: </w:t>
            </w:r>
          </w:p>
          <w:p>
            <w:pPr>
              <w:pStyle w:val="Liste2"/>
              <w:numPr>
                <w:ilvl w:val="1"/>
                <w:numId w:val="7"/>
              </w:numPr>
              <w:rPr>
                <w:lang w:val="de-DE"/>
              </w:rPr>
            </w:pPr>
            <w:r>
              <w:rPr>
                <w:lang w:val="de-DE"/>
              </w:rPr>
              <w:t>Für 52% der Omikron-Fälle lagen Informationen im Meldesystem vor: 21,7% nicht geimpft, 9,5 unvollständig geimpft. Mehrzahl (45,6%) vollständig geimpft.</w:t>
            </w:r>
          </w:p>
          <w:p>
            <w:pPr>
              <w:pStyle w:val="Liste2"/>
              <w:rPr>
                <w:lang w:val="de-DE"/>
              </w:rPr>
            </w:pPr>
            <w:r>
              <w:rPr>
                <w:lang w:val="de-DE"/>
              </w:rPr>
              <w:t xml:space="preserve">Modell: Anstieg </w:t>
            </w:r>
            <w:proofErr w:type="gramStart"/>
            <w:r>
              <w:rPr>
                <w:lang w:val="de-DE"/>
              </w:rPr>
              <w:t>des Anteil</w:t>
            </w:r>
            <w:proofErr w:type="gramEnd"/>
            <w:r>
              <w:rPr>
                <w:lang w:val="de-DE"/>
              </w:rPr>
              <w:t xml:space="preserve"> in der Stichprobe: </w:t>
            </w:r>
          </w:p>
          <w:p>
            <w:pPr>
              <w:pStyle w:val="Liste2"/>
              <w:numPr>
                <w:ilvl w:val="1"/>
                <w:numId w:val="7"/>
              </w:numPr>
              <w:rPr>
                <w:lang w:val="de-DE"/>
              </w:rPr>
            </w:pPr>
            <w:r>
              <w:rPr>
                <w:lang w:val="de-DE"/>
              </w:rPr>
              <w:t>Daten bis 28.12. berücksichtigt, Trend verändert sich, Beginn der Welle</w:t>
            </w:r>
          </w:p>
          <w:p>
            <w:pPr>
              <w:pStyle w:val="Liste2"/>
              <w:rPr>
                <w:lang w:val="de-DE"/>
              </w:rPr>
            </w:pPr>
            <w:proofErr w:type="spellStart"/>
            <w:r>
              <w:rPr>
                <w:lang w:val="de-DE"/>
              </w:rPr>
              <w:t>PCR+Seq</w:t>
            </w:r>
            <w:proofErr w:type="spellEnd"/>
            <w:r>
              <w:rPr>
                <w:lang w:val="de-DE"/>
              </w:rPr>
              <w:t xml:space="preserve">. in BL für KW 52: </w:t>
            </w:r>
          </w:p>
          <w:p>
            <w:pPr>
              <w:pStyle w:val="Liste2"/>
              <w:numPr>
                <w:ilvl w:val="1"/>
                <w:numId w:val="7"/>
              </w:numPr>
              <w:rPr>
                <w:lang w:val="de-DE"/>
              </w:rPr>
            </w:pPr>
            <w:r>
              <w:rPr>
                <w:lang w:val="de-DE"/>
              </w:rPr>
              <w:t xml:space="preserve">Anteil der Typisierungen in den BL unterschiedlich –Anteil der Fälle bei denen ein </w:t>
            </w:r>
            <w:proofErr w:type="spellStart"/>
            <w:r>
              <w:rPr>
                <w:lang w:val="de-DE"/>
              </w:rPr>
              <w:t>variantenspezif</w:t>
            </w:r>
            <w:proofErr w:type="spellEnd"/>
            <w:r>
              <w:rPr>
                <w:lang w:val="de-DE"/>
              </w:rPr>
              <w:t>. Test durchgeführt wird in TH bei 3%, in BY hingegen bei 42%</w:t>
            </w:r>
          </w:p>
          <w:p>
            <w:pPr>
              <w:pStyle w:val="Liste2"/>
              <w:rPr>
                <w:lang w:val="de-DE"/>
              </w:rPr>
            </w:pPr>
            <w:r>
              <w:rPr>
                <w:lang w:val="de-DE"/>
              </w:rPr>
              <w:t>Die Übermittlung der Daten in DESH erfolgt etwas zeitverzögert, evtl. muss hier nochmal sensibilisiert werden. Relativ viele nicht richtig gelabelt, müssen aus Analyse rausgenommen werden.</w:t>
            </w:r>
          </w:p>
          <w:p>
            <w:pPr>
              <w:pStyle w:val="Liste2"/>
              <w:numPr>
                <w:ilvl w:val="0"/>
                <w:numId w:val="0"/>
              </w:numPr>
              <w:rPr>
                <w:lang w:val="de-DE"/>
              </w:rPr>
            </w:pPr>
          </w:p>
          <w:p>
            <w:pPr>
              <w:pStyle w:val="3"/>
              <w:numPr>
                <w:ilvl w:val="0"/>
                <w:numId w:val="0"/>
              </w:numPr>
              <w:rPr>
                <w:bCs/>
                <w:i/>
                <w:color w:val="D99594" w:themeColor="accent2" w:themeTint="99"/>
              </w:rPr>
            </w:pPr>
            <w:r>
              <w:t>Zahlen zum DIVI-Intensivregister &amp; SPOCK</w:t>
            </w:r>
          </w:p>
          <w:p>
            <w:pPr>
              <w:pStyle w:val="Liste2"/>
              <w:rPr>
                <w:lang w:val="de-DE"/>
              </w:rPr>
            </w:pPr>
            <w:proofErr w:type="spellStart"/>
            <w:r>
              <w:t>Folien</w:t>
            </w:r>
            <w:proofErr w:type="spellEnd"/>
            <w:r>
              <w:t xml:space="preserve"> </w:t>
            </w:r>
            <w:hyperlink r:id="rId16" w:history="1">
              <w:proofErr w:type="spellStart"/>
              <w:r>
                <w:rPr>
                  <w:rStyle w:val="Hyperlink"/>
                </w:rPr>
                <w:t>hier</w:t>
              </w:r>
              <w:proofErr w:type="spellEnd"/>
            </w:hyperlink>
            <w:r>
              <w:rPr>
                <w:lang w:val="de-DE"/>
              </w:rPr>
              <w:t xml:space="preserve"> </w:t>
            </w:r>
          </w:p>
          <w:p>
            <w:pPr>
              <w:pStyle w:val="Liste2"/>
              <w:rPr>
                <w:lang w:val="de-DE"/>
              </w:rPr>
            </w:pPr>
            <w:r>
              <w:rPr>
                <w:lang w:val="de-DE"/>
              </w:rPr>
              <w:t xml:space="preserve">Behandelte COVID-19-Fälle/Neuaufnahmen: </w:t>
            </w:r>
          </w:p>
          <w:p>
            <w:pPr>
              <w:pStyle w:val="Liste2"/>
              <w:numPr>
                <w:ilvl w:val="1"/>
                <w:numId w:val="7"/>
              </w:numPr>
              <w:rPr>
                <w:lang w:val="de-DE"/>
              </w:rPr>
            </w:pPr>
            <w:r>
              <w:rPr>
                <w:lang w:val="de-DE"/>
              </w:rPr>
              <w:t>3562 Personen auf ITS behandelt (Stand 05.01.2022), Reduktion im Vgl. zu Vorwochen</w:t>
            </w:r>
          </w:p>
          <w:p>
            <w:pPr>
              <w:pStyle w:val="Liste2"/>
              <w:numPr>
                <w:ilvl w:val="1"/>
                <w:numId w:val="7"/>
              </w:numPr>
              <w:rPr>
                <w:lang w:val="de-DE"/>
              </w:rPr>
            </w:pPr>
            <w:r>
              <w:rPr>
                <w:lang w:val="de-DE"/>
              </w:rPr>
              <w:t>Neuaufnahmen auf ITS auch deutlich zurückgegangen, gleichzeitig noch hohe Todeszahlen</w:t>
            </w:r>
          </w:p>
          <w:p>
            <w:pPr>
              <w:pStyle w:val="Liste2"/>
              <w:rPr>
                <w:lang w:val="de-DE"/>
              </w:rPr>
            </w:pPr>
            <w:r>
              <w:rPr>
                <w:lang w:val="de-DE"/>
              </w:rPr>
              <w:t>Anteil der COVID-19-Patient*innen an der Gesamtzahl betreibbarer ITS-Betten:</w:t>
            </w:r>
          </w:p>
          <w:p>
            <w:pPr>
              <w:pStyle w:val="Liste2"/>
              <w:numPr>
                <w:ilvl w:val="1"/>
                <w:numId w:val="7"/>
              </w:numPr>
              <w:rPr>
                <w:lang w:val="de-DE"/>
              </w:rPr>
            </w:pPr>
            <w:r>
              <w:rPr>
                <w:lang w:val="de-DE"/>
              </w:rPr>
              <w:t>In vielen BL Reduktion oder Plateau</w:t>
            </w:r>
          </w:p>
          <w:p>
            <w:pPr>
              <w:pStyle w:val="Liste2"/>
              <w:numPr>
                <w:ilvl w:val="1"/>
                <w:numId w:val="7"/>
              </w:numPr>
              <w:rPr>
                <w:lang w:val="de-DE"/>
              </w:rPr>
            </w:pPr>
            <w:r>
              <w:rPr>
                <w:lang w:val="de-DE"/>
              </w:rPr>
              <w:t>In HH leichter Anstieg in ITS-Belegung, SH auch möglicher Anstieg</w:t>
            </w:r>
          </w:p>
          <w:p>
            <w:pPr>
              <w:pStyle w:val="Liste2"/>
              <w:numPr>
                <w:ilvl w:val="1"/>
                <w:numId w:val="7"/>
              </w:numPr>
              <w:rPr>
                <w:lang w:val="de-DE"/>
              </w:rPr>
            </w:pPr>
            <w:r>
              <w:rPr>
                <w:lang w:val="de-DE"/>
              </w:rPr>
              <w:t>Nord-östliche BL: Rückgang in den letzten Wochen, nun Plateau</w:t>
            </w:r>
          </w:p>
          <w:p>
            <w:pPr>
              <w:pStyle w:val="Liste2"/>
              <w:numPr>
                <w:ilvl w:val="1"/>
                <w:numId w:val="7"/>
              </w:numPr>
              <w:rPr>
                <w:lang w:val="de-DE"/>
              </w:rPr>
            </w:pPr>
            <w:r>
              <w:rPr>
                <w:lang w:val="de-DE"/>
              </w:rPr>
              <w:t>Mitte: TH auf hohem Plateau (33%), SN starker Abfall, trotzdem nun bei 30%</w:t>
            </w:r>
          </w:p>
          <w:p>
            <w:pPr>
              <w:pStyle w:val="Liste2"/>
              <w:numPr>
                <w:ilvl w:val="1"/>
                <w:numId w:val="7"/>
              </w:numPr>
              <w:rPr>
                <w:lang w:val="de-DE"/>
              </w:rPr>
            </w:pPr>
            <w:r>
              <w:rPr>
                <w:lang w:val="de-DE"/>
              </w:rPr>
              <w:t>Süd: Starker Rückgang</w:t>
            </w:r>
          </w:p>
          <w:p>
            <w:pPr>
              <w:pStyle w:val="Liste2"/>
              <w:numPr>
                <w:ilvl w:val="1"/>
                <w:numId w:val="7"/>
              </w:numPr>
              <w:rPr>
                <w:lang w:val="de-DE"/>
              </w:rPr>
            </w:pPr>
            <w:r>
              <w:rPr>
                <w:lang w:val="de-DE"/>
              </w:rPr>
              <w:t>Trotzdem 5 BL über 20%, 13 BL über 12%</w:t>
            </w:r>
          </w:p>
          <w:p>
            <w:pPr>
              <w:pStyle w:val="Liste2"/>
            </w:pPr>
            <w:proofErr w:type="spellStart"/>
            <w:r>
              <w:t>Behandlungsbelegung</w:t>
            </w:r>
            <w:proofErr w:type="spellEnd"/>
            <w:r>
              <w:t xml:space="preserve"> </w:t>
            </w:r>
            <w:proofErr w:type="spellStart"/>
            <w:r>
              <w:t>nach</w:t>
            </w:r>
            <w:proofErr w:type="spellEnd"/>
            <w:r>
              <w:t xml:space="preserve"> </w:t>
            </w:r>
            <w:proofErr w:type="spellStart"/>
            <w:r>
              <w:t>Schweregrad</w:t>
            </w:r>
            <w:proofErr w:type="spellEnd"/>
            <w:r>
              <w:t>:</w:t>
            </w:r>
          </w:p>
          <w:p>
            <w:pPr>
              <w:pStyle w:val="Liste2"/>
              <w:numPr>
                <w:ilvl w:val="1"/>
                <w:numId w:val="7"/>
              </w:numPr>
              <w:rPr>
                <w:lang w:val="de-DE"/>
              </w:rPr>
            </w:pPr>
            <w:r>
              <w:rPr>
                <w:lang w:val="de-DE"/>
              </w:rPr>
              <w:t xml:space="preserve">Leichtere haben stärker abgenommen, wie auch in Wellen zuvor. </w:t>
            </w:r>
          </w:p>
          <w:p>
            <w:pPr>
              <w:pStyle w:val="Liste2"/>
              <w:numPr>
                <w:ilvl w:val="1"/>
                <w:numId w:val="7"/>
              </w:numPr>
              <w:rPr>
                <w:lang w:val="de-DE"/>
              </w:rPr>
            </w:pPr>
            <w:r>
              <w:rPr>
                <w:lang w:val="de-DE"/>
              </w:rPr>
              <w:t xml:space="preserve">Bei ECMO bisher keine Reduktion.  </w:t>
            </w:r>
          </w:p>
          <w:p>
            <w:pPr>
              <w:pStyle w:val="Liste2"/>
              <w:numPr>
                <w:ilvl w:val="1"/>
                <w:numId w:val="7"/>
              </w:numPr>
              <w:rPr>
                <w:lang w:val="de-DE"/>
              </w:rPr>
            </w:pPr>
            <w:r>
              <w:rPr>
                <w:lang w:val="de-DE"/>
              </w:rPr>
              <w:lastRenderedPageBreak/>
              <w:t>Invasiv beatmet sind immer noch über 2000 Patienten und Patientinnen</w:t>
            </w:r>
          </w:p>
          <w:p>
            <w:pPr>
              <w:pStyle w:val="Liste2"/>
            </w:pPr>
            <w:proofErr w:type="spellStart"/>
            <w:r>
              <w:t>Einschätzung</w:t>
            </w:r>
            <w:proofErr w:type="spellEnd"/>
            <w:r>
              <w:t xml:space="preserve"> </w:t>
            </w:r>
            <w:proofErr w:type="spellStart"/>
            <w:r>
              <w:t>Betriebssituation</w:t>
            </w:r>
            <w:proofErr w:type="spellEnd"/>
            <w:r>
              <w:t xml:space="preserve"> &amp; </w:t>
            </w:r>
            <w:proofErr w:type="spellStart"/>
            <w:r>
              <w:t>Beatmungssituation</w:t>
            </w:r>
            <w:proofErr w:type="spellEnd"/>
            <w:r>
              <w:t xml:space="preserve">: </w:t>
            </w:r>
          </w:p>
          <w:p>
            <w:pPr>
              <w:pStyle w:val="Liste2"/>
              <w:numPr>
                <w:ilvl w:val="1"/>
                <w:numId w:val="7"/>
              </w:numPr>
              <w:rPr>
                <w:lang w:val="de-DE"/>
              </w:rPr>
            </w:pPr>
            <w:r>
              <w:rPr>
                <w:lang w:val="de-DE"/>
              </w:rPr>
              <w:t>Bewertung “Eingeschränkt” rückläufig, freie invasive Beatmungskapazitäten gehen auch wieder hoch</w:t>
            </w:r>
          </w:p>
          <w:p>
            <w:pPr>
              <w:pStyle w:val="Liste2"/>
            </w:pPr>
            <w:proofErr w:type="spellStart"/>
            <w:r>
              <w:t>Entwicklung</w:t>
            </w:r>
            <w:proofErr w:type="spellEnd"/>
            <w:r>
              <w:t xml:space="preserve"> </w:t>
            </w:r>
            <w:proofErr w:type="spellStart"/>
            <w:r>
              <w:t>Altersgruppen</w:t>
            </w:r>
            <w:proofErr w:type="spellEnd"/>
          </w:p>
          <w:p>
            <w:pPr>
              <w:pStyle w:val="Liste2"/>
              <w:numPr>
                <w:ilvl w:val="1"/>
                <w:numId w:val="7"/>
              </w:numPr>
              <w:rPr>
                <w:lang w:val="de-DE"/>
              </w:rPr>
            </w:pPr>
            <w:r>
              <w:rPr>
                <w:lang w:val="de-DE"/>
              </w:rPr>
              <w:t>Rückgang oder Plateau in den meisten Altersgruppen</w:t>
            </w:r>
          </w:p>
          <w:p>
            <w:pPr>
              <w:pStyle w:val="Liste2"/>
            </w:pPr>
            <w:proofErr w:type="spellStart"/>
            <w:r>
              <w:t>Omikron</w:t>
            </w:r>
            <w:proofErr w:type="spellEnd"/>
            <w:r>
              <w:t>-ITS-</w:t>
            </w:r>
            <w:proofErr w:type="spellStart"/>
            <w:r>
              <w:t>Fälle</w:t>
            </w:r>
            <w:proofErr w:type="spellEnd"/>
          </w:p>
          <w:p>
            <w:pPr>
              <w:pStyle w:val="Liste2"/>
              <w:numPr>
                <w:ilvl w:val="1"/>
                <w:numId w:val="7"/>
              </w:numPr>
              <w:rPr>
                <w:lang w:val="de-DE"/>
              </w:rPr>
            </w:pPr>
            <w:r>
              <w:rPr>
                <w:lang w:val="de-DE"/>
              </w:rPr>
              <w:t>Die meisten Fälle Delta oder unbekannt, Anstieg Omikron seit 22.12. sichtbar, aktuell 22 Omikron Fälle auf ITS in System gemeldet.</w:t>
            </w:r>
          </w:p>
          <w:p>
            <w:pPr>
              <w:pStyle w:val="Liste2"/>
            </w:pPr>
            <w:proofErr w:type="spellStart"/>
            <w:r>
              <w:t>SPoCK</w:t>
            </w:r>
            <w:proofErr w:type="spellEnd"/>
            <w:r>
              <w:t>:</w:t>
            </w:r>
          </w:p>
          <w:p>
            <w:pPr>
              <w:pStyle w:val="Liste2"/>
              <w:numPr>
                <w:ilvl w:val="1"/>
                <w:numId w:val="7"/>
              </w:numPr>
              <w:rPr>
                <w:lang w:val="de-DE"/>
              </w:rPr>
            </w:pPr>
            <w:r>
              <w:rPr>
                <w:lang w:val="de-DE"/>
              </w:rPr>
              <w:t>Deutschlandweit Reduktion prognostiziert, aber in den Kleeblättern wird im Norden wieder ein Anstieg prognostiziert</w:t>
            </w:r>
          </w:p>
          <w:p>
            <w:pPr>
              <w:pStyle w:val="Liste2"/>
              <w:numPr>
                <w:ilvl w:val="0"/>
                <w:numId w:val="0"/>
              </w:numPr>
              <w:rPr>
                <w:lang w:val="de-DE"/>
              </w:rPr>
            </w:pPr>
          </w:p>
          <w:p>
            <w:pPr>
              <w:spacing w:line="276" w:lineRule="auto"/>
              <w:rPr>
                <w:rStyle w:val="TagFrZchn"/>
              </w:rPr>
            </w:pPr>
            <w:r>
              <w:rPr>
                <w:rStyle w:val="2Zchn"/>
                <w:sz w:val="22"/>
                <w:szCs w:val="22"/>
              </w:rPr>
              <w:t>International</w:t>
            </w:r>
            <w:r>
              <w:rPr>
                <w:b/>
                <w:sz w:val="22"/>
                <w:szCs w:val="22"/>
              </w:rPr>
              <w:t xml:space="preserve"> </w:t>
            </w:r>
          </w:p>
          <w:p>
            <w:pPr>
              <w:pStyle w:val="Liste2"/>
              <w:rPr>
                <w:lang w:val="de-DE"/>
              </w:rPr>
            </w:pPr>
            <w:r>
              <w:rPr>
                <w:lang w:val="de-DE"/>
              </w:rPr>
              <w:t>Folien</w:t>
            </w:r>
            <w:r>
              <w:t xml:space="preserve"> </w:t>
            </w:r>
            <w:hyperlink r:id="rId17" w:history="1">
              <w:proofErr w:type="spellStart"/>
              <w:r>
                <w:rPr>
                  <w:rStyle w:val="Hyperlink"/>
                </w:rPr>
                <w:t>hier</w:t>
              </w:r>
              <w:proofErr w:type="spellEnd"/>
            </w:hyperlink>
            <w:r>
              <w:rPr>
                <w:lang w:val="de-DE"/>
              </w:rPr>
              <w:t xml:space="preserve"> </w:t>
            </w:r>
          </w:p>
          <w:p>
            <w:pPr>
              <w:pStyle w:val="Liste2"/>
              <w:rPr>
                <w:lang w:val="de-DE"/>
              </w:rPr>
            </w:pPr>
            <w:r>
              <w:rPr>
                <w:lang w:val="de-DE"/>
              </w:rPr>
              <w:t>7-Tage-Inzidenz/100.000 EW EU/EWR</w:t>
            </w:r>
          </w:p>
          <w:p>
            <w:pPr>
              <w:pStyle w:val="Liste3"/>
              <w:numPr>
                <w:ilvl w:val="1"/>
                <w:numId w:val="7"/>
              </w:numPr>
            </w:pPr>
            <w:r>
              <w:t xml:space="preserve">Viele Länder Westeuropas haben inzwischen eine Inzidenz &gt;1000/100.000 </w:t>
            </w:r>
            <w:proofErr w:type="spellStart"/>
            <w:r>
              <w:t>Ew</w:t>
            </w:r>
            <w:proofErr w:type="spellEnd"/>
          </w:p>
          <w:p>
            <w:pPr>
              <w:pStyle w:val="Liste3"/>
              <w:numPr>
                <w:ilvl w:val="1"/>
                <w:numId w:val="7"/>
              </w:numPr>
            </w:pPr>
            <w:r>
              <w:t>In den Zeitreihen der ausgewählten Länder sieht man die jeweils steil, ansteigende Kurve. Unter den Abb. die jeweils zuvor geschätzte Omikron-Prävalenz mit Datenstand</w:t>
            </w:r>
          </w:p>
          <w:p>
            <w:pPr>
              <w:pStyle w:val="Liste2"/>
              <w:numPr>
                <w:ilvl w:val="0"/>
                <w:numId w:val="0"/>
              </w:numPr>
              <w:rPr>
                <w:lang w:val="de-DE"/>
              </w:rPr>
            </w:pPr>
          </w:p>
          <w:p>
            <w:pPr>
              <w:pStyle w:val="Liste2"/>
              <w:numPr>
                <w:ilvl w:val="0"/>
                <w:numId w:val="0"/>
              </w:numPr>
              <w:rPr>
                <w:b/>
                <w:lang w:val="de-DE"/>
              </w:rPr>
            </w:pPr>
            <w:r>
              <w:rPr>
                <w:b/>
                <w:lang w:val="de-DE"/>
              </w:rPr>
              <w:t>Diskussion</w:t>
            </w:r>
          </w:p>
          <w:p>
            <w:pPr>
              <w:pStyle w:val="Liste2"/>
              <w:numPr>
                <w:ilvl w:val="0"/>
                <w:numId w:val="8"/>
              </w:numPr>
              <w:ind w:left="901"/>
              <w:rPr>
                <w:lang w:val="de-DE"/>
              </w:rPr>
            </w:pPr>
            <w:r>
              <w:rPr>
                <w:lang w:val="de-DE"/>
              </w:rPr>
              <w:t xml:space="preserve">Gibt es die Möglichkeit bei DESH ein Pflichtfeld zur Eingabe einzuführen, damit fehlende Infos übermittelt werden? </w:t>
            </w:r>
          </w:p>
          <w:p>
            <w:pPr>
              <w:pStyle w:val="Liste2"/>
              <w:numPr>
                <w:ilvl w:val="1"/>
                <w:numId w:val="8"/>
              </w:numPr>
              <w:ind w:left="1610"/>
              <w:rPr>
                <w:lang w:val="de-DE"/>
              </w:rPr>
            </w:pPr>
            <w:r>
              <w:rPr>
                <w:lang w:val="de-DE"/>
              </w:rPr>
              <w:t>Das Problem ist, dass die primärdiagnostizierenden Labore die Daten den sequenzierenden Laboren nicht übermitteln. Primärdiagnostizierende Labore müssten sensibilisiert werden.</w:t>
            </w:r>
          </w:p>
          <w:p>
            <w:pPr>
              <w:pStyle w:val="Liste2"/>
              <w:numPr>
                <w:ilvl w:val="0"/>
                <w:numId w:val="0"/>
              </w:numPr>
              <w:rPr>
                <w:lang w:val="de-DE"/>
              </w:rPr>
            </w:pPr>
          </w:p>
          <w:p>
            <w:pPr>
              <w:pStyle w:val="Liste2"/>
              <w:numPr>
                <w:ilvl w:val="0"/>
                <w:numId w:val="0"/>
              </w:numPr>
              <w:rPr>
                <w:b/>
                <w:i/>
                <w:lang w:val="de-DE"/>
              </w:rPr>
            </w:pPr>
            <w:proofErr w:type="spellStart"/>
            <w:r>
              <w:rPr>
                <w:b/>
                <w:i/>
                <w:lang w:val="de-DE"/>
              </w:rPr>
              <w:t>ToDo</w:t>
            </w:r>
            <w:proofErr w:type="spellEnd"/>
            <w:r>
              <w:rPr>
                <w:b/>
                <w:i/>
                <w:lang w:val="de-DE"/>
              </w:rPr>
              <w:t>: Problematik soll in der AG-Diagnostik am 11.01. diskutiert werden. (Mielke, Semmler)</w:t>
            </w:r>
          </w:p>
        </w:tc>
        <w:tc>
          <w:tcPr>
            <w:tcW w:w="1463" w:type="dxa"/>
          </w:tcPr>
          <w:p>
            <w:pPr>
              <w:rPr>
                <w:sz w:val="22"/>
                <w:szCs w:val="22"/>
              </w:rPr>
            </w:pPr>
          </w:p>
          <w:p>
            <w:pPr>
              <w:rPr>
                <w:sz w:val="22"/>
                <w:szCs w:val="22"/>
              </w:rPr>
            </w:pPr>
          </w:p>
          <w:p>
            <w:pPr>
              <w:rPr>
                <w:sz w:val="22"/>
                <w:szCs w:val="22"/>
              </w:rPr>
            </w:pPr>
            <w:r>
              <w:rPr>
                <w:sz w:val="22"/>
                <w:szCs w:val="22"/>
              </w:rPr>
              <w:t xml:space="preserve">FG32 (Diercke)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 (Hamouda)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FG37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MF2 (Semmler)</w:t>
            </w:r>
          </w:p>
          <w:p>
            <w:pPr>
              <w:rPr>
                <w:sz w:val="22"/>
                <w:szCs w:val="22"/>
              </w:rPr>
            </w:pPr>
          </w:p>
          <w:p>
            <w:pPr>
              <w:rPr>
                <w:sz w:val="22"/>
                <w:szCs w:val="22"/>
              </w:rPr>
            </w:pPr>
          </w:p>
          <w:p>
            <w:pPr>
              <w:rPr>
                <w:sz w:val="22"/>
                <w:szCs w:val="22"/>
              </w:rPr>
            </w:pPr>
          </w:p>
          <w:p>
            <w:pPr>
              <w:rPr>
                <w:sz w:val="22"/>
                <w:szCs w:val="22"/>
              </w:rPr>
            </w:pPr>
            <w:r>
              <w:rPr>
                <w:sz w:val="22"/>
                <w:szCs w:val="22"/>
              </w:rPr>
              <w:t>MF4 (Fischer)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 (Rohde)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Abt.1 (Mielke)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after="120" w:line="276" w:lineRule="auto"/>
              <w:rPr>
                <w:rStyle w:val="TagFrZchn"/>
              </w:rPr>
            </w:pPr>
            <w:r>
              <w:rPr>
                <w:rStyle w:val="1Zchn"/>
              </w:rPr>
              <w:t>Internationales</w:t>
            </w:r>
            <w:r>
              <w:rPr>
                <w:b/>
                <w:color w:val="FF0000"/>
              </w:rPr>
              <w:t xml:space="preserve"> </w:t>
            </w:r>
          </w:p>
          <w:p>
            <w:pPr>
              <w:pStyle w:val="Liste2"/>
              <w:numPr>
                <w:ilvl w:val="0"/>
                <w:numId w:val="10"/>
              </w:numPr>
              <w:ind w:left="476"/>
            </w:pPr>
            <w:r>
              <w:t>(nicht berichtet)</w:t>
            </w:r>
          </w:p>
        </w:tc>
        <w:tc>
          <w:tcPr>
            <w:tcW w:w="1463"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824" w:type="dxa"/>
          </w:tcPr>
          <w:p>
            <w:pPr>
              <w:spacing w:after="120" w:line="276" w:lineRule="auto"/>
              <w:rPr>
                <w:rStyle w:val="TagMoZchn"/>
              </w:rPr>
            </w:pPr>
            <w:r>
              <w:rPr>
                <w:rStyle w:val="1Zchn"/>
              </w:rPr>
              <w:t>Update digitale Projekte</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br/>
            </w:r>
          </w:p>
        </w:tc>
      </w:tr>
      <w:tr>
        <w:tc>
          <w:tcPr>
            <w:tcW w:w="684" w:type="dxa"/>
          </w:tcPr>
          <w:p>
            <w:pPr>
              <w:rPr>
                <w:b/>
              </w:rPr>
            </w:pPr>
            <w:r>
              <w:rPr>
                <w:b/>
              </w:rPr>
              <w:t>4</w:t>
            </w:r>
          </w:p>
        </w:tc>
        <w:tc>
          <w:tcPr>
            <w:tcW w:w="6824" w:type="dxa"/>
          </w:tcPr>
          <w:p>
            <w:pPr>
              <w:pStyle w:val="1"/>
            </w:pPr>
            <w:r>
              <w:t>Aktuelle Risikobewertung</w:t>
            </w:r>
          </w:p>
          <w:p>
            <w:pPr>
              <w:pStyle w:val="Liste1"/>
              <w:rPr>
                <w:b/>
              </w:rPr>
            </w:pPr>
            <w:r>
              <w:rPr>
                <w:b/>
              </w:rPr>
              <w:t>Anpassung der Risikobewertung hinsichtlich Omikrons und der Influenza-Situation</w:t>
            </w:r>
          </w:p>
          <w:p>
            <w:pPr>
              <w:pStyle w:val="Liste3"/>
              <w:rPr>
                <w:rStyle w:val="Hyperlink"/>
                <w:color w:val="auto"/>
                <w:u w:val="none"/>
              </w:rPr>
            </w:pPr>
            <w:r>
              <w:t xml:space="preserve">Dokument </w:t>
            </w:r>
            <w:hyperlink r:id="rId18" w:history="1">
              <w:r>
                <w:rPr>
                  <w:rStyle w:val="Hyperlink"/>
                </w:rPr>
                <w:t>hier</w:t>
              </w:r>
            </w:hyperlink>
          </w:p>
          <w:p>
            <w:pPr>
              <w:pStyle w:val="Liste3"/>
            </w:pPr>
            <w:r>
              <w:t xml:space="preserve">Zusatz „aus anderen Ländern“ gelöscht, da Kenntnisstand auch aus DEU. </w:t>
            </w:r>
          </w:p>
          <w:p>
            <w:pPr>
              <w:pStyle w:val="Liste3"/>
            </w:pPr>
            <w:r>
              <w:t>„Die 7-Tages-Inzidenzen sind derzeit in allen Altersgruppen insbesondere in der Gruppe der Ungeimpften sehr hoch.“ geändert zu: „Die 7-Tages-</w:t>
            </w:r>
            <w:r>
              <w:lastRenderedPageBreak/>
              <w:t>Inzidenzen sind derzeit in allen Altersgruppen weiterhin sehr hoch.“</w:t>
            </w:r>
          </w:p>
          <w:p>
            <w:pPr>
              <w:pStyle w:val="Liste3"/>
            </w:pPr>
            <w:r>
              <w:t>Im Satz „SARS-CoV-2 verbreitet sich überall dort, wo Menschen zusammenkommen, insbesondere in geschlossenen Räumen“ wird „insbesondere in geschlossenen Räumen“ fett gedruckt. Dafür werden „Innenräume“ im nächsten Satz gelöscht.</w:t>
            </w:r>
          </w:p>
          <w:p>
            <w:pPr>
              <w:pStyle w:val="Liste3"/>
            </w:pPr>
            <w:r>
              <w:t xml:space="preserve">Absatz zur Ausbreitung, Impfschutz und Krankheitsschwere der Omikron-Variante im Abschnitt „Hintergrund“ überarbeitet: </w:t>
            </w:r>
          </w:p>
          <w:p>
            <w:pPr>
              <w:pStyle w:val="Liste3"/>
              <w:numPr>
                <w:ilvl w:val="2"/>
                <w:numId w:val="6"/>
              </w:numPr>
            </w:pPr>
            <w:r>
              <w:t>Bei Studien zur Krankheitsschwere oft Ungeimpfte und Geimpfte gemischt. Eine Studie aus US zeigt auch Reduktion der Krankheitsschwere bei Ungeimpften.</w:t>
            </w:r>
          </w:p>
          <w:p>
            <w:pPr>
              <w:pStyle w:val="Liste3"/>
              <w:numPr>
                <w:ilvl w:val="2"/>
                <w:numId w:val="6"/>
              </w:numPr>
            </w:pPr>
            <w:r>
              <w:t>Wenn Hinweis auf reduzierte Schwere eingefügt wird, dann sollte darauf der Hinweis auf die Belastung durch den erwarteten FZ-Anstieg folgen. Ebenfalls im folgenden Absatz eingefügt.</w:t>
            </w:r>
          </w:p>
          <w:p>
            <w:pPr>
              <w:pStyle w:val="Liste3"/>
              <w:numPr>
                <w:ilvl w:val="2"/>
                <w:numId w:val="6"/>
              </w:numPr>
            </w:pPr>
            <w:r>
              <w:t>Besser statt „geringerer Krankheitsschwere“ „geringerer Anteil Hospitalisierter“, da es sonst ggf. als leichte Erkrankung missverstanden wird.</w:t>
            </w:r>
          </w:p>
          <w:p>
            <w:pPr>
              <w:pStyle w:val="Liste3"/>
              <w:numPr>
                <w:ilvl w:val="2"/>
                <w:numId w:val="6"/>
              </w:numPr>
            </w:pPr>
            <w:r>
              <w:t xml:space="preserve">Absatz wird geändert zu „Die </w:t>
            </w:r>
            <w:proofErr w:type="spellStart"/>
            <w:r>
              <w:t>Omikronvariante</w:t>
            </w:r>
            <w:proofErr w:type="spellEnd"/>
            <w:r>
              <w:t xml:space="preserve"> ist deutlich übertragbarer als die früheren Varianten (z.B. Deltavariante). Es gibt erste Hinweise auf eine reduzierte Effektivität und Dauer des Impfschutzes gegen die </w:t>
            </w:r>
            <w:proofErr w:type="spellStart"/>
            <w:r>
              <w:t>Omikronvariante</w:t>
            </w:r>
            <w:proofErr w:type="spellEnd"/>
            <w:r>
              <w:t xml:space="preserve">. Die Datenlage hinsichtlich der Schwere der Erkrankungen durch die </w:t>
            </w:r>
            <w:proofErr w:type="spellStart"/>
            <w:r>
              <w:t>Omikronvariante</w:t>
            </w:r>
            <w:proofErr w:type="spellEnd"/>
            <w:r>
              <w:t xml:space="preserve"> ist noch nicht ausreichend. allerdings zeigen erste Studien eher einen geringeren Anteil an Hospitalisierten im Vergleich zu Infektionen mit der Deltavariante. Das Gesundheitswesen und auch weitere Versorgungsbereiche können durch den erwarteten Fallzahlanstieg dennoch stark belastet werden.“</w:t>
            </w:r>
          </w:p>
          <w:p>
            <w:pPr>
              <w:pStyle w:val="Liste3"/>
            </w:pPr>
            <w:r>
              <w:t>Letzter Abschnitt unter „Hintergrund“</w:t>
            </w:r>
          </w:p>
          <w:p>
            <w:pPr>
              <w:pStyle w:val="Liste3"/>
              <w:numPr>
                <w:ilvl w:val="2"/>
                <w:numId w:val="6"/>
              </w:numPr>
            </w:pPr>
            <w:r>
              <w:t xml:space="preserve">„…es ist zu befürchten, dass es bei weiterer Verbreitung der </w:t>
            </w:r>
            <w:proofErr w:type="spellStart"/>
            <w:r>
              <w:t>Omikronvariante</w:t>
            </w:r>
            <w:proofErr w:type="spellEnd"/>
            <w:r>
              <w:t xml:space="preserve"> in Deutschland wieder zu einer weiteren Zunahme schwerer Erkrankungen und Todesfällen kommen wird…“ wird geändert zu „…es ist zu befürchten, dass es bei weiterer Verbreitung der </w:t>
            </w:r>
            <w:proofErr w:type="spellStart"/>
            <w:r>
              <w:t>Omikronvariante</w:t>
            </w:r>
            <w:proofErr w:type="spellEnd"/>
            <w:r>
              <w:t xml:space="preserve"> in Deutschland wieder zu einem erneuten Anstieg der schweren Erkrankungen und Todesfällen kommen wird – schon aufgrund des erwarteten massiven Anstiegs der Fallzahlen – …“</w:t>
            </w:r>
          </w:p>
          <w:p>
            <w:pPr>
              <w:pStyle w:val="Liste3"/>
            </w:pPr>
            <w:r>
              <w:t>Im Abschnitt „Empfehlungen“ wird Schutzwirkung der Impfung präzisiert:</w:t>
            </w:r>
          </w:p>
          <w:p>
            <w:pPr>
              <w:pStyle w:val="Liste3"/>
              <w:numPr>
                <w:ilvl w:val="2"/>
                <w:numId w:val="6"/>
              </w:numPr>
            </w:pPr>
            <w:r>
              <w:t xml:space="preserve">„Die Impfung bietet aktuell grundsätzlich einen guten Schutz gegen die Infektion und insbesondere gegen schwere Erkrankung und Hospitalisierung durch COVID-19.“ wird geändert zu „Die Impfung bietet grundsätzlich einen guten </w:t>
            </w:r>
            <w:r>
              <w:lastRenderedPageBreak/>
              <w:t>Schutz vor Infektion und insbesondere gegen schwere Erkrankung und Hospitalisierung durch COVID-19; die Schutzwirkung – insbesondere hinsichtlich milder Infektionen - lässt allerdings nach wenigen Monaten nach, so dass sie durch eine Auffrischimpfung wiederhergestellt werden muss.“</w:t>
            </w:r>
          </w:p>
          <w:p>
            <w:pPr>
              <w:pStyle w:val="Liste3"/>
            </w:pPr>
            <w:r>
              <w:t>Empfehlung zu Influenza:</w:t>
            </w:r>
          </w:p>
          <w:p>
            <w:pPr>
              <w:pStyle w:val="Liste3"/>
              <w:numPr>
                <w:ilvl w:val="2"/>
                <w:numId w:val="6"/>
              </w:numPr>
            </w:pPr>
            <w:r>
              <w:t>In Abschnitt „Empfehlungen“ wurde folgender Halbsatz hinzugefügt „…und helfen auch dabei, auch die Krankheitslast durch weitere akute Atemwegsinfektionen wie die Influenza zu reduzieren.“</w:t>
            </w:r>
          </w:p>
          <w:p>
            <w:pPr>
              <w:pStyle w:val="Liste3"/>
              <w:numPr>
                <w:ilvl w:val="2"/>
                <w:numId w:val="6"/>
              </w:numPr>
            </w:pPr>
            <w:r>
              <w:t>Im Abschnitt „Ressourcenbelastung des Gesundheitssystems“ wird ebenfalls auf die Belastungen durch die steigende Influenza-Aktivität hingewiesen</w:t>
            </w:r>
          </w:p>
          <w:p>
            <w:pPr>
              <w:pStyle w:val="Liste3"/>
            </w:pPr>
            <w:r>
              <w:t>Im Abschnitt „Krankheitsschwere“ wird ein Halbsatz zum Hospitalisierungsrisiko ergänzt: „erste Studien zeigen im Vergleich mit Infektionen durch die Deltavariante ein geringeres Hospitalisierungsrisiko.“</w:t>
            </w:r>
          </w:p>
          <w:p>
            <w:pPr>
              <w:pStyle w:val="Liste3"/>
            </w:pPr>
            <w:r>
              <w:t xml:space="preserve">Die Auswirkungen </w:t>
            </w:r>
            <w:proofErr w:type="gramStart"/>
            <w:r>
              <w:t>außerhalb des Gesundheitswesen</w:t>
            </w:r>
            <w:proofErr w:type="gramEnd"/>
            <w:r>
              <w:t xml:space="preserve"> (große Anzahl erkrankter, nicht arbeitsfähige Personen) soll entsprechend der Darstellung im Wochenbericht eingefügt werden.</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lastRenderedPageBreak/>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Intensive Diskussionen zu Impfungen und Krankheitsschwere bei Omikron, Diskussionen zu 1G und 2G+ (plus Test)</w:t>
            </w:r>
          </w:p>
          <w:p>
            <w:pPr>
              <w:pStyle w:val="Liste1"/>
            </w:pPr>
            <w:r>
              <w:t xml:space="preserve">Haushaltsstudie aus Dänemark wurde vorgestellt.  </w:t>
            </w:r>
          </w:p>
          <w:p>
            <w:pPr>
              <w:pStyle w:val="Liste1"/>
            </w:pPr>
            <w:r>
              <w:t>Tiermodelle zeigen geringere Betroffenheit der Lunge, aber kann im Menschen anders sein, ebenso wie Ergebnisse zum Entry in Zellkultur.</w:t>
            </w:r>
          </w:p>
          <w:p>
            <w:pPr>
              <w:pStyle w:val="Liste1"/>
            </w:pPr>
            <w:r>
              <w:t>Wunsch nach bundeseinheitlichen Regeln.</w:t>
            </w:r>
          </w:p>
          <w:p>
            <w:pPr>
              <w:pStyle w:val="Liste1"/>
            </w:pPr>
            <w:r>
              <w:t xml:space="preserve">Vertrauliche Besprechungsinhalte wurden an Presse weitergegeben. Es hört eine große Anzahl von Personen zu. </w:t>
            </w:r>
          </w:p>
          <w:p>
            <w:pPr>
              <w:pStyle w:val="Liste1"/>
            </w:pPr>
            <w:r>
              <w:t xml:space="preserve">Erneute Sitzung zur Besprechung der Geschäftsordnung heute Abend, 05.01.22. </w:t>
            </w:r>
          </w:p>
          <w:p>
            <w:pPr>
              <w:pStyle w:val="Liste1"/>
            </w:pPr>
            <w:r>
              <w:t xml:space="preserve">Haltung zu Masken im Expertenrat ist pro, höherer Stellenwert als zuvor. </w:t>
            </w:r>
          </w:p>
          <w:p>
            <w:pPr>
              <w:pStyle w:val="Liste1"/>
            </w:pPr>
            <w:r>
              <w:t>Ggf. Überarbeitung der Stellungnahme hinsichtlich der Belastung der Normalstationen im KH</w:t>
            </w:r>
          </w:p>
        </w:tc>
        <w:tc>
          <w:tcPr>
            <w:tcW w:w="1463" w:type="dxa"/>
          </w:tcPr>
          <w:p>
            <w:pPr>
              <w:rPr>
                <w:sz w:val="22"/>
                <w:szCs w:val="22"/>
              </w:rPr>
            </w:pPr>
          </w:p>
          <w:p>
            <w:pPr>
              <w:rPr>
                <w:sz w:val="22"/>
                <w:szCs w:val="22"/>
              </w:rPr>
            </w:pPr>
          </w:p>
          <w:p>
            <w:pPr>
              <w:rPr>
                <w:sz w:val="22"/>
                <w:szCs w:val="22"/>
              </w:rPr>
            </w:pPr>
            <w:proofErr w:type="spellStart"/>
            <w:r>
              <w:rPr>
                <w:sz w:val="22"/>
                <w:szCs w:val="22"/>
              </w:rPr>
              <w:t>Präs</w:t>
            </w:r>
            <w:proofErr w:type="spellEnd"/>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Kein Beitrag</w:t>
            </w:r>
          </w:p>
          <w:p>
            <w:pPr>
              <w:pStyle w:val="2"/>
            </w:pPr>
            <w:r>
              <w:t>Presse</w:t>
            </w:r>
          </w:p>
          <w:p>
            <w:pPr>
              <w:pStyle w:val="Liste2"/>
              <w:numPr>
                <w:ilvl w:val="0"/>
                <w:numId w:val="13"/>
              </w:numPr>
              <w:ind w:left="476"/>
              <w:rPr>
                <w:b/>
              </w:rPr>
            </w:pPr>
            <w:proofErr w:type="spellStart"/>
            <w:r>
              <w:rPr>
                <w:b/>
              </w:rPr>
              <w:t>Wegfall</w:t>
            </w:r>
            <w:proofErr w:type="spellEnd"/>
            <w:r>
              <w:rPr>
                <w:b/>
              </w:rPr>
              <w:t xml:space="preserve"> des Disclaimers ab 06.01.2022</w:t>
            </w:r>
          </w:p>
          <w:p>
            <w:pPr>
              <w:pStyle w:val="Liste2"/>
              <w:numPr>
                <w:ilvl w:val="1"/>
                <w:numId w:val="15"/>
              </w:numPr>
              <w:ind w:left="1043"/>
              <w:rPr>
                <w:lang w:val="de-DE"/>
              </w:rPr>
            </w:pPr>
            <w:r>
              <w:rPr>
                <w:lang w:val="de-DE"/>
              </w:rPr>
              <w:t xml:space="preserve">Eigentlich sollte der Disclaimer erst nächste Woche entfallen, aber ab 06.01. ist die Hälfte der BL nicht mehr in </w:t>
            </w:r>
            <w:r>
              <w:rPr>
                <w:lang w:val="de-DE"/>
              </w:rPr>
              <w:lastRenderedPageBreak/>
              <w:t>den Ferien, Arztpraxen sind wieder geöffnet und gegen Ende der Woche wird ein stabileres Bild der Daten erwartet.</w:t>
            </w:r>
          </w:p>
          <w:p>
            <w:pPr>
              <w:pStyle w:val="Liste2"/>
              <w:numPr>
                <w:ilvl w:val="1"/>
                <w:numId w:val="15"/>
              </w:numPr>
              <w:ind w:left="1043"/>
              <w:rPr>
                <w:lang w:val="de-DE"/>
              </w:rPr>
            </w:pPr>
            <w:r>
              <w:rPr>
                <w:lang w:val="de-DE"/>
              </w:rPr>
              <w:t xml:space="preserve">Von Presse ist der Disclaimer dahingehend überinterpretiert worden, dass die Daten gar nicht mehr aussagekräftig sind. Dies ist so nicht der Fall. </w:t>
            </w:r>
          </w:p>
          <w:p>
            <w:pPr>
              <w:pStyle w:val="Liste2"/>
              <w:numPr>
                <w:ilvl w:val="1"/>
                <w:numId w:val="15"/>
              </w:numPr>
              <w:ind w:left="1043"/>
              <w:rPr>
                <w:lang w:val="de-DE"/>
              </w:rPr>
            </w:pPr>
            <w:r>
              <w:rPr>
                <w:lang w:val="de-DE"/>
              </w:rPr>
              <w:t>In diesem Jahr waren die Feiertage auf dem Wochenende, daher auch etwas andere Situation.</w:t>
            </w:r>
          </w:p>
          <w:p>
            <w:pPr>
              <w:pStyle w:val="Liste2"/>
              <w:numPr>
                <w:ilvl w:val="1"/>
                <w:numId w:val="15"/>
              </w:numPr>
              <w:ind w:left="1043"/>
              <w:rPr>
                <w:lang w:val="de-DE"/>
              </w:rPr>
            </w:pPr>
            <w:r>
              <w:rPr>
                <w:lang w:val="de-DE"/>
              </w:rPr>
              <w:t xml:space="preserve">Es besteht eine große öffentliche Erwartungshaltung, dass das RKI in dieser Woche verlässliche Daten vorlegen. </w:t>
            </w:r>
          </w:p>
          <w:p>
            <w:pPr>
              <w:pStyle w:val="Liste2"/>
              <w:numPr>
                <w:ilvl w:val="1"/>
                <w:numId w:val="15"/>
              </w:numPr>
              <w:ind w:left="1043"/>
              <w:rPr>
                <w:lang w:val="de-DE"/>
              </w:rPr>
            </w:pPr>
            <w:r>
              <w:rPr>
                <w:lang w:val="de-DE"/>
              </w:rPr>
              <w:t xml:space="preserve">Es wird keine große Korrektur der Daten nach oben erwartet, da die, die sich letzte Woche nicht haben testen lassen, nun auch nicht mehr getestet werden. </w:t>
            </w:r>
          </w:p>
          <w:p>
            <w:pPr>
              <w:pStyle w:val="Liste2"/>
              <w:numPr>
                <w:ilvl w:val="1"/>
                <w:numId w:val="15"/>
              </w:numPr>
              <w:ind w:left="1043"/>
              <w:rPr>
                <w:lang w:val="de-DE"/>
              </w:rPr>
            </w:pPr>
            <w:r>
              <w:rPr>
                <w:lang w:val="de-DE"/>
              </w:rPr>
              <w:t xml:space="preserve">Im Wochenbericht könnte man ggf. die Einordnung gesondert vornehmen, statt als allgemeinen Disclaimer. </w:t>
            </w:r>
          </w:p>
          <w:p>
            <w:pPr>
              <w:pStyle w:val="Liste2"/>
              <w:numPr>
                <w:ilvl w:val="0"/>
                <w:numId w:val="0"/>
              </w:numPr>
              <w:rPr>
                <w:lang w:val="de-DE"/>
              </w:rPr>
            </w:pPr>
          </w:p>
          <w:p>
            <w:pPr>
              <w:pStyle w:val="Liste2"/>
              <w:numPr>
                <w:ilvl w:val="0"/>
                <w:numId w:val="0"/>
              </w:numPr>
              <w:rPr>
                <w:b/>
                <w:i/>
                <w:lang w:val="de-DE"/>
              </w:rPr>
            </w:pPr>
            <w:proofErr w:type="spellStart"/>
            <w:r>
              <w:rPr>
                <w:b/>
                <w:i/>
                <w:lang w:val="de-DE"/>
              </w:rPr>
              <w:t>ToDo</w:t>
            </w:r>
            <w:proofErr w:type="spellEnd"/>
            <w:r>
              <w:rPr>
                <w:b/>
                <w:i/>
                <w:lang w:val="de-DE"/>
              </w:rPr>
              <w:t>: Disclaimer zum 06.01.2022 vom Dashboard, von der Fallzahl-Seite, dem Lagebericht und Wochenbericht entfernen. (Presse, LZ)</w:t>
            </w:r>
          </w:p>
          <w:p>
            <w:pPr>
              <w:pStyle w:val="Liste2"/>
              <w:numPr>
                <w:ilvl w:val="0"/>
                <w:numId w:val="0"/>
              </w:numPr>
              <w:rPr>
                <w:lang w:val="de-DE"/>
              </w:rPr>
            </w:pPr>
          </w:p>
          <w:p>
            <w:pPr>
              <w:pStyle w:val="Liste2"/>
              <w:numPr>
                <w:ilvl w:val="0"/>
                <w:numId w:val="9"/>
              </w:numPr>
              <w:ind w:left="476"/>
              <w:rPr>
                <w:b/>
                <w:lang w:val="de-DE"/>
              </w:rPr>
            </w:pPr>
            <w:r>
              <w:rPr>
                <w:b/>
                <w:lang w:val="de-DE"/>
              </w:rPr>
              <w:t>Botschaft für Twitter aus Wochenbericht für 06.01.2022?</w:t>
            </w:r>
          </w:p>
          <w:p>
            <w:pPr>
              <w:pStyle w:val="Liste2"/>
              <w:numPr>
                <w:ilvl w:val="1"/>
                <w:numId w:val="14"/>
              </w:numPr>
              <w:ind w:left="1043"/>
              <w:rPr>
                <w:lang w:val="de-DE"/>
              </w:rPr>
            </w:pPr>
            <w:r>
              <w:rPr>
                <w:lang w:val="de-DE"/>
              </w:rPr>
              <w:t xml:space="preserve">Info, dass die Daten darauf hinweisen, dass Omikron in Kürze vorherrschende Variante ist und Wichtigkeit der Auffrischimpfung und Kontaktreduktion auch um Influenzawelle zu verzögern. </w:t>
            </w:r>
          </w:p>
          <w:p>
            <w:pPr>
              <w:pStyle w:val="Liste2"/>
              <w:numPr>
                <w:ilvl w:val="1"/>
                <w:numId w:val="14"/>
              </w:numPr>
              <w:ind w:left="1043"/>
              <w:rPr>
                <w:lang w:val="de-DE"/>
              </w:rPr>
            </w:pPr>
            <w:r>
              <w:rPr>
                <w:lang w:val="de-DE"/>
              </w:rPr>
              <w:t xml:space="preserve">Dies soll so kommuniziert werden, dass jeder individuell seine Kontakte reduzieren soll. </w:t>
            </w:r>
          </w:p>
          <w:p>
            <w:pPr>
              <w:pStyle w:val="Liste2"/>
              <w:numPr>
                <w:ilvl w:val="1"/>
                <w:numId w:val="14"/>
              </w:numPr>
              <w:ind w:left="1043"/>
              <w:rPr>
                <w:lang w:val="de-DE"/>
              </w:rPr>
            </w:pPr>
            <w:r>
              <w:rPr>
                <w:lang w:val="de-DE"/>
              </w:rPr>
              <w:t>Aktuelles Paper von FG37 und FG33 soll gesondert getwittert werden.</w:t>
            </w:r>
          </w:p>
          <w:p>
            <w:pPr>
              <w:pStyle w:val="Liste2"/>
              <w:numPr>
                <w:ilvl w:val="0"/>
                <w:numId w:val="0"/>
              </w:numPr>
              <w:rPr>
                <w:lang w:val="de-DE"/>
              </w:rPr>
            </w:pPr>
          </w:p>
          <w:p>
            <w:pPr>
              <w:pStyle w:val="2"/>
            </w:pPr>
            <w:r>
              <w:t>P1</w:t>
            </w:r>
          </w:p>
          <w:p>
            <w:pPr>
              <w:pStyle w:val="Liste1"/>
              <w:rPr>
                <w:i/>
              </w:rPr>
            </w:pPr>
            <w:r>
              <w:t>Diskussion über vorgestellte Grafik zu COVID-Fällen und COVID-Todesfällen:</w:t>
            </w:r>
          </w:p>
          <w:p>
            <w:pPr>
              <w:pStyle w:val="Liste3"/>
              <w:rPr>
                <w:i/>
              </w:rPr>
            </w:pPr>
            <w:r>
              <w:t>Wunsch nach deutlicher Darstellung, um von Wirkung der Impfung zu überzeugen, für Twitter</w:t>
            </w:r>
          </w:p>
          <w:p>
            <w:pPr>
              <w:pStyle w:val="Liste3"/>
              <w:rPr>
                <w:i/>
              </w:rPr>
            </w:pPr>
            <w:r>
              <w:t>Da Todesfälle später gemeldet werden und in 4. Welle die Daten noch unvollständig sind, sollte dies besser später kommuniziert werden.</w:t>
            </w:r>
          </w:p>
          <w:p>
            <w:pPr>
              <w:pStyle w:val="Liste3"/>
              <w:rPr>
                <w:i/>
              </w:rPr>
            </w:pPr>
            <w:r>
              <w:t>Darstellung suggeriert Monokausalität, die so nicht gegeben ist.</w:t>
            </w:r>
          </w:p>
          <w:p>
            <w:pPr>
              <w:pStyle w:val="Liste3"/>
            </w:pPr>
            <w:r>
              <w:t xml:space="preserve">Besser altersstratifiziert, da in Wellen unterschiedliche Bevölkerungsgruppen betroffen waren. Vielleicht besser </w:t>
            </w:r>
            <w:proofErr w:type="spellStart"/>
            <w:r>
              <w:t>altersadjustistierter</w:t>
            </w:r>
            <w:proofErr w:type="spellEnd"/>
            <w:r>
              <w:t xml:space="preserve"> Rückgang der Case </w:t>
            </w:r>
            <w:proofErr w:type="spellStart"/>
            <w:r>
              <w:t>fatality</w:t>
            </w:r>
            <w:proofErr w:type="spellEnd"/>
            <w:r>
              <w:t xml:space="preserve"> gegenüber zunehmenden Impfquoten. </w:t>
            </w:r>
          </w:p>
          <w:p>
            <w:pPr>
              <w:pStyle w:val="Liste3"/>
            </w:pPr>
            <w:r>
              <w:t xml:space="preserve">Oder Fall-Verstorbenen-Anteil nach Meldewoche und Altersgruppe. </w:t>
            </w:r>
          </w:p>
          <w:p>
            <w:pPr>
              <w:pStyle w:val="Liste3"/>
            </w:pPr>
            <w:r>
              <w:t>Alternative wären Grafiken wie sie derzeit schon im Wochenbericht berichtet werden (angelehnt an CDC), liegt altersstratifiziert vor</w:t>
            </w:r>
          </w:p>
          <w:p>
            <w:pPr>
              <w:pStyle w:val="Liste3"/>
            </w:pPr>
            <w:r>
              <w:t>Wenn diese Grafik, dann besser in ein Diagramm und dann für Todesfälle „hineinzoomen“</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 alle</w:t>
            </w:r>
            <w:r>
              <w:rPr>
                <w:sz w:val="22"/>
                <w:szCs w:val="22"/>
              </w:rPr>
              <w:br/>
            </w:r>
          </w:p>
          <w:p>
            <w:pPr>
              <w:rPr>
                <w:sz w:val="22"/>
                <w:szCs w:val="22"/>
              </w:rPr>
            </w:pPr>
          </w:p>
          <w:p>
            <w:pPr>
              <w:rPr>
                <w:sz w:val="22"/>
                <w:szCs w:val="22"/>
              </w:rPr>
            </w:pPr>
          </w:p>
          <w:p>
            <w:pPr>
              <w:rPr>
                <w:sz w:val="22"/>
                <w:szCs w:val="22"/>
              </w:rPr>
            </w:pPr>
          </w:p>
          <w:p>
            <w:pPr>
              <w:rPr>
                <w:b/>
                <w:i/>
                <w:sz w:val="22"/>
                <w:szCs w:val="22"/>
              </w:rPr>
            </w:pPr>
          </w:p>
          <w:p>
            <w:pPr>
              <w:rPr>
                <w:b/>
                <w:i/>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P1 (Leuker), </w:t>
            </w:r>
            <w:proofErr w:type="spellStart"/>
            <w:r>
              <w:rPr>
                <w:sz w:val="22"/>
                <w:szCs w:val="22"/>
              </w:rPr>
              <w:t>Präs</w:t>
            </w:r>
            <w:proofErr w:type="spellEnd"/>
            <w:r>
              <w:rPr>
                <w:sz w:val="22"/>
                <w:szCs w:val="22"/>
              </w:rPr>
              <w:t>, alle</w:t>
            </w:r>
          </w:p>
        </w:tc>
      </w:tr>
      <w:tr>
        <w:tc>
          <w:tcPr>
            <w:tcW w:w="684" w:type="dxa"/>
          </w:tcPr>
          <w:p>
            <w:pPr>
              <w:rPr>
                <w:b/>
              </w:rPr>
            </w:pPr>
            <w:r>
              <w:rPr>
                <w:b/>
              </w:rPr>
              <w:lastRenderedPageBreak/>
              <w:t>7</w:t>
            </w:r>
          </w:p>
        </w:tc>
        <w:tc>
          <w:tcPr>
            <w:tcW w:w="6824" w:type="dxa"/>
          </w:tcPr>
          <w:p>
            <w:pPr>
              <w:pStyle w:val="1"/>
            </w:pPr>
            <w:r>
              <w:t>RKI-Strategie Fragen</w:t>
            </w:r>
          </w:p>
          <w:p>
            <w:pPr>
              <w:pStyle w:val="2"/>
            </w:pPr>
            <w:r>
              <w:t>Allgemein</w:t>
            </w:r>
          </w:p>
          <w:p>
            <w:pPr>
              <w:pStyle w:val="Liste1"/>
            </w:pPr>
            <w:r>
              <w:t xml:space="preserve">„Korrektur: NACHBERICHT: </w:t>
            </w:r>
            <w:proofErr w:type="spellStart"/>
            <w:r>
              <w:t>Übersicht_Quarantäne_Isolierung_nach_BMG_Besprechung</w:t>
            </w:r>
            <w:proofErr w:type="spellEnd"/>
            <w:r>
              <w:t>“</w:t>
            </w:r>
          </w:p>
          <w:p>
            <w:pPr>
              <w:pStyle w:val="Liste3"/>
            </w:pPr>
            <w:proofErr w:type="spellStart"/>
            <w:r>
              <w:t>Entisolierungsschema</w:t>
            </w:r>
            <w:proofErr w:type="spellEnd"/>
            <w:r>
              <w:t xml:space="preserve"> nicht für Patienten im KH-Kontext, dort soll auf </w:t>
            </w:r>
            <w:proofErr w:type="spellStart"/>
            <w:r>
              <w:t>Entisolierungspapier</w:t>
            </w:r>
            <w:proofErr w:type="spellEnd"/>
            <w:r>
              <w:t xml:space="preserve"> verwiesen werden. Dies muss entsprechend angepasst werden. </w:t>
            </w:r>
          </w:p>
          <w:p>
            <w:pPr>
              <w:pStyle w:val="Liste3"/>
            </w:pPr>
            <w:r>
              <w:t>Das Papier soll sich nur auf Patienten und Patientinnen im stationären Bereich bzw. auf Bewohnerinnen und Bewohner von Alten- und Pflegeheimen beziehen</w:t>
            </w:r>
          </w:p>
          <w:p>
            <w:pPr>
              <w:pStyle w:val="Liste3"/>
            </w:pPr>
            <w:r>
              <w:t xml:space="preserve">Ggf. ist noch ein weiteres Papier für die </w:t>
            </w:r>
            <w:proofErr w:type="spellStart"/>
            <w:r>
              <w:t>Entisolierung</w:t>
            </w:r>
            <w:proofErr w:type="spellEnd"/>
            <w:r>
              <w:t xml:space="preserve"> im </w:t>
            </w:r>
            <w:proofErr w:type="spellStart"/>
            <w:r>
              <w:t>ambulaten</w:t>
            </w:r>
            <w:proofErr w:type="spellEnd"/>
            <w:r>
              <w:t xml:space="preserve"> Bereich nötig, Entwicklung muss abgewartet werden.</w:t>
            </w:r>
          </w:p>
          <w:p>
            <w:pPr>
              <w:pStyle w:val="Liste3"/>
            </w:pPr>
            <w:r>
              <w:t xml:space="preserve">Papier wurde entsprechend angepasst. Änderungen inhaltlich </w:t>
            </w:r>
          </w:p>
          <w:p>
            <w:pPr>
              <w:pStyle w:val="Liste3"/>
            </w:pPr>
            <w:r>
              <w:t xml:space="preserve">Wichtig ist Unterscheidung, dass </w:t>
            </w:r>
            <w:proofErr w:type="spellStart"/>
            <w:r>
              <w:t>Entisolierung</w:t>
            </w:r>
            <w:proofErr w:type="spellEnd"/>
            <w:r>
              <w:t xml:space="preserve"> gemeint ist und nicht Entlassung. Patienten und Patientinnen können auch entlassen werden und in Isolierung in häuslichem Kontext gehen, ggf. Hinweis in </w:t>
            </w:r>
            <w:proofErr w:type="spellStart"/>
            <w:r>
              <w:t>Fussnote</w:t>
            </w:r>
            <w:proofErr w:type="spellEnd"/>
            <w:r>
              <w:t>.</w:t>
            </w:r>
          </w:p>
          <w:p>
            <w:pPr>
              <w:pStyle w:val="Liste3"/>
            </w:pPr>
            <w:r>
              <w:t>Im Ggs. zu Papier für Allgemeinbevölkerung soll statt Symptomfreiheit nachhaltige Besserung eingefügt werden.</w:t>
            </w:r>
          </w:p>
          <w:p>
            <w:pPr>
              <w:pStyle w:val="Liste3"/>
            </w:pPr>
            <w:r>
              <w:t>Weitere Anpassungen (Ct-Wert etc.) werden für KH-Kontext nicht übernommen.</w:t>
            </w:r>
          </w:p>
          <w:p>
            <w:pPr>
              <w:pStyle w:val="Liste3"/>
            </w:pPr>
            <w:r>
              <w:t>Auf Abstimmung in KRINKO wird verzichtet, da inhaltlich keine Änderungen durchgeführt wurden.</w:t>
            </w:r>
          </w:p>
          <w:p>
            <w:pPr>
              <w:pStyle w:val="Liste3"/>
              <w:numPr>
                <w:ilvl w:val="0"/>
                <w:numId w:val="0"/>
              </w:numPr>
            </w:pPr>
          </w:p>
          <w:p>
            <w:pPr>
              <w:pStyle w:val="Liste3"/>
              <w:numPr>
                <w:ilvl w:val="0"/>
                <w:numId w:val="0"/>
              </w:numPr>
              <w:rPr>
                <w:b/>
                <w:i/>
              </w:rPr>
            </w:pPr>
            <w:proofErr w:type="spellStart"/>
            <w:r>
              <w:rPr>
                <w:b/>
                <w:i/>
              </w:rPr>
              <w:t>ToDo</w:t>
            </w:r>
            <w:proofErr w:type="spellEnd"/>
            <w:r>
              <w:rPr>
                <w:b/>
                <w:i/>
              </w:rPr>
              <w:t xml:space="preserve">: ZBS7 überarbeitet das Papier entsprechend der Diskussion und sendet es an Hr. Mielke. </w:t>
            </w:r>
          </w:p>
          <w:p>
            <w:pPr>
              <w:pStyle w:val="Liste3"/>
              <w:numPr>
                <w:ilvl w:val="0"/>
                <w:numId w:val="0"/>
              </w:numPr>
            </w:pPr>
          </w:p>
          <w:p>
            <w:pPr>
              <w:pStyle w:val="2"/>
              <w:rPr>
                <w:i/>
              </w:rPr>
            </w:pPr>
            <w:r>
              <w:t>RKI-intern</w:t>
            </w:r>
          </w:p>
          <w:p>
            <w:pPr>
              <w:pStyle w:val="Liste1"/>
              <w:rPr>
                <w:b/>
              </w:rPr>
            </w:pPr>
            <w:r>
              <w:t>Nicht besprochen</w:t>
            </w:r>
          </w:p>
          <w:p>
            <w:pPr>
              <w:pStyle w:val="Liste1"/>
              <w:numPr>
                <w:ilvl w:val="0"/>
                <w:numId w:val="0"/>
              </w:numPr>
              <w:ind w:left="473" w:hanging="360"/>
              <w:rPr>
                <w:b/>
              </w:rPr>
            </w:pPr>
          </w:p>
        </w:tc>
        <w:tc>
          <w:tcPr>
            <w:tcW w:w="1463" w:type="dxa"/>
          </w:tcPr>
          <w:p>
            <w:pPr>
              <w:rPr>
                <w:sz w:val="22"/>
                <w:szCs w:val="22"/>
              </w:rPr>
            </w:pPr>
          </w:p>
          <w:p>
            <w:pPr>
              <w:rPr>
                <w:sz w:val="22"/>
                <w:szCs w:val="22"/>
              </w:rPr>
            </w:pPr>
          </w:p>
          <w:p>
            <w:pPr>
              <w:rPr>
                <w:sz w:val="22"/>
                <w:szCs w:val="22"/>
              </w:rPr>
            </w:pPr>
          </w:p>
          <w:p>
            <w:pPr>
              <w:rPr>
                <w:sz w:val="22"/>
                <w:szCs w:val="22"/>
              </w:rPr>
            </w:pPr>
            <w:proofErr w:type="spellStart"/>
            <w:r>
              <w:rPr>
                <w:sz w:val="22"/>
                <w:szCs w:val="22"/>
              </w:rPr>
              <w:t>VPräs</w:t>
            </w:r>
            <w:proofErr w:type="spellEnd"/>
            <w:r>
              <w:rPr>
                <w:sz w:val="22"/>
                <w:szCs w:val="22"/>
              </w:rPr>
              <w:t xml:space="preserve">, ZBS7 (Herzog), AL1, FG14 (Arvand) </w:t>
            </w:r>
          </w:p>
          <w:p>
            <w:pPr>
              <w:rPr>
                <w:sz w:val="22"/>
                <w:szCs w:val="22"/>
              </w:rPr>
            </w:pPr>
          </w:p>
          <w:p>
            <w:pPr>
              <w:rPr>
                <w:sz w:val="22"/>
                <w:szCs w:val="22"/>
              </w:rPr>
            </w:pPr>
          </w:p>
          <w:p>
            <w:pPr>
              <w:rPr>
                <w:sz w:val="22"/>
                <w:szCs w:val="22"/>
              </w:rPr>
            </w:pP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b/>
                <w:i/>
                <w:sz w:val="22"/>
                <w:szCs w:val="22"/>
              </w:rPr>
            </w:pPr>
          </w:p>
        </w:tc>
      </w:tr>
      <w:tr>
        <w:tc>
          <w:tcPr>
            <w:tcW w:w="684" w:type="dxa"/>
          </w:tcPr>
          <w:p>
            <w:pPr>
              <w:rPr>
                <w:b/>
              </w:rPr>
            </w:pPr>
            <w:r>
              <w:rPr>
                <w:b/>
              </w:rPr>
              <w:t>8</w:t>
            </w:r>
          </w:p>
        </w:tc>
        <w:tc>
          <w:tcPr>
            <w:tcW w:w="6824" w:type="dxa"/>
          </w:tcPr>
          <w:p>
            <w:pPr>
              <w:spacing w:after="120" w:line="276" w:lineRule="auto"/>
              <w:rPr>
                <w:b/>
                <w:sz w:val="28"/>
              </w:rPr>
            </w:pPr>
            <w:r>
              <w:rPr>
                <w:b/>
                <w:sz w:val="28"/>
              </w:rPr>
              <w:t xml:space="preserve">Dokumente </w:t>
            </w:r>
            <w:r>
              <w:rPr>
                <w:b/>
                <w:i/>
                <w:color w:val="8DB3E2" w:themeColor="text2" w:themeTint="66"/>
                <w:sz w:val="22"/>
                <w:szCs w:val="22"/>
              </w:rPr>
              <w:t>(nur freitags)</w:t>
            </w:r>
          </w:p>
          <w:p>
            <w:pPr>
              <w:pStyle w:val="Liste2"/>
              <w:numPr>
                <w:ilvl w:val="0"/>
                <w:numId w:val="11"/>
              </w:numPr>
              <w:ind w:left="476"/>
            </w:pPr>
            <w:r>
              <w:rPr>
                <w:lang w:val="de-DE"/>
              </w:rPr>
              <w:t>Nicht besprochen</w:t>
            </w:r>
          </w:p>
          <w:p>
            <w:pPr>
              <w:pStyle w:val="Liste2"/>
              <w:numPr>
                <w:ilvl w:val="0"/>
                <w:numId w:val="0"/>
              </w:numPr>
            </w:pPr>
            <w:r>
              <w:rPr>
                <w:lang w:val="de-DE"/>
              </w:rPr>
              <w:t xml:space="preserve"> </w:t>
            </w:r>
          </w:p>
        </w:tc>
        <w:tc>
          <w:tcPr>
            <w:tcW w:w="1463" w:type="dxa"/>
          </w:tcPr>
          <w:p>
            <w:pPr>
              <w:rPr>
                <w:sz w:val="22"/>
                <w:szCs w:val="22"/>
              </w:rPr>
            </w:pPr>
          </w:p>
          <w:p>
            <w:pPr>
              <w:rPr>
                <w:sz w:val="22"/>
                <w:szCs w:val="22"/>
              </w:rPr>
            </w:pPr>
            <w:r>
              <w:rPr>
                <w:sz w:val="22"/>
                <w:szCs w:val="22"/>
              </w:rPr>
              <w:t>Alle</w:t>
            </w:r>
          </w:p>
          <w:p>
            <w:pPr>
              <w:rPr>
                <w:sz w:val="22"/>
                <w:szCs w:val="22"/>
                <w:lang w:val="en-US"/>
              </w:rPr>
            </w:pPr>
          </w:p>
        </w:tc>
      </w:tr>
      <w:tr>
        <w:tc>
          <w:tcPr>
            <w:tcW w:w="684" w:type="dxa"/>
          </w:tcPr>
          <w:p>
            <w:pPr>
              <w:rPr>
                <w:b/>
              </w:rPr>
            </w:pPr>
            <w:r>
              <w:rPr>
                <w:b/>
              </w:rPr>
              <w:t>9</w:t>
            </w:r>
          </w:p>
        </w:tc>
        <w:tc>
          <w:tcPr>
            <w:tcW w:w="6824" w:type="dxa"/>
          </w:tcPr>
          <w:p>
            <w:pPr>
              <w:spacing w:after="120" w:line="276" w:lineRule="auto"/>
              <w:rPr>
                <w:rStyle w:val="TagFrZchn"/>
              </w:rPr>
            </w:pPr>
            <w:r>
              <w:rPr>
                <w:rStyle w:val="1Zchn"/>
              </w:rPr>
              <w:t>Update Impfen</w:t>
            </w:r>
            <w:r>
              <w:rPr>
                <w:b/>
                <w:sz w:val="28"/>
              </w:rPr>
              <w:t xml:space="preserve"> </w:t>
            </w:r>
            <w:r>
              <w:rPr>
                <w:rStyle w:val="TagFrZchn"/>
              </w:rPr>
              <w:t>(nur freitags)</w:t>
            </w:r>
          </w:p>
          <w:p>
            <w:pPr>
              <w:pStyle w:val="Liste1"/>
            </w:pPr>
            <w:r>
              <w:t>Nicht besprochen</w:t>
            </w:r>
          </w:p>
          <w:p>
            <w:pPr>
              <w:pStyle w:val="Liste1"/>
              <w:numPr>
                <w:ilvl w:val="0"/>
                <w:numId w:val="0"/>
              </w:numPr>
              <w:ind w:left="473"/>
            </w:pPr>
          </w:p>
        </w:tc>
        <w:tc>
          <w:tcPr>
            <w:tcW w:w="1463" w:type="dxa"/>
          </w:tcPr>
          <w:p>
            <w:pPr>
              <w:rPr>
                <w:sz w:val="22"/>
                <w:szCs w:val="22"/>
              </w:rPr>
            </w:pPr>
          </w:p>
          <w:p>
            <w:pPr>
              <w:rPr>
                <w:sz w:val="22"/>
                <w:szCs w:val="22"/>
              </w:rPr>
            </w:pPr>
            <w:r>
              <w:rPr>
                <w:sz w:val="22"/>
                <w:szCs w:val="22"/>
              </w:rPr>
              <w:t>FG33</w:t>
            </w:r>
          </w:p>
        </w:tc>
      </w:tr>
      <w:tr>
        <w:tc>
          <w:tcPr>
            <w:tcW w:w="684" w:type="dxa"/>
          </w:tcPr>
          <w:p>
            <w:pPr>
              <w:rPr>
                <w:b/>
              </w:rPr>
            </w:pPr>
            <w:r>
              <w:rPr>
                <w:b/>
              </w:rPr>
              <w:t>10</w:t>
            </w:r>
          </w:p>
        </w:tc>
        <w:tc>
          <w:tcPr>
            <w:tcW w:w="6824" w:type="dxa"/>
          </w:tcPr>
          <w:p>
            <w:pPr>
              <w:pStyle w:val="1"/>
            </w:pPr>
            <w:r>
              <w:t xml:space="preserve">Labordiagnostik </w:t>
            </w:r>
            <w:r>
              <w:rPr>
                <w:i/>
                <w:color w:val="8DB3E2" w:themeColor="text2" w:themeTint="66"/>
                <w:sz w:val="22"/>
                <w:szCs w:val="22"/>
              </w:rPr>
              <w:t>(nur freitags)</w:t>
            </w:r>
          </w:p>
          <w:p>
            <w:pPr>
              <w:pStyle w:val="2"/>
            </w:pPr>
            <w:r>
              <w:t>FG17</w:t>
            </w:r>
          </w:p>
          <w:p>
            <w:pPr>
              <w:pStyle w:val="Liste1"/>
            </w:pPr>
            <w:r>
              <w:t>Nicht besprochen</w:t>
            </w:r>
          </w:p>
          <w:p>
            <w:pPr>
              <w:pStyle w:val="2"/>
            </w:pPr>
            <w:r>
              <w:t>ZBS1</w:t>
            </w:r>
          </w:p>
          <w:p>
            <w:pPr>
              <w:pStyle w:val="Liste1"/>
            </w:pPr>
            <w:r>
              <w:t>Nicht besprochen</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lastRenderedPageBreak/>
              <w:t>11</w:t>
            </w:r>
          </w:p>
        </w:tc>
        <w:tc>
          <w:tcPr>
            <w:tcW w:w="6824" w:type="dxa"/>
          </w:tcPr>
          <w:p>
            <w:pPr>
              <w:pStyle w:val="1"/>
            </w:pPr>
            <w:r>
              <w:t xml:space="preserve">Klinisches Management/Entlassungsmanagement </w:t>
            </w:r>
            <w:r>
              <w:rPr>
                <w:i/>
                <w:color w:val="8DB3E2" w:themeColor="text2" w:themeTint="66"/>
                <w:sz w:val="22"/>
                <w:szCs w:val="22"/>
              </w:rPr>
              <w:t>(nur freitags)</w:t>
            </w:r>
          </w:p>
          <w:p>
            <w:pPr>
              <w:pStyle w:val="Liste1"/>
            </w:pPr>
            <w:r>
              <w:t>Siehe unter „Strategie“</w:t>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ZBS7 </w:t>
            </w:r>
          </w:p>
        </w:tc>
      </w:tr>
      <w:tr>
        <w:tc>
          <w:tcPr>
            <w:tcW w:w="684" w:type="dxa"/>
          </w:tcPr>
          <w:p>
            <w:pPr>
              <w:rPr>
                <w:b/>
              </w:rPr>
            </w:pPr>
            <w:r>
              <w:rPr>
                <w:b/>
              </w:rPr>
              <w:t>12</w:t>
            </w:r>
          </w:p>
        </w:tc>
        <w:tc>
          <w:tcPr>
            <w:tcW w:w="6824" w:type="dxa"/>
          </w:tcPr>
          <w:p>
            <w:pPr>
              <w:pStyle w:val="1"/>
            </w:pPr>
            <w:r>
              <w:t xml:space="preserve">Maßnahmen zum Infektionsschutz </w:t>
            </w:r>
            <w:r>
              <w:rPr>
                <w:i/>
                <w:color w:val="8DB3E2" w:themeColor="text2" w:themeTint="66"/>
                <w:sz w:val="22"/>
                <w:szCs w:val="22"/>
              </w:rPr>
              <w:t>(nur freitags)</w:t>
            </w:r>
          </w:p>
          <w:p>
            <w:pPr>
              <w:pStyle w:val="Liste1"/>
              <w:rPr>
                <w:i/>
              </w:rPr>
            </w:pPr>
            <w:r>
              <w:t>Nicht besprochen</w:t>
            </w:r>
          </w:p>
        </w:tc>
        <w:tc>
          <w:tcPr>
            <w:tcW w:w="1463" w:type="dxa"/>
          </w:tcPr>
          <w:p>
            <w:pPr>
              <w:rPr>
                <w:sz w:val="22"/>
                <w:szCs w:val="22"/>
              </w:rPr>
            </w:pPr>
          </w:p>
          <w:p>
            <w:pPr>
              <w:rPr>
                <w:sz w:val="22"/>
                <w:szCs w:val="22"/>
              </w:rPr>
            </w:pPr>
            <w:r>
              <w:rPr>
                <w:sz w:val="22"/>
                <w:szCs w:val="22"/>
              </w:rPr>
              <w:t>FG14</w:t>
            </w:r>
          </w:p>
        </w:tc>
      </w:tr>
      <w:tr>
        <w:tc>
          <w:tcPr>
            <w:tcW w:w="684" w:type="dxa"/>
          </w:tcPr>
          <w:p>
            <w:pPr>
              <w:rPr>
                <w:b/>
              </w:rPr>
            </w:pPr>
            <w:r>
              <w:rPr>
                <w:b/>
              </w:rPr>
              <w:t>13</w:t>
            </w:r>
          </w:p>
        </w:tc>
        <w:tc>
          <w:tcPr>
            <w:tcW w:w="6824" w:type="dxa"/>
          </w:tcPr>
          <w:p>
            <w:pPr>
              <w:pStyle w:val="1"/>
              <w:rPr>
                <w:sz w:val="22"/>
              </w:rPr>
            </w:pPr>
            <w:r>
              <w:t xml:space="preserve">Surveillance </w:t>
            </w:r>
            <w:r>
              <w:rPr>
                <w:i/>
                <w:color w:val="8DB3E2" w:themeColor="text2" w:themeTint="66"/>
                <w:sz w:val="22"/>
                <w:szCs w:val="22"/>
              </w:rPr>
              <w:t>(nur freitags)</w:t>
            </w:r>
          </w:p>
          <w:p>
            <w:pPr>
              <w:pStyle w:val="Liste1"/>
            </w:pPr>
            <w:r>
              <w:t>Nicht besprochen</w:t>
            </w:r>
          </w:p>
        </w:tc>
        <w:tc>
          <w:tcPr>
            <w:tcW w:w="1463"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besprochen</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after="120"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besprochen</w:t>
            </w: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Austausch mit CDC (05.01.; 13-14 Uhr; TN: Fg17+FG36, BMG)</w:t>
            </w:r>
          </w:p>
          <w:p>
            <w:pPr>
              <w:pStyle w:val="Liste1"/>
              <w:numPr>
                <w:ilvl w:val="0"/>
                <w:numId w:val="0"/>
              </w:numPr>
              <w:ind w:left="473"/>
            </w:pPr>
            <w:r>
              <w:t xml:space="preserve">RKI wurde vom CDC zu Austausch angesprochen, zur Frage Isolierung/Quarantäne, </w:t>
            </w:r>
            <w:proofErr w:type="spellStart"/>
            <w:r>
              <w:t>syndromische</w:t>
            </w:r>
            <w:proofErr w:type="spellEnd"/>
            <w:r>
              <w:t xml:space="preserve"> Surveillance, Schwerpunkt Omikron, FG17 und FG36 und weitere nehmen teil.</w:t>
            </w:r>
          </w:p>
          <w:p>
            <w:pPr>
              <w:pStyle w:val="Liste1"/>
              <w:rPr>
                <w:lang w:val="en-US"/>
              </w:rPr>
            </w:pPr>
            <w:r>
              <w:rPr>
                <w:lang w:val="en-US"/>
              </w:rPr>
              <w:t xml:space="preserve">HSC Meeting (05.01.; 11-13 </w:t>
            </w:r>
            <w:proofErr w:type="spellStart"/>
            <w:r>
              <w:rPr>
                <w:lang w:val="en-US"/>
              </w:rPr>
              <w:t>Uhr</w:t>
            </w:r>
            <w:proofErr w:type="spellEnd"/>
            <w:r>
              <w:rPr>
                <w:lang w:val="en-US"/>
              </w:rPr>
              <w:t>; TN FG38, BMG)</w:t>
            </w:r>
          </w:p>
          <w:p>
            <w:pPr>
              <w:pStyle w:val="Liste1"/>
              <w:numPr>
                <w:ilvl w:val="0"/>
                <w:numId w:val="0"/>
              </w:numPr>
              <w:ind w:left="473"/>
            </w:pPr>
            <w:r>
              <w:t xml:space="preserve">Maria </w:t>
            </w:r>
            <w:proofErr w:type="gramStart"/>
            <w:r>
              <w:t>an der Heiden</w:t>
            </w:r>
            <w:proofErr w:type="gramEnd"/>
            <w:r>
              <w:t xml:space="preserve"> nimmt teil. Es gab eine Abfrage zur Quarantänedauer bei </w:t>
            </w:r>
            <w:r>
              <w:t xml:space="preserve">Omikron </w:t>
            </w:r>
            <w:bookmarkStart w:id="2" w:name="_GoBack"/>
            <w:r>
              <w:t xml:space="preserve">bei der sich das </w:t>
            </w:r>
            <w:bookmarkEnd w:id="2"/>
            <w:r>
              <w:t>BMG äußern wird.</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Freitag, 07.01.2021, 11:00 Uhr, via </w:t>
            </w:r>
            <w:proofErr w:type="spellStart"/>
            <w:r>
              <w:t>Webex</w:t>
            </w:r>
            <w:proofErr w:type="spellEnd"/>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13:15</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AAB"/>
    <w:multiLevelType w:val="hybridMultilevel"/>
    <w:tmpl w:val="A544A30E"/>
    <w:lvl w:ilvl="0" w:tplc="04070003">
      <w:start w:val="1"/>
      <w:numFmt w:val="bullet"/>
      <w:lvlText w:val="o"/>
      <w:lvlJc w:val="left"/>
      <w:pPr>
        <w:ind w:left="3600" w:hanging="360"/>
      </w:pPr>
      <w:rPr>
        <w:rFonts w:ascii="Courier New" w:hAnsi="Courier New" w:cs="Courier New" w:hint="default"/>
      </w:rPr>
    </w:lvl>
    <w:lvl w:ilvl="1" w:tplc="04070005">
      <w:start w:val="1"/>
      <w:numFmt w:val="bullet"/>
      <w:lvlText w:val=""/>
      <w:lvlJc w:val="left"/>
      <w:pPr>
        <w:ind w:left="4320" w:hanging="360"/>
      </w:pPr>
      <w:rPr>
        <w:rFonts w:ascii="Wingdings" w:hAnsi="Wingdings"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0A66140C"/>
    <w:multiLevelType w:val="hybridMultilevel"/>
    <w:tmpl w:val="73282D5A"/>
    <w:lvl w:ilvl="0" w:tplc="04070001">
      <w:start w:val="1"/>
      <w:numFmt w:val="bullet"/>
      <w:lvlText w:val=""/>
      <w:lvlJc w:val="left"/>
      <w:pPr>
        <w:ind w:left="833" w:hanging="360"/>
      </w:pPr>
      <w:rPr>
        <w:rFonts w:ascii="Symbol" w:hAnsi="Symbol"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AC5A26"/>
    <w:multiLevelType w:val="hybridMultilevel"/>
    <w:tmpl w:val="04EC384A"/>
    <w:lvl w:ilvl="0" w:tplc="EB4451E8">
      <w:start w:val="1"/>
      <w:numFmt w:val="bullet"/>
      <w:pStyle w:val="Liste1"/>
      <w:lvlText w:val=""/>
      <w:lvlJc w:val="left"/>
      <w:pPr>
        <w:ind w:left="473" w:hanging="360"/>
      </w:pPr>
      <w:rPr>
        <w:rFonts w:ascii="Symbol" w:hAnsi="Symbol" w:hint="default"/>
      </w:rPr>
    </w:lvl>
    <w:lvl w:ilvl="1" w:tplc="04070003">
      <w:start w:val="1"/>
      <w:numFmt w:val="bullet"/>
      <w:pStyle w:val="Liste3"/>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6EE2170"/>
    <w:multiLevelType w:val="hybridMultilevel"/>
    <w:tmpl w:val="0DBAD648"/>
    <w:lvl w:ilvl="0" w:tplc="04070001">
      <w:start w:val="1"/>
      <w:numFmt w:val="bullet"/>
      <w:lvlText w:val=""/>
      <w:lvlJc w:val="left"/>
      <w:pPr>
        <w:ind w:left="833" w:hanging="360"/>
      </w:pPr>
      <w:rPr>
        <w:rFonts w:ascii="Symbol" w:hAnsi="Symbol"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6" w15:restartNumberingAfterBreak="0">
    <w:nsid w:val="2958545E"/>
    <w:multiLevelType w:val="hybridMultilevel"/>
    <w:tmpl w:val="C77C636E"/>
    <w:lvl w:ilvl="0" w:tplc="0407000F">
      <w:start w:val="1"/>
      <w:numFmt w:val="decimal"/>
      <w:lvlText w:val="%1."/>
      <w:lvlJc w:val="left"/>
      <w:pPr>
        <w:ind w:left="833" w:hanging="360"/>
      </w:pPr>
      <w:rPr>
        <w:rFonts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7" w15:restartNumberingAfterBreak="0">
    <w:nsid w:val="2B397807"/>
    <w:multiLevelType w:val="hybridMultilevel"/>
    <w:tmpl w:val="4DC03620"/>
    <w:lvl w:ilvl="0" w:tplc="D49CFACC">
      <w:start w:val="1"/>
      <w:numFmt w:val="bullet"/>
      <w:pStyle w:val="3"/>
      <w:lvlText w:val=""/>
      <w:lvlJc w:val="left"/>
      <w:pPr>
        <w:ind w:left="501"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4A78A0"/>
    <w:multiLevelType w:val="hybridMultilevel"/>
    <w:tmpl w:val="E85E209E"/>
    <w:lvl w:ilvl="0" w:tplc="04070001">
      <w:start w:val="1"/>
      <w:numFmt w:val="bullet"/>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34F6731C"/>
    <w:multiLevelType w:val="hybridMultilevel"/>
    <w:tmpl w:val="DFB480F8"/>
    <w:lvl w:ilvl="0" w:tplc="04070001">
      <w:start w:val="1"/>
      <w:numFmt w:val="bullet"/>
      <w:lvlText w:val=""/>
      <w:lvlJc w:val="left"/>
      <w:pPr>
        <w:ind w:left="833" w:hanging="360"/>
      </w:pPr>
      <w:rPr>
        <w:rFonts w:ascii="Symbol" w:hAnsi="Symbol"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AB08AF"/>
    <w:multiLevelType w:val="hybridMultilevel"/>
    <w:tmpl w:val="F03CD36E"/>
    <w:lvl w:ilvl="0" w:tplc="4448E738">
      <w:start w:val="1"/>
      <w:numFmt w:val="bullet"/>
      <w:pStyle w:val="Liste2"/>
      <w:lvlText w:val="o"/>
      <w:lvlJc w:val="left"/>
      <w:pPr>
        <w:ind w:left="833" w:hanging="360"/>
      </w:pPr>
      <w:rPr>
        <w:rFonts w:ascii="Courier New" w:hAnsi="Courier New" w:cs="Courier New"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2" w15:restartNumberingAfterBreak="0">
    <w:nsid w:val="4B095C62"/>
    <w:multiLevelType w:val="hybridMultilevel"/>
    <w:tmpl w:val="1D98AA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7A4DA2"/>
    <w:multiLevelType w:val="hybridMultilevel"/>
    <w:tmpl w:val="1E2265C6"/>
    <w:lvl w:ilvl="0" w:tplc="04070001">
      <w:start w:val="1"/>
      <w:numFmt w:val="bullet"/>
      <w:lvlText w:val=""/>
      <w:lvlJc w:val="left"/>
      <w:pPr>
        <w:ind w:left="833" w:hanging="360"/>
      </w:pPr>
      <w:rPr>
        <w:rFonts w:ascii="Symbol" w:hAnsi="Symbol" w:hint="default"/>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4" w15:restartNumberingAfterBreak="0">
    <w:nsid w:val="732824AA"/>
    <w:multiLevelType w:val="hybridMultilevel"/>
    <w:tmpl w:val="A65EE3DA"/>
    <w:lvl w:ilvl="0" w:tplc="04070001">
      <w:start w:val="1"/>
      <w:numFmt w:val="bullet"/>
      <w:lvlText w:val=""/>
      <w:lvlJc w:val="left"/>
      <w:pPr>
        <w:ind w:left="833" w:hanging="360"/>
      </w:pPr>
      <w:rPr>
        <w:rFonts w:ascii="Symbol" w:hAnsi="Symbol"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num w:numId="1">
    <w:abstractNumId w:val="10"/>
  </w:num>
  <w:num w:numId="2">
    <w:abstractNumId w:val="3"/>
  </w:num>
  <w:num w:numId="3">
    <w:abstractNumId w:val="2"/>
  </w:num>
  <w:num w:numId="4">
    <w:abstractNumId w:val="12"/>
  </w:num>
  <w:num w:numId="5">
    <w:abstractNumId w:val="7"/>
  </w:num>
  <w:num w:numId="6">
    <w:abstractNumId w:val="4"/>
  </w:num>
  <w:num w:numId="7">
    <w:abstractNumId w:val="11"/>
  </w:num>
  <w:num w:numId="8">
    <w:abstractNumId w:val="0"/>
  </w:num>
  <w:num w:numId="9">
    <w:abstractNumId w:val="9"/>
  </w:num>
  <w:num w:numId="10">
    <w:abstractNumId w:val="13"/>
  </w:num>
  <w:num w:numId="11">
    <w:abstractNumId w:val="1"/>
  </w:num>
  <w:num w:numId="12">
    <w:abstractNumId w:val="6"/>
  </w:num>
  <w:num w:numId="13">
    <w:abstractNumId w:val="5"/>
  </w:num>
  <w:num w:numId="14">
    <w:abstractNumId w:val="8"/>
  </w:num>
  <w:num w:numId="1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05946129">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44755156">
      <w:bodyDiv w:val="1"/>
      <w:marLeft w:val="0"/>
      <w:marRight w:val="0"/>
      <w:marTop w:val="0"/>
      <w:marBottom w:val="0"/>
      <w:divBdr>
        <w:top w:val="none" w:sz="0" w:space="0" w:color="auto"/>
        <w:left w:val="none" w:sz="0" w:space="0" w:color="auto"/>
        <w:bottom w:val="none" w:sz="0" w:space="0" w:color="auto"/>
        <w:right w:val="none" w:sz="0" w:space="0" w:color="auto"/>
      </w:divBdr>
      <w:divsChild>
        <w:div w:id="737552017">
          <w:marLeft w:val="274"/>
          <w:marRight w:val="0"/>
          <w:marTop w:val="0"/>
          <w:marBottom w:val="0"/>
          <w:divBdr>
            <w:top w:val="none" w:sz="0" w:space="0" w:color="auto"/>
            <w:left w:val="none" w:sz="0" w:space="0" w:color="auto"/>
            <w:bottom w:val="none" w:sz="0" w:space="0" w:color="auto"/>
            <w:right w:val="none" w:sz="0" w:space="0" w:color="auto"/>
          </w:divBdr>
        </w:div>
        <w:div w:id="540897744">
          <w:marLeft w:val="274"/>
          <w:marRight w:val="0"/>
          <w:marTop w:val="0"/>
          <w:marBottom w:val="0"/>
          <w:divBdr>
            <w:top w:val="none" w:sz="0" w:space="0" w:color="auto"/>
            <w:left w:val="none" w:sz="0" w:space="0" w:color="auto"/>
            <w:bottom w:val="none" w:sz="0" w:space="0" w:color="auto"/>
            <w:right w:val="none" w:sz="0" w:space="0" w:color="auto"/>
          </w:divBdr>
        </w:div>
        <w:div w:id="1621381196">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4408338">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59586836">
      <w:bodyDiv w:val="1"/>
      <w:marLeft w:val="0"/>
      <w:marRight w:val="0"/>
      <w:marTop w:val="0"/>
      <w:marBottom w:val="0"/>
      <w:divBdr>
        <w:top w:val="none" w:sz="0" w:space="0" w:color="auto"/>
        <w:left w:val="none" w:sz="0" w:space="0" w:color="auto"/>
        <w:bottom w:val="none" w:sz="0" w:space="0" w:color="auto"/>
        <w:right w:val="none" w:sz="0" w:space="0" w:color="auto"/>
      </w:divBdr>
    </w:div>
    <w:div w:id="876814862">
      <w:bodyDiv w:val="1"/>
      <w:marLeft w:val="0"/>
      <w:marRight w:val="0"/>
      <w:marTop w:val="0"/>
      <w:marBottom w:val="0"/>
      <w:divBdr>
        <w:top w:val="none" w:sz="0" w:space="0" w:color="auto"/>
        <w:left w:val="none" w:sz="0" w:space="0" w:color="auto"/>
        <w:bottom w:val="none" w:sz="0" w:space="0" w:color="auto"/>
        <w:right w:val="none" w:sz="0" w:space="0" w:color="auto"/>
      </w:divBdr>
      <w:divsChild>
        <w:div w:id="1390373254">
          <w:marLeft w:val="547"/>
          <w:marRight w:val="0"/>
          <w:marTop w:val="86"/>
          <w:marBottom w:val="0"/>
          <w:divBdr>
            <w:top w:val="none" w:sz="0" w:space="0" w:color="auto"/>
            <w:left w:val="none" w:sz="0" w:space="0" w:color="auto"/>
            <w:bottom w:val="none" w:sz="0" w:space="0" w:color="auto"/>
            <w:right w:val="none" w:sz="0" w:space="0" w:color="auto"/>
          </w:divBdr>
        </w:div>
        <w:div w:id="1829470130">
          <w:marLeft w:val="547"/>
          <w:marRight w:val="0"/>
          <w:marTop w:val="86"/>
          <w:marBottom w:val="0"/>
          <w:divBdr>
            <w:top w:val="none" w:sz="0" w:space="0" w:color="auto"/>
            <w:left w:val="none" w:sz="0" w:space="0" w:color="auto"/>
            <w:bottom w:val="none" w:sz="0" w:space="0" w:color="auto"/>
            <w:right w:val="none" w:sz="0" w:space="0" w:color="auto"/>
          </w:divBdr>
        </w:div>
        <w:div w:id="2079329244">
          <w:marLeft w:val="1166"/>
          <w:marRight w:val="0"/>
          <w:marTop w:val="86"/>
          <w:marBottom w:val="0"/>
          <w:divBdr>
            <w:top w:val="none" w:sz="0" w:space="0" w:color="auto"/>
            <w:left w:val="none" w:sz="0" w:space="0" w:color="auto"/>
            <w:bottom w:val="none" w:sz="0" w:space="0" w:color="auto"/>
            <w:right w:val="none" w:sz="0" w:space="0" w:color="auto"/>
          </w:divBdr>
        </w:div>
        <w:div w:id="361058637">
          <w:marLeft w:val="547"/>
          <w:marRight w:val="0"/>
          <w:marTop w:val="86"/>
          <w:marBottom w:val="0"/>
          <w:divBdr>
            <w:top w:val="none" w:sz="0" w:space="0" w:color="auto"/>
            <w:left w:val="none" w:sz="0" w:space="0" w:color="auto"/>
            <w:bottom w:val="none" w:sz="0" w:space="0" w:color="auto"/>
            <w:right w:val="none" w:sz="0" w:space="0" w:color="auto"/>
          </w:divBdr>
        </w:div>
        <w:div w:id="564603346">
          <w:marLeft w:val="1166"/>
          <w:marRight w:val="0"/>
          <w:marTop w:val="86"/>
          <w:marBottom w:val="0"/>
          <w:divBdr>
            <w:top w:val="none" w:sz="0" w:space="0" w:color="auto"/>
            <w:left w:val="none" w:sz="0" w:space="0" w:color="auto"/>
            <w:bottom w:val="none" w:sz="0" w:space="0" w:color="auto"/>
            <w:right w:val="none" w:sz="0" w:space="0" w:color="auto"/>
          </w:divBdr>
        </w:div>
        <w:div w:id="1958488458">
          <w:marLeft w:val="547"/>
          <w:marRight w:val="0"/>
          <w:marTop w:val="86"/>
          <w:marBottom w:val="0"/>
          <w:divBdr>
            <w:top w:val="none" w:sz="0" w:space="0" w:color="auto"/>
            <w:left w:val="none" w:sz="0" w:space="0" w:color="auto"/>
            <w:bottom w:val="none" w:sz="0" w:space="0" w:color="auto"/>
            <w:right w:val="none" w:sz="0" w:space="0" w:color="auto"/>
          </w:divBdr>
        </w:div>
      </w:divsChild>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21203200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49187773">
      <w:bodyDiv w:val="1"/>
      <w:marLeft w:val="0"/>
      <w:marRight w:val="0"/>
      <w:marTop w:val="0"/>
      <w:marBottom w:val="0"/>
      <w:divBdr>
        <w:top w:val="none" w:sz="0" w:space="0" w:color="auto"/>
        <w:left w:val="none" w:sz="0" w:space="0" w:color="auto"/>
        <w:bottom w:val="none" w:sz="0" w:space="0" w:color="auto"/>
        <w:right w:val="none" w:sz="0" w:space="0" w:color="auto"/>
      </w:divBdr>
      <w:divsChild>
        <w:div w:id="156505532">
          <w:marLeft w:val="274"/>
          <w:marRight w:val="0"/>
          <w:marTop w:val="0"/>
          <w:marBottom w:val="0"/>
          <w:divBdr>
            <w:top w:val="none" w:sz="0" w:space="0" w:color="auto"/>
            <w:left w:val="none" w:sz="0" w:space="0" w:color="auto"/>
            <w:bottom w:val="none" w:sz="0" w:space="0" w:color="auto"/>
            <w:right w:val="none" w:sz="0" w:space="0" w:color="auto"/>
          </w:divBdr>
        </w:div>
      </w:divsChild>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rki.local\daten\Wissdaten\RKI_nCoV-Lage\1.Lagemanagement\1.3.Besprechungen_TKs\1.Lage_AG\2022-01-05_Lage-AG\syndrom-ARE-SARI-COVID_bis_KW52_2021_f&#252;r-Krisenstab.pptx" TargetMode="External"/><Relationship Id="rId18" Type="http://schemas.openxmlformats.org/officeDocument/2006/relationships/hyperlink" Target="file:///\\rki.local\daten\Wissdaten\RKI_nCoV-Lage\1.Lagemanagement\1.3.Besprechungen_TKs\1.Lage_AG\2022-01-05_Lage-AG\RKI-Risikobewertung-zu-COVID_2022-01-05-Krisenstab-&#196;nderungsmodus.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rki.local\daten\Wissdaten\RKI_nCoV-Lage\1.Lagemanagement\1.3.Besprechungen_TKs\1.Lage_AG\2022-01-05_Lage-AG\Testzahlerfassung%20am%20RKI_2022_01-05.pptx" TargetMode="External"/><Relationship Id="rId17" Type="http://schemas.openxmlformats.org/officeDocument/2006/relationships/hyperlink" Target="file:///\\rki.local\daten\Wissdaten\RKI_nCoV-Lage\1.Lagemanagement\1.3.Besprechungen_TKs\1.Lage_AG\2022-01-05_Lage-AG\COVID-19_internat.%20Lage_2022-01-05.pptx" TargetMode="External"/><Relationship Id="rId2" Type="http://schemas.openxmlformats.org/officeDocument/2006/relationships/numbering" Target="numbering.xml"/><Relationship Id="rId16" Type="http://schemas.openxmlformats.org/officeDocument/2006/relationships/hyperlink" Target="file:///\\rki.local\daten\Wissdaten\RKI_nCoV-Lage\1.Lagemanagement\1.3.Besprechungen_TKs\1.Lage_AG\2022-01-05_Lage-AG\2022-01-05_Intensivregister_SPoCK.ppt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2-01-05_Lage-AG\LageNational_2022-01-05.pptx" TargetMode="External"/><Relationship Id="rId5" Type="http://schemas.openxmlformats.org/officeDocument/2006/relationships/webSettings" Target="webSettings.xml"/><Relationship Id="rId15" Type="http://schemas.openxmlformats.org/officeDocument/2006/relationships/hyperlink" Target="file:///\\rki.local\daten\Wissdaten\RKI_nCoV-Lage\1.Lagemanagement\1.3.Besprechungen_TKs\1.Lage_AG\2022-01-05_Lage-AG\VOC20220105_LageAG.pptx"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rki.local\daten\Wissdaten\RKI_nCoV-Lage\1.Lagemanagement\1.3.Besprechungen_TKs\1.Lage_AG\2022-01-05_Lage-AG\syndrom-ARE-SARI-COVID_bis_KW52_2021_f&#252;r-Krisenstab.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C57E0-4F6E-4777-91AD-94B427C1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2864</Words>
  <Characters>18045</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Litzba, Nadine</cp:lastModifiedBy>
  <cp:revision>3</cp:revision>
  <cp:lastPrinted>2020-05-06T16:43:00Z</cp:lastPrinted>
  <dcterms:created xsi:type="dcterms:W3CDTF">2022-01-05T19:53:00Z</dcterms:created>
  <dcterms:modified xsi:type="dcterms:W3CDTF">2022-01-06T08:10:00Z</dcterms:modified>
</cp:coreProperties>
</file>