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19.01.2022,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spacing w:after="0"/>
        <w:contextualSpacing w:val="0"/>
        <w:rPr>
          <w:sz w:val="22"/>
          <w:szCs w:val="22"/>
        </w:rPr>
      </w:pPr>
    </w:p>
    <w:p>
      <w:pPr>
        <w:pStyle w:val="Listenabsatz"/>
        <w:spacing w:after="0"/>
        <w:contextualSpacing w:val="0"/>
        <w:rPr>
          <w:sz w:val="22"/>
          <w:szCs w:val="22"/>
        </w:rPr>
      </w:pPr>
    </w:p>
    <w:p>
      <w:pPr>
        <w:pStyle w:val="Listenabsatz"/>
        <w:spacing w:after="0"/>
        <w:contextualSpacing w:val="0"/>
        <w:rPr>
          <w:sz w:val="22"/>
          <w:szCs w:val="22"/>
        </w:rPr>
      </w:pP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Luise Goerlitz</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1"/>
          <w:numId w:val="2"/>
        </w:numPr>
        <w:spacing w:after="0"/>
        <w:contextualSpacing w:val="0"/>
        <w:rPr>
          <w:sz w:val="22"/>
          <w:szCs w:val="22"/>
        </w:rPr>
      </w:pPr>
      <w:r>
        <w:rPr>
          <w:sz w:val="22"/>
          <w:szCs w:val="22"/>
        </w:rPr>
        <w:t>Sebastian Haller</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Christian Wittke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8"/>
        </w:numPr>
        <w:spacing w:after="0"/>
        <w:contextualSpacing w:val="0"/>
        <w:rPr>
          <w:sz w:val="22"/>
          <w:szCs w:val="22"/>
        </w:rPr>
      </w:pPr>
      <w:r>
        <w:rPr>
          <w:sz w:val="22"/>
          <w:szCs w:val="22"/>
        </w:rPr>
        <w:t>Christian Herzog</w:t>
      </w:r>
    </w:p>
    <w:p>
      <w:pPr>
        <w:pStyle w:val="Listenabsatz"/>
        <w:numPr>
          <w:ilvl w:val="1"/>
          <w:numId w:val="8"/>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MF 2</w:t>
      </w:r>
    </w:p>
    <w:p>
      <w:pPr>
        <w:pStyle w:val="Listenabsatz"/>
        <w:numPr>
          <w:ilvl w:val="1"/>
          <w:numId w:val="9"/>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MF4</w:t>
      </w:r>
    </w:p>
    <w:p>
      <w:pPr>
        <w:pStyle w:val="Listenabsatz"/>
        <w:numPr>
          <w:ilvl w:val="1"/>
          <w:numId w:val="10"/>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P4</w:t>
      </w:r>
    </w:p>
    <w:p>
      <w:pPr>
        <w:pStyle w:val="Listenabsatz"/>
        <w:numPr>
          <w:ilvl w:val="1"/>
          <w:numId w:val="11"/>
        </w:numPr>
        <w:spacing w:after="0"/>
        <w:rPr>
          <w:sz w:val="22"/>
        </w:rPr>
      </w:pPr>
      <w:r>
        <w:rPr>
          <w:sz w:val="22"/>
        </w:rPr>
        <w:t xml:space="preserve">Susanne Gottwald </w:t>
      </w:r>
    </w:p>
    <w:p>
      <w:pPr>
        <w:pStyle w:val="Listenabsatz"/>
        <w:numPr>
          <w:ilvl w:val="0"/>
          <w:numId w:val="3"/>
        </w:numPr>
        <w:spacing w:after="0"/>
        <w:contextualSpacing w:val="0"/>
        <w:rPr>
          <w:sz w:val="22"/>
          <w:szCs w:val="22"/>
        </w:rPr>
      </w:pPr>
      <w:r>
        <w:rPr>
          <w:sz w:val="22"/>
          <w:szCs w:val="22"/>
        </w:rPr>
        <w:t>Presse</w:t>
      </w:r>
    </w:p>
    <w:p>
      <w:pPr>
        <w:pStyle w:val="Listenabsatz"/>
        <w:numPr>
          <w:ilvl w:val="1"/>
          <w:numId w:val="12"/>
        </w:numPr>
        <w:rPr>
          <w:sz w:val="22"/>
          <w:szCs w:val="22"/>
        </w:rPr>
      </w:pPr>
      <w:r>
        <w:rPr>
          <w:sz w:val="22"/>
          <w:szCs w:val="22"/>
        </w:rPr>
        <w:t xml:space="preserve">Ronja Wenchel </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pStyle w:val="2"/>
            </w:pPr>
            <w:r>
              <w:t xml:space="preserve">National </w:t>
            </w:r>
          </w:p>
          <w:p>
            <w:pPr>
              <w:pStyle w:val="Liste2"/>
              <w:numPr>
                <w:ilvl w:val="0"/>
                <w:numId w:val="13"/>
              </w:numPr>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1" w:history="1">
              <w:proofErr w:type="spellStart"/>
              <w:r>
                <w:rPr>
                  <w:rStyle w:val="Hyperlink"/>
                </w:rPr>
                <w:t>hier</w:t>
              </w:r>
              <w:proofErr w:type="spellEnd"/>
            </w:hyperlink>
          </w:p>
          <w:p>
            <w:pPr>
              <w:pStyle w:val="Liste2"/>
              <w:numPr>
                <w:ilvl w:val="0"/>
                <w:numId w:val="13"/>
              </w:numPr>
              <w:rPr>
                <w:lang w:val="de-DE"/>
              </w:rPr>
            </w:pPr>
            <w:proofErr w:type="spellStart"/>
            <w:r>
              <w:rPr>
                <w:lang w:val="de-DE"/>
              </w:rPr>
              <w:t>SurvNet</w:t>
            </w:r>
            <w:proofErr w:type="spellEnd"/>
            <w:r>
              <w:rPr>
                <w:lang w:val="de-DE"/>
              </w:rPr>
              <w:t xml:space="preserve"> übermittelt: 8.186.850 (+112.323), davon 116.081 (+239) Todesfälle </w:t>
            </w:r>
          </w:p>
          <w:p>
            <w:pPr>
              <w:pStyle w:val="Liste2"/>
              <w:numPr>
                <w:ilvl w:val="0"/>
                <w:numId w:val="13"/>
              </w:numPr>
            </w:pPr>
            <w:r>
              <w:t xml:space="preserve">7-Tage-Inzidenz:  584,4/100.000 </w:t>
            </w:r>
            <w:proofErr w:type="spellStart"/>
            <w:r>
              <w:t>Einw</w:t>
            </w:r>
            <w:proofErr w:type="spellEnd"/>
            <w:r>
              <w:t>.</w:t>
            </w:r>
          </w:p>
          <w:p>
            <w:pPr>
              <w:pStyle w:val="Liste2"/>
              <w:numPr>
                <w:ilvl w:val="0"/>
                <w:numId w:val="13"/>
              </w:numPr>
              <w:rPr>
                <w:lang w:val="de-DE"/>
              </w:rPr>
            </w:pPr>
            <w:r>
              <w:rPr>
                <w:lang w:val="de-DE"/>
              </w:rPr>
              <w:t>DIVI Intensivregister 2.664 (-80) in Behandlung</w:t>
            </w:r>
          </w:p>
          <w:p>
            <w:pPr>
              <w:pStyle w:val="Liste2"/>
              <w:numPr>
                <w:ilvl w:val="0"/>
                <w:numId w:val="13"/>
              </w:numPr>
              <w:rPr>
                <w:lang w:val="de-DE"/>
              </w:rPr>
            </w:pPr>
            <w:proofErr w:type="spellStart"/>
            <w:r>
              <w:rPr>
                <w:lang w:val="de-DE"/>
              </w:rPr>
              <w:t>Impfmonitoring</w:t>
            </w:r>
            <w:proofErr w:type="spellEnd"/>
            <w:r>
              <w:rPr>
                <w:lang w:val="de-DE"/>
              </w:rPr>
              <w:t>: Geimpfte mit 1. Dosis 62.530.950 (75,2%), mit vollständiger Impfung 60.652.751 (72,9%),</w:t>
            </w:r>
          </w:p>
          <w:p>
            <w:pPr>
              <w:pStyle w:val="Liste2"/>
              <w:numPr>
                <w:ilvl w:val="0"/>
                <w:numId w:val="0"/>
              </w:numPr>
              <w:ind w:left="833"/>
              <w:rPr>
                <w:lang w:val="de-DE"/>
              </w:rPr>
            </w:pPr>
            <w:r>
              <w:rPr>
                <w:lang w:val="de-DE"/>
              </w:rPr>
              <w:t xml:space="preserve">Auffrischimpfungen 40.139.877 (48,3%) </w:t>
            </w:r>
          </w:p>
          <w:p>
            <w:pPr>
              <w:pStyle w:val="Liste2"/>
              <w:numPr>
                <w:ilvl w:val="0"/>
                <w:numId w:val="13"/>
              </w:numPr>
              <w:rPr>
                <w:lang w:val="de-DE"/>
              </w:rPr>
            </w:pPr>
            <w:r>
              <w:rPr>
                <w:lang w:val="de-DE"/>
              </w:rPr>
              <w:t>Meldungsaufkommen mit aktuellen Rekordwerten</w:t>
            </w:r>
          </w:p>
          <w:p>
            <w:pPr>
              <w:pStyle w:val="Liste2"/>
              <w:numPr>
                <w:ilvl w:val="0"/>
                <w:numId w:val="13"/>
              </w:numPr>
              <w:rPr>
                <w:lang w:val="de-DE"/>
              </w:rPr>
            </w:pPr>
            <w:r>
              <w:rPr>
                <w:lang w:val="de-DE"/>
              </w:rPr>
              <w:t>Starker Anstieg der 7-Tages Inzidenz</w:t>
            </w:r>
          </w:p>
          <w:p>
            <w:pPr>
              <w:pStyle w:val="Liste2"/>
              <w:numPr>
                <w:ilvl w:val="0"/>
                <w:numId w:val="13"/>
              </w:numPr>
              <w:rPr>
                <w:lang w:val="de-DE"/>
              </w:rPr>
            </w:pPr>
            <w:r>
              <w:rPr>
                <w:lang w:val="de-DE"/>
              </w:rPr>
              <w:t>Verlauf der 7-Tage-Inzidenz der Bundesländer:</w:t>
            </w:r>
          </w:p>
          <w:p>
            <w:pPr>
              <w:pStyle w:val="Liste3"/>
              <w:numPr>
                <w:ilvl w:val="1"/>
                <w:numId w:val="13"/>
              </w:numPr>
            </w:pPr>
            <w:r>
              <w:t>Höchste Werte in Bremen, Berlin und Hamburg</w:t>
            </w:r>
          </w:p>
          <w:p>
            <w:pPr>
              <w:pStyle w:val="Liste3"/>
              <w:numPr>
                <w:ilvl w:val="1"/>
                <w:numId w:val="13"/>
              </w:numPr>
            </w:pPr>
            <w:r>
              <w:t>In allen BL außer Sachsen-Anhalt, Sachsen und Thüringen sind Anstiege erkennbar</w:t>
            </w:r>
          </w:p>
          <w:p>
            <w:pPr>
              <w:pStyle w:val="Liste3"/>
              <w:numPr>
                <w:ilvl w:val="0"/>
                <w:numId w:val="13"/>
              </w:numPr>
            </w:pPr>
            <w:r>
              <w:t>Geografische Verteilung 7-Tage Inzidenz nach Landkreis</w:t>
            </w:r>
          </w:p>
          <w:p>
            <w:pPr>
              <w:pStyle w:val="Liste3"/>
              <w:numPr>
                <w:ilvl w:val="1"/>
                <w:numId w:val="13"/>
              </w:numPr>
            </w:pPr>
            <w:r>
              <w:t>Nördliche und südliche BL mit höchsten Werten</w:t>
            </w:r>
          </w:p>
          <w:p>
            <w:pPr>
              <w:pStyle w:val="Liste3"/>
              <w:numPr>
                <w:ilvl w:val="1"/>
                <w:numId w:val="13"/>
              </w:numPr>
            </w:pPr>
            <w:r>
              <w:t>Allerdings auch viele LK in NRW, Hessen, RLP, BY, BW mit hohen Inzidenzen</w:t>
            </w:r>
          </w:p>
          <w:p>
            <w:pPr>
              <w:pStyle w:val="Liste3"/>
              <w:numPr>
                <w:ilvl w:val="1"/>
                <w:numId w:val="13"/>
              </w:numPr>
            </w:pPr>
            <w:r>
              <w:t>Mehr als die Hälfte aller LK (218) weisen eine 7-Tages</w:t>
            </w:r>
            <w:bookmarkStart w:id="1" w:name="_GoBack"/>
            <w:r>
              <w:t>-</w:t>
            </w:r>
            <w:bookmarkEnd w:id="1"/>
            <w:r>
              <w:t xml:space="preserve">Inzidenz von über 500/100.000 </w:t>
            </w:r>
            <w:proofErr w:type="spellStart"/>
            <w:r>
              <w:t>Ew</w:t>
            </w:r>
            <w:proofErr w:type="spellEnd"/>
            <w:r>
              <w:t xml:space="preserve"> auf. Kein LK mit 7-Tages-Inzidenz unter 100/100.000 </w:t>
            </w:r>
            <w:proofErr w:type="spellStart"/>
            <w:r>
              <w:t>Ew</w:t>
            </w:r>
            <w:proofErr w:type="spellEnd"/>
            <w:r>
              <w:t>.</w:t>
            </w:r>
          </w:p>
          <w:p>
            <w:pPr>
              <w:pStyle w:val="Liste2"/>
              <w:numPr>
                <w:ilvl w:val="0"/>
                <w:numId w:val="13"/>
              </w:numPr>
              <w:rPr>
                <w:lang w:val="de-DE"/>
              </w:rPr>
            </w:pPr>
            <w:r>
              <w:rPr>
                <w:lang w:val="de-DE"/>
              </w:rPr>
              <w:t>Inzidenz nach Altersgruppe und Meldewoche (</w:t>
            </w:r>
            <w:proofErr w:type="spellStart"/>
            <w:r>
              <w:rPr>
                <w:lang w:val="de-DE"/>
              </w:rPr>
              <w:t>Heatmap</w:t>
            </w:r>
            <w:proofErr w:type="spellEnd"/>
            <w:r>
              <w:rPr>
                <w:lang w:val="de-DE"/>
              </w:rPr>
              <w:t>)</w:t>
            </w:r>
          </w:p>
          <w:p>
            <w:pPr>
              <w:pStyle w:val="Liste2"/>
              <w:numPr>
                <w:ilvl w:val="1"/>
                <w:numId w:val="13"/>
              </w:numPr>
              <w:rPr>
                <w:lang w:val="de-DE"/>
              </w:rPr>
            </w:pPr>
            <w:r>
              <w:rPr>
                <w:lang w:val="de-DE"/>
              </w:rPr>
              <w:t>Deutliche Anstiege bei Kindern: Teilweise Verdopplungen der Inzidenzen</w:t>
            </w:r>
          </w:p>
          <w:p>
            <w:pPr>
              <w:pStyle w:val="Liste2"/>
              <w:numPr>
                <w:ilvl w:val="1"/>
                <w:numId w:val="13"/>
              </w:numPr>
              <w:rPr>
                <w:lang w:val="de-DE"/>
              </w:rPr>
            </w:pPr>
            <w:r>
              <w:rPr>
                <w:lang w:val="de-DE"/>
              </w:rPr>
              <w:t>Starke Anstiege in jüngeren Altersgruppen, bei den Älteren eher stabile Werte</w:t>
            </w:r>
          </w:p>
          <w:p>
            <w:pPr>
              <w:pStyle w:val="Liste2"/>
              <w:numPr>
                <w:ilvl w:val="0"/>
                <w:numId w:val="13"/>
              </w:numPr>
              <w:rPr>
                <w:lang w:val="de-DE"/>
              </w:rPr>
            </w:pPr>
            <w:r>
              <w:rPr>
                <w:lang w:val="de-DE"/>
              </w:rPr>
              <w:t>COVID-19 Todesfälle nach Altersgruppe und Sterbewoche</w:t>
            </w:r>
          </w:p>
          <w:p>
            <w:pPr>
              <w:pStyle w:val="Liste2"/>
              <w:numPr>
                <w:ilvl w:val="1"/>
                <w:numId w:val="13"/>
              </w:numPr>
              <w:rPr>
                <w:lang w:val="de-DE"/>
              </w:rPr>
            </w:pPr>
            <w:r>
              <w:rPr>
                <w:lang w:val="de-DE"/>
              </w:rPr>
              <w:t>Kein Anstieg erkennbar, jedoch Zeitverzug erwartet, Anstieg kann noch kommen, insb. wenn ältere Altersgruppen verstärkt betroffen sind</w:t>
            </w:r>
          </w:p>
          <w:p>
            <w:pPr>
              <w:pStyle w:val="Liste2"/>
              <w:numPr>
                <w:ilvl w:val="0"/>
                <w:numId w:val="0"/>
              </w:numPr>
              <w:ind w:left="833" w:hanging="360"/>
              <w:rPr>
                <w:lang w:val="de-DE"/>
              </w:rPr>
            </w:pPr>
          </w:p>
          <w:p>
            <w:pPr>
              <w:pStyle w:val="Liste2"/>
              <w:numPr>
                <w:ilvl w:val="0"/>
                <w:numId w:val="0"/>
              </w:numPr>
              <w:ind w:left="833" w:hanging="360"/>
              <w:rPr>
                <w:b/>
              </w:rPr>
            </w:pPr>
            <w:proofErr w:type="spellStart"/>
            <w:r>
              <w:rPr>
                <w:b/>
              </w:rPr>
              <w:t>Zahlen</w:t>
            </w:r>
            <w:proofErr w:type="spellEnd"/>
            <w:r>
              <w:rPr>
                <w:b/>
              </w:rPr>
              <w:t xml:space="preserve"> </w:t>
            </w:r>
            <w:proofErr w:type="spellStart"/>
            <w:r>
              <w:rPr>
                <w:b/>
              </w:rPr>
              <w:t>zum</w:t>
            </w:r>
            <w:proofErr w:type="spellEnd"/>
            <w:r>
              <w:rPr>
                <w:b/>
              </w:rPr>
              <w:t xml:space="preserve"> DIVI-</w:t>
            </w:r>
            <w:proofErr w:type="spellStart"/>
            <w:r>
              <w:rPr>
                <w:b/>
              </w:rPr>
              <w:t>Intensivregister</w:t>
            </w:r>
            <w:proofErr w:type="spellEnd"/>
          </w:p>
          <w:p>
            <w:pPr>
              <w:pStyle w:val="Liste2"/>
              <w:numPr>
                <w:ilvl w:val="0"/>
                <w:numId w:val="0"/>
              </w:numPr>
              <w:ind w:left="833" w:hanging="360"/>
              <w:rPr>
                <w:b/>
              </w:rPr>
            </w:pPr>
          </w:p>
          <w:p>
            <w:pPr>
              <w:pStyle w:val="Liste2"/>
              <w:numPr>
                <w:ilvl w:val="0"/>
                <w:numId w:val="13"/>
              </w:numPr>
            </w:pPr>
            <w:proofErr w:type="spellStart"/>
            <w:r>
              <w:t>Folien</w:t>
            </w:r>
            <w:proofErr w:type="spellEnd"/>
            <w:r>
              <w:t xml:space="preserve"> </w:t>
            </w:r>
            <w:hyperlink r:id="rId12" w:history="1">
              <w:proofErr w:type="spellStart"/>
              <w:r>
                <w:rPr>
                  <w:rStyle w:val="Hyperlink"/>
                </w:rPr>
                <w:t>hier</w:t>
              </w:r>
              <w:proofErr w:type="spellEnd"/>
            </w:hyperlink>
          </w:p>
          <w:p>
            <w:pPr>
              <w:pStyle w:val="Liste2"/>
              <w:numPr>
                <w:ilvl w:val="0"/>
                <w:numId w:val="13"/>
              </w:numPr>
            </w:pPr>
            <w:proofErr w:type="spellStart"/>
            <w:r>
              <w:t>Behandelte</w:t>
            </w:r>
            <w:proofErr w:type="spellEnd"/>
            <w:r>
              <w:t xml:space="preserve"> COVID-19 </w:t>
            </w:r>
            <w:proofErr w:type="spellStart"/>
            <w:r>
              <w:t>Fälle</w:t>
            </w:r>
            <w:proofErr w:type="spellEnd"/>
            <w:r>
              <w:t>/</w:t>
            </w:r>
            <w:proofErr w:type="spellStart"/>
            <w:r>
              <w:t>Neuaufnahmen</w:t>
            </w:r>
            <w:proofErr w:type="spellEnd"/>
          </w:p>
          <w:p>
            <w:pPr>
              <w:pStyle w:val="Liste2"/>
              <w:numPr>
                <w:ilvl w:val="1"/>
                <w:numId w:val="13"/>
              </w:numPr>
              <w:rPr>
                <w:lang w:val="de-DE"/>
              </w:rPr>
            </w:pPr>
            <w:r>
              <w:rPr>
                <w:lang w:val="de-DE"/>
              </w:rPr>
              <w:t>2.573 Personen auf ITS behandelt (Stand 19.01.2022)</w:t>
            </w:r>
          </w:p>
          <w:p>
            <w:pPr>
              <w:pStyle w:val="Liste2"/>
              <w:numPr>
                <w:ilvl w:val="1"/>
                <w:numId w:val="13"/>
              </w:numPr>
              <w:rPr>
                <w:lang w:val="de-DE"/>
              </w:rPr>
            </w:pPr>
            <w:r>
              <w:rPr>
                <w:lang w:val="de-DE"/>
              </w:rPr>
              <w:t>In vielen BL Reduktion der COVID-ITS-Belegung</w:t>
            </w:r>
          </w:p>
          <w:p>
            <w:pPr>
              <w:pStyle w:val="Liste2"/>
              <w:numPr>
                <w:ilvl w:val="1"/>
                <w:numId w:val="13"/>
              </w:numPr>
              <w:rPr>
                <w:lang w:val="de-DE"/>
              </w:rPr>
            </w:pPr>
            <w:r>
              <w:rPr>
                <w:lang w:val="de-DE"/>
              </w:rPr>
              <w:t>1.029 Neuaufnahmen auf ITS in den letzten 7 Tagen</w:t>
            </w:r>
          </w:p>
          <w:p>
            <w:pPr>
              <w:pStyle w:val="Liste2"/>
              <w:numPr>
                <w:ilvl w:val="1"/>
                <w:numId w:val="13"/>
              </w:numPr>
              <w:rPr>
                <w:lang w:val="de-DE"/>
              </w:rPr>
            </w:pPr>
            <w:r>
              <w:rPr>
                <w:lang w:val="de-DE"/>
              </w:rPr>
              <w:t>Todeszahlen weiterhin sinkend</w:t>
            </w:r>
          </w:p>
          <w:p>
            <w:pPr>
              <w:pStyle w:val="Listenabsatz"/>
              <w:numPr>
                <w:ilvl w:val="0"/>
                <w:numId w:val="13"/>
              </w:numPr>
              <w:rPr>
                <w:sz w:val="22"/>
                <w:szCs w:val="22"/>
              </w:rPr>
            </w:pPr>
            <w:r>
              <w:rPr>
                <w:sz w:val="22"/>
                <w:szCs w:val="22"/>
              </w:rPr>
              <w:t>Anteil der COVID-19-Patient an der Gesamtzahl betreibbarer ITS-Betten</w:t>
            </w:r>
          </w:p>
          <w:p>
            <w:pPr>
              <w:pStyle w:val="Listenabsatz"/>
              <w:numPr>
                <w:ilvl w:val="1"/>
                <w:numId w:val="13"/>
              </w:numPr>
              <w:rPr>
                <w:sz w:val="22"/>
                <w:szCs w:val="22"/>
              </w:rPr>
            </w:pPr>
            <w:r>
              <w:rPr>
                <w:sz w:val="22"/>
                <w:szCs w:val="22"/>
              </w:rPr>
              <w:t>In den meisten BL Rückgang oder Plateau (HB, SH, HH, BE, MV)</w:t>
            </w:r>
          </w:p>
          <w:p>
            <w:pPr>
              <w:pStyle w:val="Listenabsatz"/>
              <w:numPr>
                <w:ilvl w:val="1"/>
                <w:numId w:val="13"/>
              </w:numPr>
              <w:rPr>
                <w:sz w:val="22"/>
                <w:szCs w:val="22"/>
              </w:rPr>
            </w:pPr>
            <w:r>
              <w:rPr>
                <w:sz w:val="22"/>
                <w:szCs w:val="22"/>
              </w:rPr>
              <w:t>Anstieg im Saarland</w:t>
            </w:r>
          </w:p>
          <w:p>
            <w:pPr>
              <w:pStyle w:val="Liste2"/>
              <w:numPr>
                <w:ilvl w:val="0"/>
                <w:numId w:val="13"/>
              </w:numPr>
              <w:rPr>
                <w:lang w:val="de-DE"/>
              </w:rPr>
            </w:pPr>
            <w:r>
              <w:rPr>
                <w:lang w:val="de-DE"/>
              </w:rPr>
              <w:t xml:space="preserve">Behandlungskapazitäten und Betriebssituation </w:t>
            </w:r>
          </w:p>
          <w:p>
            <w:pPr>
              <w:pStyle w:val="Liste2"/>
              <w:numPr>
                <w:ilvl w:val="1"/>
                <w:numId w:val="13"/>
              </w:numPr>
              <w:rPr>
                <w:lang w:val="de-DE"/>
              </w:rPr>
            </w:pPr>
            <w:r>
              <w:rPr>
                <w:lang w:val="de-DE"/>
              </w:rPr>
              <w:lastRenderedPageBreak/>
              <w:t>Erster Rückgang auch bei schweren Fällen (invasive Beatmungen), dadurch Freisetzung von Kapazitäten</w:t>
            </w:r>
          </w:p>
          <w:p>
            <w:pPr>
              <w:pStyle w:val="Liste2"/>
              <w:numPr>
                <w:ilvl w:val="1"/>
                <w:numId w:val="13"/>
              </w:numPr>
              <w:rPr>
                <w:lang w:val="de-DE"/>
              </w:rPr>
            </w:pPr>
            <w:r>
              <w:rPr>
                <w:lang w:val="de-DE"/>
              </w:rPr>
              <w:t>Verfügbarkeit steigt</w:t>
            </w:r>
          </w:p>
          <w:p>
            <w:pPr>
              <w:pStyle w:val="Liste2"/>
              <w:numPr>
                <w:ilvl w:val="1"/>
                <w:numId w:val="13"/>
              </w:numPr>
              <w:rPr>
                <w:lang w:val="de-DE"/>
              </w:rPr>
            </w:pPr>
            <w:r>
              <w:rPr>
                <w:lang w:val="de-DE"/>
              </w:rPr>
              <w:t>Personalmangel geht zurück</w:t>
            </w:r>
          </w:p>
          <w:p>
            <w:pPr>
              <w:pStyle w:val="Liste2"/>
              <w:numPr>
                <w:ilvl w:val="1"/>
                <w:numId w:val="13"/>
              </w:numPr>
              <w:rPr>
                <w:lang w:val="de-DE"/>
              </w:rPr>
            </w:pPr>
            <w:r>
              <w:rPr>
                <w:lang w:val="de-DE"/>
              </w:rPr>
              <w:t xml:space="preserve">Insgesamt setzt sich aktuell der Entlastungstrend fort </w:t>
            </w:r>
          </w:p>
          <w:p>
            <w:pPr>
              <w:pStyle w:val="Liste2"/>
              <w:numPr>
                <w:ilvl w:val="0"/>
                <w:numId w:val="13"/>
              </w:numPr>
            </w:pPr>
            <w:proofErr w:type="spellStart"/>
            <w:r>
              <w:t>Entwicklung</w:t>
            </w:r>
            <w:proofErr w:type="spellEnd"/>
            <w:r>
              <w:t xml:space="preserve"> </w:t>
            </w:r>
            <w:proofErr w:type="spellStart"/>
            <w:r>
              <w:t>nach</w:t>
            </w:r>
            <w:proofErr w:type="spellEnd"/>
            <w:r>
              <w:t xml:space="preserve"> </w:t>
            </w:r>
            <w:proofErr w:type="spellStart"/>
            <w:r>
              <w:t>Altersgruppen</w:t>
            </w:r>
            <w:proofErr w:type="spellEnd"/>
          </w:p>
          <w:p>
            <w:pPr>
              <w:pStyle w:val="Liste2"/>
              <w:numPr>
                <w:ilvl w:val="1"/>
                <w:numId w:val="13"/>
              </w:numPr>
              <w:rPr>
                <w:lang w:val="de-DE"/>
              </w:rPr>
            </w:pPr>
            <w:r>
              <w:rPr>
                <w:lang w:val="de-DE"/>
              </w:rPr>
              <w:t>Rückgang in fast allen Altersgruppen</w:t>
            </w:r>
          </w:p>
          <w:p>
            <w:pPr>
              <w:pStyle w:val="Liste2"/>
              <w:numPr>
                <w:ilvl w:val="1"/>
                <w:numId w:val="13"/>
              </w:numPr>
              <w:rPr>
                <w:lang w:val="de-DE"/>
              </w:rPr>
            </w:pPr>
            <w:r>
              <w:rPr>
                <w:lang w:val="de-DE"/>
              </w:rPr>
              <w:t>Plateau bei 70-79-Jährigen sowie 0-17-Jährigen</w:t>
            </w:r>
          </w:p>
          <w:p>
            <w:pPr>
              <w:pStyle w:val="Liste2"/>
              <w:numPr>
                <w:ilvl w:val="0"/>
                <w:numId w:val="13"/>
              </w:numPr>
            </w:pPr>
            <w:proofErr w:type="spellStart"/>
            <w:r>
              <w:t>Omikron</w:t>
            </w:r>
            <w:proofErr w:type="spellEnd"/>
            <w:r>
              <w:t>-ITS-</w:t>
            </w:r>
            <w:proofErr w:type="spellStart"/>
            <w:r>
              <w:t>Fälle</w:t>
            </w:r>
            <w:proofErr w:type="spellEnd"/>
          </w:p>
          <w:p>
            <w:pPr>
              <w:pStyle w:val="Liste2"/>
              <w:numPr>
                <w:ilvl w:val="1"/>
                <w:numId w:val="13"/>
              </w:numPr>
              <w:rPr>
                <w:lang w:val="de-DE"/>
              </w:rPr>
            </w:pPr>
            <w:r>
              <w:rPr>
                <w:lang w:val="de-DE"/>
              </w:rPr>
              <w:t>90 Fälle (letzte Woche 40 Fälle). Derzeit alle 7 Tage Verdoppelung der Fälle in den letzten Wochen</w:t>
            </w:r>
          </w:p>
          <w:p>
            <w:pPr>
              <w:pStyle w:val="Liste2"/>
              <w:numPr>
                <w:ilvl w:val="0"/>
                <w:numId w:val="13"/>
              </w:numPr>
              <w:rPr>
                <w:lang w:val="de-DE"/>
              </w:rPr>
            </w:pPr>
            <w:proofErr w:type="spellStart"/>
            <w:r>
              <w:rPr>
                <w:lang w:val="de-DE"/>
              </w:rPr>
              <w:t>SPoCK</w:t>
            </w:r>
            <w:proofErr w:type="spellEnd"/>
            <w:r>
              <w:rPr>
                <w:lang w:val="de-DE"/>
              </w:rPr>
              <w:t>-Prognose</w:t>
            </w:r>
          </w:p>
          <w:p>
            <w:pPr>
              <w:pStyle w:val="Liste2"/>
              <w:numPr>
                <w:ilvl w:val="1"/>
                <w:numId w:val="13"/>
              </w:numPr>
              <w:rPr>
                <w:lang w:val="de-DE"/>
              </w:rPr>
            </w:pPr>
            <w:r>
              <w:rPr>
                <w:lang w:val="de-DE"/>
              </w:rPr>
              <w:t>Moderater Abfall für BL im Norden, Osten und Westen</w:t>
            </w:r>
          </w:p>
          <w:p>
            <w:pPr>
              <w:pStyle w:val="Liste2"/>
              <w:numPr>
                <w:ilvl w:val="1"/>
                <w:numId w:val="13"/>
              </w:numPr>
              <w:rPr>
                <w:lang w:val="de-DE"/>
              </w:rPr>
            </w:pPr>
            <w:r>
              <w:rPr>
                <w:lang w:val="de-DE"/>
              </w:rPr>
              <w:t>Leichter Trend nach oben für BL im Süden und Südwesten</w:t>
            </w:r>
          </w:p>
          <w:p>
            <w:pPr>
              <w:pStyle w:val="Liste2"/>
              <w:numPr>
                <w:ilvl w:val="1"/>
                <w:numId w:val="13"/>
              </w:numPr>
              <w:rPr>
                <w:lang w:val="de-DE"/>
              </w:rPr>
            </w:pPr>
            <w:proofErr w:type="spellStart"/>
            <w:r>
              <w:rPr>
                <w:lang w:val="de-DE"/>
              </w:rPr>
              <w:t>Umschwungsphasen</w:t>
            </w:r>
            <w:proofErr w:type="spellEnd"/>
            <w:r>
              <w:rPr>
                <w:lang w:val="de-DE"/>
              </w:rPr>
              <w:t xml:space="preserve"> erst seit Kurzem, Prognosen werden sich in 2 Wochen stabilisieren</w:t>
            </w:r>
          </w:p>
          <w:p>
            <w:pPr>
              <w:pStyle w:val="Liste2"/>
              <w:numPr>
                <w:ilvl w:val="0"/>
                <w:numId w:val="0"/>
              </w:numPr>
              <w:ind w:left="833"/>
              <w:rPr>
                <w:lang w:val="de-DE"/>
              </w:rPr>
            </w:pPr>
          </w:p>
          <w:p>
            <w:pPr>
              <w:pStyle w:val="Liste2"/>
              <w:numPr>
                <w:ilvl w:val="0"/>
                <w:numId w:val="0"/>
              </w:numPr>
              <w:ind w:left="833" w:hanging="360"/>
              <w:rPr>
                <w:b/>
              </w:rPr>
            </w:pPr>
            <w:proofErr w:type="spellStart"/>
            <w:r>
              <w:rPr>
                <w:b/>
              </w:rPr>
              <w:t>Syndromische</w:t>
            </w:r>
            <w:proofErr w:type="spellEnd"/>
            <w:r>
              <w:rPr>
                <w:b/>
              </w:rPr>
              <w:t xml:space="preserve"> Surveillance</w:t>
            </w:r>
          </w:p>
          <w:p>
            <w:pPr>
              <w:pStyle w:val="Liste2"/>
              <w:numPr>
                <w:ilvl w:val="0"/>
                <w:numId w:val="13"/>
              </w:numPr>
            </w:pPr>
            <w:proofErr w:type="spellStart"/>
            <w:r>
              <w:t>Folien</w:t>
            </w:r>
            <w:proofErr w:type="spellEnd"/>
            <w:r>
              <w:t xml:space="preserve"> </w:t>
            </w:r>
            <w:hyperlink r:id="rId13" w:history="1">
              <w:proofErr w:type="spellStart"/>
              <w:r>
                <w:rPr>
                  <w:rStyle w:val="Hyperlink"/>
                </w:rPr>
                <w:t>hier</w:t>
              </w:r>
              <w:proofErr w:type="spellEnd"/>
            </w:hyperlink>
          </w:p>
          <w:p>
            <w:pPr>
              <w:pStyle w:val="Liste2"/>
              <w:numPr>
                <w:ilvl w:val="0"/>
                <w:numId w:val="13"/>
              </w:numPr>
              <w:rPr>
                <w:lang w:val="de-DE"/>
              </w:rPr>
            </w:pPr>
            <w:r>
              <w:rPr>
                <w:lang w:val="de-DE"/>
              </w:rPr>
              <w:t xml:space="preserve">Grippe Web: </w:t>
            </w:r>
          </w:p>
          <w:p>
            <w:pPr>
              <w:pStyle w:val="Liste2"/>
              <w:numPr>
                <w:ilvl w:val="1"/>
                <w:numId w:val="13"/>
              </w:numPr>
              <w:rPr>
                <w:lang w:val="de-DE"/>
              </w:rPr>
            </w:pPr>
            <w:r>
              <w:rPr>
                <w:lang w:val="de-DE"/>
              </w:rPr>
              <w:t>ARE-Rate von KW 1 zur KW 2 gestiegen 3,2 % (Vorwoche: 2,6 %), Bei Erwachsenen Niveau des Vorjahres, bei Kindern deutlich über Vorjahresniveau; bei Erwachsenen deutlich unter den Werten vor der Pandemie, bei Kindern z.T. ähnliche Werte in den Vorjahren vor der Pandemie</w:t>
            </w:r>
          </w:p>
          <w:p>
            <w:pPr>
              <w:pStyle w:val="Liste2"/>
              <w:numPr>
                <w:ilvl w:val="1"/>
                <w:numId w:val="13"/>
              </w:numPr>
              <w:rPr>
                <w:lang w:val="de-DE"/>
              </w:rPr>
            </w:pPr>
            <w:r>
              <w:rPr>
                <w:lang w:val="de-DE"/>
              </w:rPr>
              <w:t xml:space="preserve">2. KW ca. 2,7 Millionen ARE in Deutschland (1. KW ca. 2,2 </w:t>
            </w:r>
            <w:proofErr w:type="spellStart"/>
            <w:r>
              <w:rPr>
                <w:lang w:val="de-DE"/>
              </w:rPr>
              <w:t>Mio</w:t>
            </w:r>
            <w:proofErr w:type="spellEnd"/>
            <w:r>
              <w:rPr>
                <w:lang w:val="de-DE"/>
              </w:rPr>
              <w:t>)</w:t>
            </w:r>
          </w:p>
          <w:p>
            <w:pPr>
              <w:pStyle w:val="Liste2"/>
              <w:numPr>
                <w:ilvl w:val="0"/>
                <w:numId w:val="13"/>
              </w:numPr>
              <w:rPr>
                <w:lang w:val="de-DE"/>
              </w:rPr>
            </w:pPr>
            <w:r>
              <w:rPr>
                <w:lang w:val="de-DE"/>
              </w:rPr>
              <w:t>ARE-Konsultationen</w:t>
            </w:r>
          </w:p>
          <w:p>
            <w:pPr>
              <w:pStyle w:val="Liste2"/>
              <w:numPr>
                <w:ilvl w:val="1"/>
                <w:numId w:val="13"/>
              </w:numPr>
              <w:rPr>
                <w:lang w:val="de-DE"/>
              </w:rPr>
            </w:pPr>
            <w:r>
              <w:rPr>
                <w:lang w:val="de-DE"/>
              </w:rPr>
              <w:t>Konsultationsinzidenz insgesamt leicht gesunken: in KW 2: 1008 (Vorwoche: 1094)</w:t>
            </w:r>
          </w:p>
          <w:p>
            <w:pPr>
              <w:pStyle w:val="Liste2"/>
              <w:numPr>
                <w:ilvl w:val="1"/>
                <w:numId w:val="13"/>
              </w:numPr>
              <w:rPr>
                <w:lang w:val="de-DE"/>
              </w:rPr>
            </w:pPr>
            <w:r>
              <w:rPr>
                <w:lang w:val="de-DE"/>
              </w:rPr>
              <w:t>Konsultationsinzidenz liegt höher als letztes Jahr, aber niedriger als in den anderen Vorjahren</w:t>
            </w:r>
          </w:p>
          <w:p>
            <w:pPr>
              <w:pStyle w:val="Liste2"/>
              <w:numPr>
                <w:ilvl w:val="1"/>
                <w:numId w:val="13"/>
              </w:numPr>
              <w:rPr>
                <w:lang w:val="de-DE"/>
              </w:rPr>
            </w:pPr>
            <w:r>
              <w:rPr>
                <w:lang w:val="de-DE"/>
              </w:rPr>
              <w:t>SEED</w:t>
            </w:r>
            <w:r>
              <w:rPr>
                <w:vertAlign w:val="superscript"/>
                <w:lang w:val="de-DE"/>
              </w:rPr>
              <w:t>ARE</w:t>
            </w:r>
            <w:r>
              <w:rPr>
                <w:lang w:val="de-DE"/>
              </w:rPr>
              <w:t>: Stagnation der ARE -Arztbesuche mit COVID-Diagnose auf 178/100.000 EW</w:t>
            </w:r>
          </w:p>
          <w:p>
            <w:pPr>
              <w:pStyle w:val="Liste2"/>
              <w:numPr>
                <w:ilvl w:val="1"/>
                <w:numId w:val="13"/>
              </w:numPr>
              <w:rPr>
                <w:lang w:val="de-DE"/>
              </w:rPr>
            </w:pPr>
            <w:r>
              <w:rPr>
                <w:lang w:val="de-DE"/>
              </w:rPr>
              <w:t xml:space="preserve"> SEED</w:t>
            </w:r>
            <w:r>
              <w:rPr>
                <w:vertAlign w:val="superscript"/>
                <w:lang w:val="de-DE"/>
              </w:rPr>
              <w:t xml:space="preserve">ARE </w:t>
            </w:r>
            <w:r>
              <w:rPr>
                <w:lang w:val="de-DE"/>
              </w:rPr>
              <w:t xml:space="preserve">nach Altersgruppen: Werte in vier der fünf Altersgruppen gesunken, Ausnahme: 5- bis 14-Jährige. </w:t>
            </w:r>
          </w:p>
          <w:p>
            <w:pPr>
              <w:pStyle w:val="Liste2"/>
              <w:numPr>
                <w:ilvl w:val="1"/>
                <w:numId w:val="13"/>
              </w:numPr>
              <w:rPr>
                <w:lang w:val="de-DE"/>
              </w:rPr>
            </w:pPr>
            <w:r>
              <w:rPr>
                <w:lang w:val="de-DE"/>
              </w:rPr>
              <w:t>Regionale Unterschiede (BL)</w:t>
            </w:r>
          </w:p>
          <w:p>
            <w:pPr>
              <w:pStyle w:val="Liste2"/>
              <w:numPr>
                <w:ilvl w:val="0"/>
                <w:numId w:val="13"/>
              </w:numPr>
            </w:pPr>
            <w:r>
              <w:t>ICOSARI:</w:t>
            </w:r>
          </w:p>
          <w:p>
            <w:pPr>
              <w:pStyle w:val="Liste2"/>
              <w:numPr>
                <w:ilvl w:val="1"/>
                <w:numId w:val="13"/>
              </w:numPr>
              <w:rPr>
                <w:lang w:val="de-DE"/>
              </w:rPr>
            </w:pPr>
            <w:r>
              <w:rPr>
                <w:lang w:val="de-DE"/>
              </w:rPr>
              <w:t>SARI-Fallzahlen sind insgesamt gesunken</w:t>
            </w:r>
          </w:p>
          <w:p>
            <w:pPr>
              <w:pStyle w:val="Liste2"/>
              <w:numPr>
                <w:ilvl w:val="1"/>
                <w:numId w:val="13"/>
              </w:numPr>
              <w:rPr>
                <w:lang w:val="de-DE"/>
              </w:rPr>
            </w:pPr>
            <w:r>
              <w:rPr>
                <w:lang w:val="de-DE"/>
              </w:rPr>
              <w:t>In KW2/2022 unter vor-pandemischen Niveau; bisher nur sporadische Influenza-Fälle (2-6 pro Woche über alle Altersgruppen)</w:t>
            </w:r>
          </w:p>
          <w:p>
            <w:pPr>
              <w:pStyle w:val="Liste2"/>
              <w:numPr>
                <w:ilvl w:val="1"/>
                <w:numId w:val="13"/>
              </w:numPr>
              <w:rPr>
                <w:lang w:val="de-DE"/>
              </w:rPr>
            </w:pPr>
            <w:r>
              <w:rPr>
                <w:lang w:val="de-DE"/>
              </w:rPr>
              <w:t>Rückgang in AG ab 15 Jahre</w:t>
            </w:r>
          </w:p>
          <w:p>
            <w:pPr>
              <w:pStyle w:val="Liste2"/>
              <w:numPr>
                <w:ilvl w:val="1"/>
                <w:numId w:val="13"/>
              </w:numPr>
              <w:rPr>
                <w:lang w:val="de-DE"/>
              </w:rPr>
            </w:pPr>
            <w:r>
              <w:rPr>
                <w:lang w:val="de-DE"/>
              </w:rPr>
              <w:t>Anstieg in AG 5-14 Jahre, stabil in AG 0-4 Jahre</w:t>
            </w:r>
          </w:p>
          <w:p>
            <w:pPr>
              <w:pStyle w:val="Liste2"/>
              <w:numPr>
                <w:ilvl w:val="1"/>
                <w:numId w:val="13"/>
              </w:numPr>
              <w:rPr>
                <w:lang w:val="de-DE"/>
              </w:rPr>
            </w:pPr>
            <w:r>
              <w:rPr>
                <w:lang w:val="de-DE"/>
              </w:rPr>
              <w:t>Anteil COVID-19 weitgehend stabil im Vergleich zur Vorwoche in den einzelnen Altersgruppen</w:t>
            </w:r>
          </w:p>
          <w:p>
            <w:pPr>
              <w:pStyle w:val="Liste2"/>
              <w:numPr>
                <w:ilvl w:val="0"/>
                <w:numId w:val="13"/>
              </w:numPr>
            </w:pPr>
            <w:proofErr w:type="spellStart"/>
            <w:r>
              <w:t>Vergleich</w:t>
            </w:r>
            <w:proofErr w:type="spellEnd"/>
            <w:r>
              <w:t xml:space="preserve"> </w:t>
            </w:r>
            <w:proofErr w:type="spellStart"/>
            <w:r>
              <w:t>Hospitalisierungsinzidenz</w:t>
            </w:r>
            <w:proofErr w:type="spellEnd"/>
            <w:r>
              <w:t xml:space="preserve"> ICOSARI/</w:t>
            </w:r>
            <w:proofErr w:type="spellStart"/>
            <w:r>
              <w:t>Meldedaten</w:t>
            </w:r>
            <w:proofErr w:type="spellEnd"/>
          </w:p>
          <w:p>
            <w:pPr>
              <w:pStyle w:val="Liste2"/>
              <w:numPr>
                <w:ilvl w:val="1"/>
                <w:numId w:val="13"/>
              </w:numPr>
              <w:rPr>
                <w:lang w:val="de-DE"/>
              </w:rPr>
            </w:pPr>
            <w:r>
              <w:rPr>
                <w:lang w:val="de-DE"/>
              </w:rPr>
              <w:t>COVID-SARI Hospitalisierungsinzidenz etwas gesunken, Wert für KW 2/2022: 4,7/100.000</w:t>
            </w:r>
          </w:p>
          <w:p>
            <w:pPr>
              <w:pStyle w:val="Liste2"/>
              <w:numPr>
                <w:ilvl w:val="0"/>
                <w:numId w:val="13"/>
              </w:numPr>
            </w:pPr>
            <w:r>
              <w:lastRenderedPageBreak/>
              <w:t>Kita-/</w:t>
            </w:r>
            <w:proofErr w:type="spellStart"/>
            <w:r>
              <w:t>Schulausbrüche</w:t>
            </w:r>
            <w:proofErr w:type="spellEnd"/>
          </w:p>
          <w:p>
            <w:pPr>
              <w:pStyle w:val="Liste2"/>
              <w:numPr>
                <w:ilvl w:val="1"/>
                <w:numId w:val="13"/>
              </w:numPr>
              <w:rPr>
                <w:lang w:val="de-DE"/>
              </w:rPr>
            </w:pPr>
            <w:r>
              <w:rPr>
                <w:lang w:val="de-DE"/>
              </w:rPr>
              <w:t>Ausbruchshäufigkeit nimmt in beiden Settings wieder zu (erwartungsgemäß nach den Ferien)</w:t>
            </w:r>
          </w:p>
          <w:p>
            <w:pPr>
              <w:pStyle w:val="Liste2"/>
              <w:numPr>
                <w:ilvl w:val="0"/>
                <w:numId w:val="0"/>
              </w:numPr>
              <w:rPr>
                <w:lang w:val="de-DE"/>
              </w:rPr>
            </w:pPr>
          </w:p>
          <w:p>
            <w:pPr>
              <w:pStyle w:val="Liste2"/>
              <w:numPr>
                <w:ilvl w:val="0"/>
                <w:numId w:val="0"/>
              </w:numPr>
              <w:rPr>
                <w:lang w:val="de-DE"/>
              </w:rPr>
            </w:pPr>
          </w:p>
          <w:p>
            <w:pPr>
              <w:pStyle w:val="Liste2"/>
              <w:numPr>
                <w:ilvl w:val="0"/>
                <w:numId w:val="0"/>
              </w:numPr>
              <w:ind w:left="473"/>
              <w:rPr>
                <w:b/>
                <w:lang w:val="de-DE"/>
              </w:rPr>
            </w:pPr>
            <w:r>
              <w:rPr>
                <w:b/>
                <w:lang w:val="de-DE"/>
              </w:rPr>
              <w:t xml:space="preserve">Virologische Surveillance, NRZ Influenza-Daten </w:t>
            </w:r>
          </w:p>
          <w:p>
            <w:pPr>
              <w:pStyle w:val="Liste2"/>
              <w:numPr>
                <w:ilvl w:val="0"/>
                <w:numId w:val="0"/>
              </w:numPr>
              <w:rPr>
                <w:rStyle w:val="TagMiZchn"/>
                <w:b w:val="0"/>
                <w:lang w:val="de-DE"/>
              </w:rPr>
            </w:pPr>
          </w:p>
          <w:p>
            <w:pPr>
              <w:pStyle w:val="Liste2"/>
              <w:numPr>
                <w:ilvl w:val="0"/>
                <w:numId w:val="13"/>
              </w:numPr>
            </w:pPr>
            <w:proofErr w:type="spellStart"/>
            <w:r>
              <w:t>Folien</w:t>
            </w:r>
            <w:proofErr w:type="spellEnd"/>
            <w:r>
              <w:t xml:space="preserve"> </w:t>
            </w:r>
            <w:hyperlink r:id="rId14" w:history="1">
              <w:proofErr w:type="spellStart"/>
              <w:r>
                <w:rPr>
                  <w:rStyle w:val="Hyperlink"/>
                </w:rPr>
                <w:t>hier</w:t>
              </w:r>
              <w:proofErr w:type="spellEnd"/>
            </w:hyperlink>
          </w:p>
          <w:p>
            <w:pPr>
              <w:pStyle w:val="Liste2"/>
              <w:numPr>
                <w:ilvl w:val="0"/>
                <w:numId w:val="0"/>
              </w:numPr>
              <w:rPr>
                <w:lang w:val="de-DE"/>
              </w:rPr>
            </w:pPr>
          </w:p>
          <w:p>
            <w:pPr>
              <w:pStyle w:val="Liste2"/>
              <w:numPr>
                <w:ilvl w:val="0"/>
                <w:numId w:val="13"/>
              </w:numPr>
              <w:rPr>
                <w:lang w:val="de-DE"/>
              </w:rPr>
            </w:pPr>
            <w:r>
              <w:rPr>
                <w:lang w:val="de-DE"/>
              </w:rPr>
              <w:t>KW 2/22: 143 Einsendungen aus 49 Arztpraxen</w:t>
            </w:r>
          </w:p>
          <w:p>
            <w:pPr>
              <w:pStyle w:val="Liste2"/>
              <w:numPr>
                <w:ilvl w:val="0"/>
                <w:numId w:val="13"/>
              </w:numPr>
              <w:rPr>
                <w:lang w:val="de-DE"/>
              </w:rPr>
            </w:pPr>
            <w:r>
              <w:rPr>
                <w:lang w:val="de-DE"/>
              </w:rPr>
              <w:t>SARS-CoV-2-Anteil 12%, Omikron-Anteil bis KW 2/2022 auf 80% gestiegen</w:t>
            </w:r>
          </w:p>
          <w:p>
            <w:pPr>
              <w:pStyle w:val="Liste2"/>
              <w:numPr>
                <w:ilvl w:val="0"/>
                <w:numId w:val="13"/>
              </w:numPr>
              <w:rPr>
                <w:lang w:val="de-DE"/>
              </w:rPr>
            </w:pPr>
            <w:r>
              <w:rPr>
                <w:lang w:val="de-DE"/>
              </w:rPr>
              <w:t>Influenzaviren Positivrate auf 2% gesunken</w:t>
            </w:r>
          </w:p>
          <w:p>
            <w:pPr>
              <w:pStyle w:val="Liste2"/>
              <w:numPr>
                <w:ilvl w:val="0"/>
                <w:numId w:val="13"/>
              </w:numPr>
              <w:rPr>
                <w:lang w:val="de-DE"/>
              </w:rPr>
            </w:pPr>
            <w:r>
              <w:rPr>
                <w:lang w:val="de-DE"/>
              </w:rPr>
              <w:t>Endemische Coronaviren: Anteil SARS-CoV-2 am stärksten (12%), OC43 (5%) gesunken und NL63 sowie 229E auf niedrigem Niveau stabil</w:t>
            </w:r>
          </w:p>
          <w:p>
            <w:pPr>
              <w:pStyle w:val="Liste2"/>
              <w:numPr>
                <w:ilvl w:val="0"/>
                <w:numId w:val="13"/>
              </w:numPr>
              <w:rPr>
                <w:lang w:val="de-DE"/>
              </w:rPr>
            </w:pPr>
            <w:r>
              <w:rPr>
                <w:lang w:val="de-DE"/>
              </w:rPr>
              <w:t>Sonstige Atemwegsviren: HRV Anstieg auf 15%, HMPV Anstieg auf 10%, RSV und Parainfluenzaviren rückläufig</w:t>
            </w:r>
          </w:p>
          <w:p>
            <w:pPr>
              <w:pStyle w:val="Liste2"/>
              <w:numPr>
                <w:ilvl w:val="0"/>
                <w:numId w:val="0"/>
              </w:numPr>
              <w:ind w:left="833" w:hanging="360"/>
              <w:rPr>
                <w:lang w:val="de-DE"/>
              </w:rPr>
            </w:pPr>
          </w:p>
          <w:p>
            <w:pPr>
              <w:pStyle w:val="Liste2"/>
              <w:numPr>
                <w:ilvl w:val="0"/>
                <w:numId w:val="0"/>
              </w:numPr>
              <w:ind w:left="833" w:hanging="360"/>
              <w:rPr>
                <w:b/>
                <w:lang w:val="de-DE"/>
              </w:rPr>
            </w:pPr>
            <w:r>
              <w:rPr>
                <w:b/>
                <w:lang w:val="de-DE"/>
              </w:rPr>
              <w:t>Testkapazität, Testungen, ARS</w:t>
            </w:r>
          </w:p>
          <w:p>
            <w:pPr>
              <w:pStyle w:val="Liste2"/>
              <w:numPr>
                <w:ilvl w:val="0"/>
                <w:numId w:val="13"/>
              </w:numPr>
            </w:pPr>
            <w:proofErr w:type="spellStart"/>
            <w:r>
              <w:t>Folien</w:t>
            </w:r>
            <w:proofErr w:type="spellEnd"/>
            <w:r>
              <w:t xml:space="preserve"> </w:t>
            </w:r>
            <w:hyperlink r:id="rId15" w:history="1">
              <w:proofErr w:type="spellStart"/>
              <w:r>
                <w:rPr>
                  <w:rStyle w:val="Hyperlink"/>
                </w:rPr>
                <w:t>hier</w:t>
              </w:r>
              <w:proofErr w:type="spellEnd"/>
            </w:hyperlink>
          </w:p>
          <w:p>
            <w:pPr>
              <w:pStyle w:val="Liste2"/>
              <w:numPr>
                <w:ilvl w:val="0"/>
                <w:numId w:val="13"/>
              </w:numPr>
              <w:rPr>
                <w:lang w:val="de-DE"/>
              </w:rPr>
            </w:pPr>
            <w:r>
              <w:rPr>
                <w:lang w:val="de-DE"/>
              </w:rPr>
              <w:t>Steigerung auf 2,05 Millionen Tests in der letzten Woche</w:t>
            </w:r>
          </w:p>
          <w:p>
            <w:pPr>
              <w:pStyle w:val="Liste2"/>
              <w:numPr>
                <w:ilvl w:val="0"/>
                <w:numId w:val="13"/>
              </w:numPr>
              <w:rPr>
                <w:lang w:val="de-DE"/>
              </w:rPr>
            </w:pPr>
            <w:proofErr w:type="spellStart"/>
            <w:r>
              <w:rPr>
                <w:lang w:val="de-DE"/>
              </w:rPr>
              <w:t>Positivenanteil</w:t>
            </w:r>
            <w:proofErr w:type="spellEnd"/>
            <w:r>
              <w:rPr>
                <w:lang w:val="de-DE"/>
              </w:rPr>
              <w:t xml:space="preserve"> gestiegen auf 24,4%</w:t>
            </w:r>
          </w:p>
          <w:p>
            <w:pPr>
              <w:pStyle w:val="Liste2"/>
              <w:numPr>
                <w:ilvl w:val="0"/>
                <w:numId w:val="13"/>
              </w:numPr>
              <w:rPr>
                <w:lang w:val="de-DE"/>
              </w:rPr>
            </w:pPr>
            <w:r>
              <w:rPr>
                <w:lang w:val="de-DE"/>
              </w:rPr>
              <w:t>Testkapazitäten konnten um 200.000 Tests pro Woche gesteigert werden</w:t>
            </w:r>
          </w:p>
          <w:p>
            <w:pPr>
              <w:pStyle w:val="Liste2"/>
              <w:numPr>
                <w:ilvl w:val="0"/>
                <w:numId w:val="13"/>
              </w:numPr>
              <w:rPr>
                <w:lang w:val="de-DE"/>
              </w:rPr>
            </w:pPr>
            <w:r>
              <w:rPr>
                <w:lang w:val="de-DE"/>
              </w:rPr>
              <w:t>Laborauslastung: Aktuell sehr hoch. Die Labore sind stark belastet und mit ihren Kapazitäten am Limit. Es gibt regionale Unterschiede.</w:t>
            </w:r>
          </w:p>
          <w:p>
            <w:pPr>
              <w:pStyle w:val="Liste2"/>
              <w:numPr>
                <w:ilvl w:val="0"/>
                <w:numId w:val="13"/>
              </w:numPr>
              <w:rPr>
                <w:lang w:val="de-DE"/>
              </w:rPr>
            </w:pPr>
            <w:r>
              <w:rPr>
                <w:lang w:val="de-DE"/>
              </w:rPr>
              <w:t>Rückmeldung zur Priorisierung für Entlassung med. Bereich aus Isolation nach Tag 7 praktisch nicht umsetzbar</w:t>
            </w:r>
          </w:p>
          <w:p>
            <w:pPr>
              <w:pStyle w:val="Liste2"/>
              <w:numPr>
                <w:ilvl w:val="0"/>
                <w:numId w:val="13"/>
              </w:numPr>
              <w:rPr>
                <w:lang w:val="de-DE"/>
              </w:rPr>
            </w:pPr>
            <w:r>
              <w:rPr>
                <w:lang w:val="de-DE"/>
              </w:rPr>
              <w:t xml:space="preserve">Rückmeldung zu Angabe eines CT-Wertes zwecks Entlassung aus Isolation: Konflikt mit den </w:t>
            </w:r>
            <w:proofErr w:type="spellStart"/>
            <w:r>
              <w:rPr>
                <w:lang w:val="de-DE"/>
              </w:rPr>
              <w:t>RiLiBBÄK</w:t>
            </w:r>
            <w:proofErr w:type="spellEnd"/>
            <w:r>
              <w:rPr>
                <w:lang w:val="de-DE"/>
              </w:rPr>
              <w:t>, Sortierung der Proben nach benötigtem CT-Wert aufgrund der Personalsituation praktisch nicht umsetzbar</w:t>
            </w:r>
          </w:p>
          <w:p>
            <w:pPr>
              <w:pStyle w:val="Liste2"/>
              <w:numPr>
                <w:ilvl w:val="0"/>
                <w:numId w:val="13"/>
              </w:numPr>
              <w:rPr>
                <w:lang w:val="de-DE"/>
              </w:rPr>
            </w:pPr>
            <w:r>
              <w:rPr>
                <w:lang w:val="de-DE"/>
              </w:rPr>
              <w:t>SARS in ARS</w:t>
            </w:r>
          </w:p>
          <w:p>
            <w:pPr>
              <w:pStyle w:val="Liste2"/>
              <w:numPr>
                <w:ilvl w:val="1"/>
                <w:numId w:val="13"/>
              </w:numPr>
              <w:rPr>
                <w:lang w:val="de-DE"/>
              </w:rPr>
            </w:pPr>
            <w:r>
              <w:rPr>
                <w:lang w:val="de-DE"/>
              </w:rPr>
              <w:t>Anzahl Testungen Plateau in BW, BY, Anstieg in BE, BB, HH, HE, NRW, Rückgang in SA, SN, TH</w:t>
            </w:r>
          </w:p>
          <w:p>
            <w:pPr>
              <w:pStyle w:val="Liste2"/>
              <w:numPr>
                <w:ilvl w:val="1"/>
                <w:numId w:val="13"/>
              </w:numPr>
              <w:rPr>
                <w:lang w:val="de-DE"/>
              </w:rPr>
            </w:pPr>
            <w:proofErr w:type="spellStart"/>
            <w:r>
              <w:rPr>
                <w:lang w:val="de-DE"/>
              </w:rPr>
              <w:t>Positivenanteil</w:t>
            </w:r>
            <w:proofErr w:type="spellEnd"/>
            <w:r>
              <w:rPr>
                <w:lang w:val="de-DE"/>
              </w:rPr>
              <w:t xml:space="preserve"> der Testungen in Arztpraxen höher in Vergleich zu Gesamtzahl aller Testungen</w:t>
            </w:r>
          </w:p>
          <w:p>
            <w:pPr>
              <w:pStyle w:val="Liste2"/>
              <w:numPr>
                <w:ilvl w:val="0"/>
                <w:numId w:val="13"/>
              </w:numPr>
              <w:rPr>
                <w:lang w:val="de-DE"/>
              </w:rPr>
            </w:pPr>
            <w:r>
              <w:rPr>
                <w:lang w:val="de-DE"/>
              </w:rPr>
              <w:t>Testungen BL und Alter</w:t>
            </w:r>
          </w:p>
          <w:p>
            <w:pPr>
              <w:pStyle w:val="Liste2"/>
              <w:numPr>
                <w:ilvl w:val="1"/>
                <w:numId w:val="13"/>
              </w:numPr>
              <w:rPr>
                <w:lang w:val="de-DE"/>
              </w:rPr>
            </w:pPr>
            <w:r>
              <w:rPr>
                <w:lang w:val="de-DE"/>
              </w:rPr>
              <w:t>Starker Anstieg der 5-14-Jährigen in NRW (Lolli Tests in Schulen)</w:t>
            </w:r>
          </w:p>
          <w:p>
            <w:pPr>
              <w:pStyle w:val="Liste2"/>
              <w:numPr>
                <w:ilvl w:val="1"/>
                <w:numId w:val="13"/>
              </w:numPr>
              <w:rPr>
                <w:lang w:val="de-DE"/>
              </w:rPr>
            </w:pPr>
            <w:r>
              <w:rPr>
                <w:lang w:val="de-DE"/>
              </w:rPr>
              <w:t>Anstieg Testungen der 15-59-Jährigen über alle BL hinweg</w:t>
            </w:r>
          </w:p>
          <w:p>
            <w:pPr>
              <w:pStyle w:val="Liste2"/>
              <w:numPr>
                <w:ilvl w:val="1"/>
                <w:numId w:val="13"/>
              </w:numPr>
              <w:rPr>
                <w:lang w:val="de-DE"/>
              </w:rPr>
            </w:pPr>
            <w:r>
              <w:rPr>
                <w:lang w:val="de-DE"/>
              </w:rPr>
              <w:t>Zeitverzug zwischen Abnahme und Testdatum steigt weiterhin stetig (Aktuell 1,2 Tage)</w:t>
            </w:r>
          </w:p>
          <w:p>
            <w:pPr>
              <w:pStyle w:val="Liste2"/>
              <w:numPr>
                <w:ilvl w:val="0"/>
                <w:numId w:val="13"/>
              </w:numPr>
              <w:rPr>
                <w:lang w:val="de-DE"/>
              </w:rPr>
            </w:pPr>
            <w:r>
              <w:rPr>
                <w:lang w:val="de-DE"/>
              </w:rPr>
              <w:t xml:space="preserve">Anzahl der Testungen, </w:t>
            </w:r>
            <w:proofErr w:type="spellStart"/>
            <w:r>
              <w:rPr>
                <w:lang w:val="de-DE"/>
              </w:rPr>
              <w:t>Positivenanteile</w:t>
            </w:r>
            <w:proofErr w:type="spellEnd"/>
            <w:r>
              <w:rPr>
                <w:lang w:val="de-DE"/>
              </w:rPr>
              <w:t xml:space="preserve"> und positive Testungen pro 100.000 Personen nach Altersgruppen: Starker Anstieg der 5-14-Jährigen, Anstieg der 15-59-Jährigen, Moderat bei den über </w:t>
            </w:r>
            <w:proofErr w:type="gramStart"/>
            <w:r>
              <w:rPr>
                <w:lang w:val="de-DE"/>
              </w:rPr>
              <w:t>60 Jährigen</w:t>
            </w:r>
            <w:proofErr w:type="gramEnd"/>
          </w:p>
          <w:p>
            <w:pPr>
              <w:pStyle w:val="Liste2"/>
              <w:numPr>
                <w:ilvl w:val="0"/>
                <w:numId w:val="13"/>
              </w:numPr>
              <w:rPr>
                <w:lang w:val="de-DE"/>
              </w:rPr>
            </w:pPr>
            <w:r>
              <w:rPr>
                <w:lang w:val="de-DE"/>
              </w:rPr>
              <w:t>VOC (SARS in ARS):</w:t>
            </w:r>
          </w:p>
          <w:p>
            <w:pPr>
              <w:pStyle w:val="Liste2"/>
              <w:numPr>
                <w:ilvl w:val="0"/>
                <w:numId w:val="13"/>
              </w:numPr>
              <w:rPr>
                <w:lang w:val="de-DE"/>
              </w:rPr>
            </w:pPr>
            <w:r>
              <w:rPr>
                <w:lang w:val="de-DE"/>
              </w:rPr>
              <w:t>Omikron-Anteil in ARS: 90%</w:t>
            </w:r>
          </w:p>
          <w:p>
            <w:pPr>
              <w:pStyle w:val="Liste2"/>
              <w:numPr>
                <w:ilvl w:val="0"/>
                <w:numId w:val="0"/>
              </w:numPr>
              <w:rPr>
                <w:lang w:val="de-DE"/>
              </w:rPr>
            </w:pPr>
          </w:p>
          <w:p>
            <w:pPr>
              <w:pStyle w:val="3"/>
              <w:numPr>
                <w:ilvl w:val="0"/>
                <w:numId w:val="0"/>
              </w:numPr>
            </w:pPr>
            <w:r>
              <w:lastRenderedPageBreak/>
              <w:t>VOC-Bericht/ Molekulare Surveillance</w:t>
            </w:r>
          </w:p>
          <w:p>
            <w:pPr>
              <w:pStyle w:val="3"/>
              <w:numPr>
                <w:ilvl w:val="0"/>
                <w:numId w:val="0"/>
              </w:numPr>
            </w:pPr>
          </w:p>
          <w:p>
            <w:pPr>
              <w:pStyle w:val="Liste2"/>
              <w:numPr>
                <w:ilvl w:val="0"/>
                <w:numId w:val="13"/>
              </w:numPr>
            </w:pPr>
            <w:proofErr w:type="spellStart"/>
            <w:r>
              <w:t>Folien</w:t>
            </w:r>
            <w:proofErr w:type="spellEnd"/>
            <w:r>
              <w:t xml:space="preserve"> </w:t>
            </w:r>
            <w:hyperlink r:id="rId16" w:history="1">
              <w:proofErr w:type="spellStart"/>
              <w:r>
                <w:rPr>
                  <w:rStyle w:val="Hyperlink"/>
                </w:rPr>
                <w:t>hier</w:t>
              </w:r>
              <w:proofErr w:type="spellEnd"/>
            </w:hyperlink>
          </w:p>
          <w:p>
            <w:pPr>
              <w:pStyle w:val="Liste2"/>
              <w:numPr>
                <w:ilvl w:val="0"/>
                <w:numId w:val="13"/>
              </w:numPr>
              <w:rPr>
                <w:lang w:val="de-DE"/>
              </w:rPr>
            </w:pPr>
            <w:r>
              <w:rPr>
                <w:lang w:val="de-DE"/>
              </w:rPr>
              <w:t>Übersicht VOC/VOI in Erhebungssystemen:</w:t>
            </w:r>
          </w:p>
          <w:p>
            <w:pPr>
              <w:pStyle w:val="Liste2"/>
              <w:numPr>
                <w:ilvl w:val="1"/>
                <w:numId w:val="13"/>
              </w:numPr>
              <w:rPr>
                <w:lang w:val="de-DE"/>
              </w:rPr>
            </w:pPr>
            <w:r>
              <w:rPr>
                <w:lang w:val="de-DE"/>
              </w:rPr>
              <w:t xml:space="preserve">Omikron-Anteil für KW 1 in Genomsequenzierung Anstieg auf 62,4%, in IfSG-Daten (KW 1) 73,3% (Delta entsprechend bei 26,7%) </w:t>
            </w:r>
          </w:p>
          <w:p>
            <w:pPr>
              <w:pStyle w:val="Liste2"/>
              <w:numPr>
                <w:ilvl w:val="0"/>
                <w:numId w:val="13"/>
              </w:numPr>
              <w:rPr>
                <w:lang w:val="de-DE"/>
              </w:rPr>
            </w:pPr>
            <w:r>
              <w:rPr>
                <w:lang w:val="de-DE"/>
              </w:rPr>
              <w:t>Übermittelte Omikron-Fälle</w:t>
            </w:r>
          </w:p>
          <w:p>
            <w:pPr>
              <w:pStyle w:val="Liste2"/>
              <w:numPr>
                <w:ilvl w:val="1"/>
                <w:numId w:val="13"/>
              </w:numPr>
              <w:rPr>
                <w:lang w:val="de-DE"/>
              </w:rPr>
            </w:pPr>
            <w:r>
              <w:rPr>
                <w:lang w:val="de-DE"/>
              </w:rPr>
              <w:t xml:space="preserve">Anzahl übermittelter Omikron-Fälle: 226.860 (Stand 19.01.22), 106,3 Fälle/100.000 EW, geographische Verteilung. Landkarte verdunkelt sich  </w:t>
            </w:r>
          </w:p>
          <w:p>
            <w:pPr>
              <w:pStyle w:val="Liste2"/>
              <w:numPr>
                <w:ilvl w:val="0"/>
                <w:numId w:val="13"/>
              </w:numPr>
              <w:rPr>
                <w:lang w:val="de-DE"/>
              </w:rPr>
            </w:pPr>
            <w:r>
              <w:rPr>
                <w:lang w:val="de-DE"/>
              </w:rPr>
              <w:t>Beschreibung der übermittelten Fälle</w:t>
            </w:r>
          </w:p>
          <w:p>
            <w:pPr>
              <w:pStyle w:val="Liste2"/>
              <w:numPr>
                <w:ilvl w:val="1"/>
                <w:numId w:val="13"/>
              </w:numPr>
              <w:rPr>
                <w:lang w:val="de-DE"/>
              </w:rPr>
            </w:pPr>
            <w:r>
              <w:rPr>
                <w:lang w:val="de-DE"/>
              </w:rPr>
              <w:t>Steigerung insbesondere in Altersgruppe 5-14-Jährige</w:t>
            </w:r>
          </w:p>
          <w:p>
            <w:pPr>
              <w:pStyle w:val="Liste2"/>
              <w:numPr>
                <w:ilvl w:val="1"/>
                <w:numId w:val="13"/>
              </w:numPr>
              <w:rPr>
                <w:lang w:val="de-DE"/>
              </w:rPr>
            </w:pPr>
            <w:r>
              <w:rPr>
                <w:lang w:val="de-DE"/>
              </w:rPr>
              <w:t>Bei Verdopplung der Gesamtzahl der Fälle im Vergleich zu vorheriger Woche, auch Verdoppelung der Hospitalisierungsrate der über 80-Jährigen und Verdoppelung der Anteil Verstorbener</w:t>
            </w:r>
          </w:p>
          <w:p>
            <w:pPr>
              <w:pStyle w:val="Liste2"/>
              <w:numPr>
                <w:ilvl w:val="1"/>
                <w:numId w:val="13"/>
              </w:numPr>
              <w:rPr>
                <w:lang w:val="de-DE"/>
              </w:rPr>
            </w:pPr>
            <w:r>
              <w:rPr>
                <w:lang w:val="de-DE"/>
              </w:rPr>
              <w:t>27,1% nicht geimpft, 11,3% unvollständig geimpft, 38,2% mit vollständiger Impfung und 23,5% mit Auffrischung. Sinkende Tendenz der Fälle, bei denen Impfstatus-Daten vorliegen.</w:t>
            </w:r>
          </w:p>
          <w:p>
            <w:pPr>
              <w:pStyle w:val="Liste2"/>
              <w:numPr>
                <w:ilvl w:val="0"/>
                <w:numId w:val="13"/>
              </w:numPr>
              <w:rPr>
                <w:lang w:val="de-DE"/>
              </w:rPr>
            </w:pPr>
            <w:r>
              <w:rPr>
                <w:lang w:val="de-DE"/>
              </w:rPr>
              <w:t>Trendmodell: Break-Even-Punkt (Omikron=Delta) wurde am 3./4.01.2022 überschritten</w:t>
            </w:r>
          </w:p>
          <w:p>
            <w:pPr>
              <w:pStyle w:val="Liste2"/>
              <w:numPr>
                <w:ilvl w:val="0"/>
                <w:numId w:val="13"/>
              </w:numPr>
              <w:rPr>
                <w:lang w:val="de-DE"/>
              </w:rPr>
            </w:pPr>
            <w:proofErr w:type="gramStart"/>
            <w:r>
              <w:rPr>
                <w:lang w:val="de-DE"/>
              </w:rPr>
              <w:t>Verdopplungszeit Omikron</w:t>
            </w:r>
            <w:proofErr w:type="gramEnd"/>
            <w:r>
              <w:rPr>
                <w:lang w:val="de-DE"/>
              </w:rPr>
              <w:t>: 5,8 Tage</w:t>
            </w:r>
          </w:p>
          <w:p>
            <w:pPr>
              <w:pStyle w:val="Liste2"/>
              <w:numPr>
                <w:ilvl w:val="0"/>
                <w:numId w:val="13"/>
              </w:numPr>
              <w:rPr>
                <w:lang w:val="de-DE"/>
              </w:rPr>
            </w:pPr>
            <w:r>
              <w:rPr>
                <w:lang w:val="de-DE"/>
              </w:rPr>
              <w:t>Halbierungszeit Delta: 15 Tage</w:t>
            </w:r>
          </w:p>
          <w:p>
            <w:pPr>
              <w:pStyle w:val="Liste2"/>
              <w:numPr>
                <w:ilvl w:val="0"/>
                <w:numId w:val="13"/>
              </w:numPr>
              <w:rPr>
                <w:lang w:val="de-DE"/>
              </w:rPr>
            </w:pPr>
            <w:r>
              <w:rPr>
                <w:lang w:val="de-DE"/>
              </w:rPr>
              <w:t>Weiterhin geringer Anteil von BA.2 (1,7%) unter Omikron-Nachweisen in Stichprobe, aber ansteigend (Vorwoche: 1,1%)</w:t>
            </w:r>
          </w:p>
          <w:p>
            <w:pPr>
              <w:pStyle w:val="Liste2"/>
              <w:numPr>
                <w:ilvl w:val="0"/>
                <w:numId w:val="13"/>
              </w:numPr>
              <w:rPr>
                <w:lang w:val="de-DE"/>
              </w:rPr>
            </w:pPr>
            <w:r>
              <w:rPr>
                <w:lang w:val="de-DE"/>
              </w:rPr>
              <w:t>Dominanz von Omikron in allen Erhebungssystemen sichtbar</w:t>
            </w:r>
          </w:p>
          <w:p>
            <w:pPr>
              <w:pStyle w:val="Liste2"/>
              <w:numPr>
                <w:ilvl w:val="0"/>
                <w:numId w:val="13"/>
              </w:numPr>
              <w:rPr>
                <w:lang w:val="de-DE"/>
              </w:rPr>
            </w:pPr>
            <w:r>
              <w:rPr>
                <w:sz w:val="24"/>
                <w:szCs w:val="24"/>
                <w:lang w:val="de-DE"/>
              </w:rPr>
              <w:t xml:space="preserve">Kapazität von </w:t>
            </w:r>
            <w:proofErr w:type="spellStart"/>
            <w:r>
              <w:rPr>
                <w:sz w:val="24"/>
                <w:szCs w:val="24"/>
                <w:lang w:val="de-DE"/>
              </w:rPr>
              <w:t>var</w:t>
            </w:r>
            <w:proofErr w:type="spellEnd"/>
            <w:r>
              <w:rPr>
                <w:sz w:val="24"/>
                <w:szCs w:val="24"/>
                <w:lang w:val="de-DE"/>
              </w:rPr>
              <w:t>.-spez. PCR-Testungen sollte für SARS-CoV-2 Nachweise genutzt werden.</w:t>
            </w:r>
          </w:p>
          <w:p>
            <w:pPr>
              <w:pStyle w:val="Liste2"/>
              <w:numPr>
                <w:ilvl w:val="0"/>
                <w:numId w:val="0"/>
              </w:numPr>
              <w:ind w:left="833"/>
              <w:rPr>
                <w:lang w:val="de-DE"/>
              </w:rPr>
            </w:pPr>
          </w:p>
          <w:p>
            <w:pPr>
              <w:pStyle w:val="Liste2"/>
              <w:numPr>
                <w:ilvl w:val="0"/>
                <w:numId w:val="13"/>
              </w:numPr>
              <w:rPr>
                <w:lang w:val="de-DE"/>
              </w:rPr>
            </w:pPr>
            <w:r>
              <w:rPr>
                <w:lang w:val="de-DE"/>
              </w:rPr>
              <w:t>Hinweis: Einstellung der täglichen Übersicht zu Omikron-Fällen zum 22.01.2022</w:t>
            </w:r>
          </w:p>
          <w:p>
            <w:pPr>
              <w:pStyle w:val="Liste2"/>
              <w:numPr>
                <w:ilvl w:val="0"/>
                <w:numId w:val="0"/>
              </w:numPr>
              <w:ind w:left="473"/>
              <w:rPr>
                <w:lang w:val="de-DE"/>
              </w:rPr>
            </w:pPr>
          </w:p>
          <w:p>
            <w:pPr>
              <w:pStyle w:val="Liste2"/>
              <w:numPr>
                <w:ilvl w:val="0"/>
                <w:numId w:val="0"/>
              </w:numPr>
              <w:ind w:left="473"/>
              <w:rPr>
                <w:lang w:val="de-DE"/>
              </w:rPr>
            </w:pPr>
          </w:p>
          <w:p>
            <w:pPr>
              <w:pStyle w:val="Liste2"/>
              <w:numPr>
                <w:ilvl w:val="0"/>
                <w:numId w:val="0"/>
              </w:numPr>
              <w:rPr>
                <w:b/>
                <w:lang w:val="de-DE"/>
              </w:rPr>
            </w:pPr>
            <w:r>
              <w:rPr>
                <w:b/>
                <w:lang w:val="de-DE"/>
              </w:rPr>
              <w:t xml:space="preserve">Überblick SARS-CoV-2_Genomsequenzen  </w:t>
            </w:r>
          </w:p>
          <w:p>
            <w:pPr>
              <w:pStyle w:val="Liste2"/>
              <w:rPr>
                <w:lang w:val="de-DE"/>
              </w:rPr>
            </w:pPr>
            <w:r>
              <w:rPr>
                <w:lang w:val="de-DE"/>
              </w:rPr>
              <w:t>Omikron-Anteil in KW2: 80%</w:t>
            </w:r>
          </w:p>
          <w:p>
            <w:pPr>
              <w:pStyle w:val="Liste2"/>
              <w:rPr>
                <w:lang w:val="de-DE"/>
              </w:rPr>
            </w:pPr>
            <w:r>
              <w:rPr>
                <w:lang w:val="de-DE"/>
              </w:rPr>
              <w:t>Die kumulative Wachstumskurve von Omikron setzt sich noch weiter ab von dem Wachstum von Alpha damals</w:t>
            </w:r>
          </w:p>
          <w:p>
            <w:pPr>
              <w:pStyle w:val="Liste2"/>
              <w:numPr>
                <w:ilvl w:val="0"/>
                <w:numId w:val="0"/>
              </w:numPr>
              <w:ind w:left="473"/>
              <w:rPr>
                <w:lang w:val="de-DE"/>
              </w:rPr>
            </w:pPr>
          </w:p>
          <w:p>
            <w:pPr>
              <w:pStyle w:val="Liste2"/>
              <w:numPr>
                <w:ilvl w:val="0"/>
                <w:numId w:val="0"/>
              </w:numPr>
              <w:rPr>
                <w:lang w:val="de-DE"/>
              </w:rPr>
            </w:pPr>
          </w:p>
          <w:p>
            <w:pPr>
              <w:pStyle w:val="Liste2"/>
              <w:numPr>
                <w:ilvl w:val="0"/>
                <w:numId w:val="0"/>
              </w:numPr>
              <w:ind w:left="473"/>
              <w:rPr>
                <w:b/>
                <w:lang w:val="de-DE"/>
              </w:rPr>
            </w:pPr>
            <w:r>
              <w:rPr>
                <w:b/>
                <w:lang w:val="de-DE"/>
              </w:rPr>
              <w:t>Diskussion</w:t>
            </w:r>
          </w:p>
          <w:p>
            <w:pPr>
              <w:pStyle w:val="Liste2"/>
              <w:numPr>
                <w:ilvl w:val="0"/>
                <w:numId w:val="14"/>
              </w:numPr>
              <w:rPr>
                <w:lang w:val="de-DE"/>
              </w:rPr>
            </w:pPr>
            <w:r>
              <w:rPr>
                <w:lang w:val="de-DE"/>
              </w:rPr>
              <w:t xml:space="preserve">Schweiz </w:t>
            </w:r>
            <w:proofErr w:type="spellStart"/>
            <w:r>
              <w:rPr>
                <w:lang w:val="de-DE"/>
              </w:rPr>
              <w:t>Genesenenstatus</w:t>
            </w:r>
            <w:proofErr w:type="spellEnd"/>
            <w:r>
              <w:rPr>
                <w:lang w:val="de-DE"/>
              </w:rPr>
              <w:t xml:space="preserve"> auf 12 Monate verlängert. Wissenschaftliche Begründung bisher unklar</w:t>
            </w:r>
          </w:p>
          <w:p>
            <w:pPr>
              <w:pStyle w:val="Liste2"/>
              <w:numPr>
                <w:ilvl w:val="0"/>
                <w:numId w:val="14"/>
              </w:numPr>
              <w:rPr>
                <w:lang w:val="de-DE"/>
              </w:rPr>
            </w:pPr>
            <w:r>
              <w:rPr>
                <w:lang w:val="de-DE"/>
              </w:rPr>
              <w:t xml:space="preserve">Reduktion des </w:t>
            </w:r>
            <w:proofErr w:type="spellStart"/>
            <w:r>
              <w:rPr>
                <w:lang w:val="de-DE"/>
              </w:rPr>
              <w:t>Genesenenstatus</w:t>
            </w:r>
            <w:proofErr w:type="spellEnd"/>
            <w:r>
              <w:rPr>
                <w:lang w:val="de-DE"/>
              </w:rPr>
              <w:t xml:space="preserve"> auf 3 Monate sollte gut kommuniziert werden</w:t>
            </w:r>
          </w:p>
          <w:p>
            <w:pPr>
              <w:pStyle w:val="Liste2"/>
              <w:numPr>
                <w:ilvl w:val="0"/>
                <w:numId w:val="14"/>
              </w:numPr>
              <w:rPr>
                <w:lang w:val="de-DE"/>
              </w:rPr>
            </w:pPr>
            <w:r>
              <w:rPr>
                <w:lang w:val="de-DE"/>
              </w:rPr>
              <w:t>Appell weiterhin so pro-aktiv wie möglich zu kommunizieren und sich nicht auf andere Institutionen zu verlassen</w:t>
            </w:r>
          </w:p>
          <w:p>
            <w:pPr>
              <w:pStyle w:val="Liste2"/>
              <w:numPr>
                <w:ilvl w:val="0"/>
                <w:numId w:val="14"/>
              </w:numPr>
              <w:rPr>
                <w:lang w:val="de-DE"/>
              </w:rPr>
            </w:pPr>
            <w:r>
              <w:rPr>
                <w:lang w:val="de-DE"/>
              </w:rPr>
              <w:t>Sind geringe Testzahlen in BL wie SA, SN und TH verantwortlich für die geringen Inzidenzen?</w:t>
            </w:r>
          </w:p>
          <w:p>
            <w:pPr>
              <w:pStyle w:val="Liste2"/>
              <w:numPr>
                <w:ilvl w:val="0"/>
                <w:numId w:val="0"/>
              </w:numPr>
              <w:ind w:left="1193"/>
              <w:rPr>
                <w:lang w:val="de-DE"/>
              </w:rPr>
            </w:pPr>
            <w:r>
              <w:rPr>
                <w:lang w:val="de-DE"/>
              </w:rPr>
              <w:lastRenderedPageBreak/>
              <w:t xml:space="preserve">Nein, das sollte nicht als Ursache angesehen werden. Vielmehr der (noch) geringe Omikron-Anteil in diesen BL </w:t>
            </w:r>
            <w:proofErr w:type="spellStart"/>
            <w:r>
              <w:rPr>
                <w:lang w:val="de-DE"/>
              </w:rPr>
              <w:t>evt.</w:t>
            </w:r>
            <w:proofErr w:type="spellEnd"/>
            <w:r>
              <w:rPr>
                <w:lang w:val="de-DE"/>
              </w:rPr>
              <w:t xml:space="preserve"> auch aufgrund der kürzlich starken Delta-Welle und ggf. (noch) höherer Immunität</w:t>
            </w:r>
          </w:p>
          <w:p>
            <w:pPr>
              <w:pStyle w:val="Liste2"/>
              <w:numPr>
                <w:ilvl w:val="0"/>
                <w:numId w:val="0"/>
              </w:numPr>
              <w:ind w:left="833" w:hanging="360"/>
              <w:rPr>
                <w:lang w:val="de-DE"/>
              </w:rPr>
            </w:pPr>
          </w:p>
          <w:p>
            <w:pPr>
              <w:pStyle w:val="Liste2"/>
              <w:numPr>
                <w:ilvl w:val="0"/>
                <w:numId w:val="0"/>
              </w:numPr>
              <w:ind w:left="833" w:hanging="360"/>
              <w:rPr>
                <w:lang w:val="de-DE"/>
              </w:rPr>
            </w:pPr>
          </w:p>
          <w:p>
            <w:pPr>
              <w:pStyle w:val="Liste2"/>
              <w:numPr>
                <w:ilvl w:val="0"/>
                <w:numId w:val="0"/>
              </w:numPr>
              <w:ind w:left="833" w:hanging="360"/>
              <w:rPr>
                <w:lang w:val="de-DE"/>
              </w:rPr>
            </w:pPr>
          </w:p>
          <w:p>
            <w:pPr>
              <w:pStyle w:val="Liste2"/>
              <w:numPr>
                <w:ilvl w:val="0"/>
                <w:numId w:val="0"/>
              </w:numPr>
              <w:ind w:left="833" w:hanging="360"/>
              <w:rPr>
                <w:lang w:val="de-DE"/>
              </w:rPr>
            </w:pPr>
          </w:p>
          <w:p>
            <w:pPr>
              <w:pStyle w:val="Liste2"/>
              <w:numPr>
                <w:ilvl w:val="0"/>
                <w:numId w:val="0"/>
              </w:numPr>
              <w:ind w:left="833" w:hanging="360"/>
              <w:rPr>
                <w:lang w:val="de-DE"/>
              </w:rPr>
            </w:pPr>
          </w:p>
          <w:p>
            <w:pPr>
              <w:pStyle w:val="Liste2"/>
              <w:numPr>
                <w:ilvl w:val="0"/>
                <w:numId w:val="0"/>
              </w:numPr>
              <w:rPr>
                <w:lang w:val="de-DE"/>
              </w:rPr>
            </w:pPr>
          </w:p>
          <w:p>
            <w:pPr>
              <w:pStyle w:val="Liste2"/>
              <w:numPr>
                <w:ilvl w:val="0"/>
                <w:numId w:val="0"/>
              </w:numPr>
              <w:rPr>
                <w:lang w:val="de-DE"/>
              </w:rPr>
            </w:pPr>
          </w:p>
          <w:p>
            <w:pPr>
              <w:pStyle w:val="Liste2"/>
              <w:numPr>
                <w:ilvl w:val="0"/>
                <w:numId w:val="0"/>
              </w:numPr>
              <w:rPr>
                <w:lang w:val="de-DE"/>
              </w:rPr>
            </w:pPr>
          </w:p>
          <w:p>
            <w:pPr>
              <w:pStyle w:val="Liste2"/>
              <w:numPr>
                <w:ilvl w:val="0"/>
                <w:numId w:val="0"/>
              </w:numPr>
              <w:ind w:left="833" w:hanging="360"/>
              <w:rPr>
                <w:lang w:val="de-DE"/>
              </w:rPr>
            </w:pP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32 (Diercke)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 4</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 (Buda)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 (Hamouda, Seifried)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37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 2</w:t>
            </w:r>
          </w:p>
          <w:p>
            <w:pPr>
              <w:rPr>
                <w:sz w:val="22"/>
                <w:szCs w:val="22"/>
              </w:rPr>
            </w:pPr>
            <w:r>
              <w:rPr>
                <w:sz w:val="22"/>
                <w:szCs w:val="22"/>
              </w:rPr>
              <w:t>(Semmler)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Liste3"/>
            </w:pPr>
          </w:p>
          <w:p>
            <w:pPr>
              <w:pStyle w:val="Liste3"/>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freitags)</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 xml:space="preserve">Diskussion der Änderungsvorschläge zur Risikobewertung </w:t>
            </w:r>
          </w:p>
          <w:p>
            <w:pPr>
              <w:pStyle w:val="Liste1"/>
            </w:pPr>
            <w:r>
              <w:t>xxx</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w:t>
            </w:r>
            <w:proofErr w:type="spellStart"/>
            <w:r>
              <w:rPr>
                <w:i/>
                <w:color w:val="95B3D7" w:themeColor="accent1" w:themeTint="99"/>
                <w:sz w:val="20"/>
              </w:rPr>
              <w:t>mont</w:t>
            </w:r>
            <w:proofErr w:type="spellEnd"/>
            <w:r>
              <w:rPr>
                <w:i/>
                <w:color w:val="95B3D7" w:themeColor="accent1" w:themeTint="99"/>
                <w:sz w:val="20"/>
              </w:rPr>
              <w:t xml:space="preserve">. Vorbereitung, </w:t>
            </w:r>
            <w:proofErr w:type="spellStart"/>
            <w:r>
              <w:rPr>
                <w:i/>
                <w:color w:val="95B3D7" w:themeColor="accent1" w:themeTint="99"/>
                <w:sz w:val="20"/>
              </w:rPr>
              <w:t>mittw</w:t>
            </w:r>
            <w:proofErr w:type="spellEnd"/>
            <w:r>
              <w:rPr>
                <w:i/>
                <w:color w:val="95B3D7" w:themeColor="accent1" w:themeTint="99"/>
                <w:sz w:val="20"/>
              </w:rPr>
              <w:t>. Nachbereitung)</w:t>
            </w:r>
          </w:p>
          <w:p>
            <w:pPr>
              <w:pStyle w:val="Liste1"/>
            </w:pPr>
            <w:r>
              <w:t>Erarbeitung verschiedener Stellungnahmen u.a. Stellungnahme zu Einrichtung eines Panels, zu Kommunikation und Digitalisierung</w:t>
            </w:r>
          </w:p>
          <w:p>
            <w:pPr>
              <w:pStyle w:val="Liste1"/>
            </w:pPr>
            <w:r>
              <w:t>Wöchentliche Treffen</w:t>
            </w:r>
          </w:p>
        </w:tc>
        <w:tc>
          <w:tcPr>
            <w:tcW w:w="1463" w:type="dxa"/>
          </w:tcPr>
          <w:p>
            <w:pPr>
              <w:rPr>
                <w:sz w:val="22"/>
                <w:szCs w:val="22"/>
              </w:rPr>
            </w:pPr>
          </w:p>
          <w:p>
            <w:pPr>
              <w:rPr>
                <w:sz w:val="22"/>
                <w:szCs w:val="22"/>
              </w:rPr>
            </w:pPr>
          </w:p>
          <w:p>
            <w:pPr>
              <w:rPr>
                <w:sz w:val="22"/>
                <w:szCs w:val="22"/>
              </w:rPr>
            </w:pPr>
            <w:proofErr w:type="spellStart"/>
            <w:r>
              <w:rPr>
                <w:sz w:val="22"/>
                <w:szCs w:val="22"/>
              </w:rPr>
              <w:t>Präs</w:t>
            </w:r>
            <w:proofErr w:type="spellEnd"/>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pPr>
            <w:r>
              <w:t>nicht berichtet</w:t>
            </w:r>
          </w:p>
          <w:p>
            <w:pPr>
              <w:pStyle w:val="2"/>
            </w:pPr>
            <w:r>
              <w:t>P1</w:t>
            </w:r>
          </w:p>
          <w:p>
            <w:pPr>
              <w:pStyle w:val="Liste1"/>
              <w:numPr>
                <w:ilvl w:val="0"/>
                <w:numId w:val="0"/>
              </w:numPr>
              <w:ind w:left="473" w:hanging="360"/>
            </w:pPr>
            <w:r>
              <w:t>nicht berichtet</w:t>
            </w:r>
          </w:p>
          <w:p>
            <w:pPr>
              <w:pStyle w:val="Liste1"/>
              <w:numPr>
                <w:ilvl w:val="0"/>
                <w:numId w:val="0"/>
              </w:numPr>
              <w:ind w:left="473" w:hanging="360"/>
            </w:pPr>
          </w:p>
          <w:p>
            <w:pPr>
              <w:pStyle w:val="2"/>
            </w:pPr>
            <w:r>
              <w:t>Presse</w:t>
            </w:r>
          </w:p>
          <w:p>
            <w:pPr>
              <w:pStyle w:val="Liste1"/>
            </w:pPr>
            <w:r>
              <w:t xml:space="preserve">Viele Anfragen (Telefon, Postfächer, Social-Media-Kanäle laufen) wegen Verkürzung des </w:t>
            </w:r>
            <w:proofErr w:type="spellStart"/>
            <w:r>
              <w:t>Genesenenstatus</w:t>
            </w:r>
            <w:proofErr w:type="spellEnd"/>
          </w:p>
          <w:p>
            <w:pPr>
              <w:pStyle w:val="Liste1"/>
            </w:pPr>
            <w:r>
              <w:t xml:space="preserve">19.01.2022 um 9 Uhr fand das Hintergrundgespräch mit Daten- und Wissenschaftsjournalisten zur </w:t>
            </w:r>
            <w:proofErr w:type="spellStart"/>
            <w:r>
              <w:t>syndromischen</w:t>
            </w:r>
            <w:proofErr w:type="spellEnd"/>
            <w:r>
              <w:t xml:space="preserve"> Surveillance statt. Von RKI-Seite waren Herr Hamouda und Herr Haas dabei.</w:t>
            </w:r>
          </w:p>
          <w:p>
            <w:pPr>
              <w:pStyle w:val="Liste1"/>
            </w:pPr>
            <w:r>
              <w:t>Bisher noch keine Information, dass diese Woche eine Bundespressekonferenz stattfindet.</w:t>
            </w:r>
          </w:p>
          <w:p>
            <w:pPr>
              <w:pStyle w:val="Liste1"/>
              <w:numPr>
                <w:ilvl w:val="0"/>
                <w:numId w:val="0"/>
              </w:numPr>
              <w:ind w:left="473" w:hanging="360"/>
            </w:pPr>
          </w:p>
          <w:p>
            <w:pPr>
              <w:pStyle w:val="Liste1"/>
              <w:numPr>
                <w:ilvl w:val="0"/>
                <w:numId w:val="0"/>
              </w:numPr>
              <w:ind w:left="473" w:hanging="360"/>
              <w:rPr>
                <w:i/>
              </w:rPr>
            </w:pPr>
            <w:r>
              <w:br/>
            </w:r>
          </w:p>
        </w:tc>
        <w:tc>
          <w:tcPr>
            <w:tcW w:w="1463" w:type="dxa"/>
          </w:tcPr>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t>(Wenchel)</w:t>
            </w:r>
          </w:p>
          <w:p>
            <w:pPr>
              <w:rPr>
                <w:sz w:val="22"/>
                <w:szCs w:val="22"/>
              </w:rPr>
            </w:pPr>
          </w:p>
          <w:p>
            <w:pPr>
              <w:rPr>
                <w:sz w:val="22"/>
                <w:szCs w:val="22"/>
              </w:rPr>
            </w:pPr>
            <w:r>
              <w:rPr>
                <w:sz w:val="22"/>
                <w:szCs w:val="22"/>
              </w:rPr>
              <w:br/>
            </w:r>
          </w:p>
        </w:tc>
      </w:tr>
      <w:tr>
        <w:tc>
          <w:tcPr>
            <w:tcW w:w="684" w:type="dxa"/>
          </w:tcPr>
          <w:p>
            <w:pPr>
              <w:rPr>
                <w:b/>
              </w:rPr>
            </w:pPr>
            <w:r>
              <w:rPr>
                <w:b/>
              </w:rPr>
              <w:lastRenderedPageBreak/>
              <w:t>7</w:t>
            </w:r>
          </w:p>
        </w:tc>
        <w:tc>
          <w:tcPr>
            <w:tcW w:w="6824" w:type="dxa"/>
          </w:tcPr>
          <w:p>
            <w:pPr>
              <w:pStyle w:val="1"/>
            </w:pPr>
            <w:r>
              <w:t>RKI-Strategie Fragen</w:t>
            </w:r>
          </w:p>
          <w:p>
            <w:pPr>
              <w:pStyle w:val="2"/>
            </w:pPr>
            <w:r>
              <w:t>Allgemein</w:t>
            </w:r>
          </w:p>
          <w:p>
            <w:pPr>
              <w:pStyle w:val="Liste1"/>
              <w:numPr>
                <w:ilvl w:val="0"/>
                <w:numId w:val="0"/>
              </w:numPr>
              <w:ind w:left="113"/>
            </w:pPr>
            <w:r>
              <w:t>PCR Priorisierung für stationären Bereich und Testung mild somatischer ambulanter Fälle mit Antigen-Tests abklären? Bei nationaler Teststrategie bleiben?</w:t>
            </w:r>
          </w:p>
          <w:p>
            <w:pPr>
              <w:pStyle w:val="Liste3"/>
              <w:numPr>
                <w:ilvl w:val="1"/>
                <w:numId w:val="6"/>
              </w:numPr>
            </w:pPr>
            <w:r>
              <w:t>Bei Priorisierung nationaler Teststrategie bleiben. Kein Anlass davon abzuweichen. PCR-Tests sollten primär zu diagnostischen Zwecken und nicht vorrangig zur Freitestung verwendet werden</w:t>
            </w:r>
          </w:p>
          <w:p>
            <w:pPr>
              <w:pStyle w:val="Liste1"/>
            </w:pPr>
            <w:r>
              <w:t>Können Personen mit positivem Antigen-Test in den Meldedaten auf nationaler Ebene ausgewiesen werden?</w:t>
            </w:r>
          </w:p>
          <w:p>
            <w:pPr>
              <w:pStyle w:val="Liste3"/>
              <w:numPr>
                <w:ilvl w:val="1"/>
                <w:numId w:val="6"/>
              </w:numPr>
            </w:pPr>
            <w:r>
              <w:t>Für die Epidemiologie kein Mehrwert. Es geht jetzt darum, Trends abzubilden. Das geht auch mit der Falldefinition, die als Fall nur positive PCR-Nachweise aufnimmt. Grundsätzlich könnten jedoch auch Personen mit positivem Antigen-Test ausgewiesen werden, dann aber sollte dies nur bei Personen, bei denen auch Symptome angegeben sind, gemacht werden. Jedoch grundsätzliche Bedenken bzgl. Mehrwert. Schnelltestergebnisse von Testzentren müssen derzeit vom ÖGD händisch eingegeben werden. Anschluss der zahlreichen Testzentren (mehrere 10.000) an DEMIS derzeit nicht realistisch. Apotheken können DEMIS Meldeportal nutzen.</w:t>
            </w:r>
          </w:p>
          <w:p>
            <w:pPr>
              <w:pStyle w:val="Liste1"/>
            </w:pPr>
            <w:r>
              <w:t xml:space="preserve">Warum wurden stationäre Antigen Tests nicht im </w:t>
            </w:r>
            <w:proofErr w:type="spellStart"/>
            <w:r>
              <w:t>Entisolierungsschema</w:t>
            </w:r>
            <w:proofErr w:type="spellEnd"/>
            <w:r>
              <w:t xml:space="preserve"> berücksichtigt?</w:t>
            </w:r>
          </w:p>
          <w:p>
            <w:pPr>
              <w:pStyle w:val="Liste1"/>
              <w:numPr>
                <w:ilvl w:val="0"/>
                <w:numId w:val="15"/>
              </w:numPr>
            </w:pPr>
            <w:r>
              <w:t>Es kommt auf die Sensitivität des individuellen Tests an. Eine FAQ würde sich hier anbieten</w:t>
            </w:r>
          </w:p>
          <w:p>
            <w:pPr>
              <w:pStyle w:val="Liste1"/>
            </w:pPr>
            <w:r>
              <w:t xml:space="preserve">Diskussion </w:t>
            </w:r>
            <w:proofErr w:type="spellStart"/>
            <w:r>
              <w:t>Genesenenstatus</w:t>
            </w:r>
            <w:proofErr w:type="spellEnd"/>
            <w:r>
              <w:t>:</w:t>
            </w:r>
          </w:p>
          <w:p>
            <w:pPr>
              <w:pStyle w:val="Liste1"/>
              <w:numPr>
                <w:ilvl w:val="1"/>
                <w:numId w:val="6"/>
              </w:numPr>
            </w:pPr>
            <w:r>
              <w:t>In Diskussion mit den Ländern. RKI kann sich allenfalls vorstellen den Genesenennachweis auf Antigentest + ärztliche COVID-19 Diagnose zu erweitern.</w:t>
            </w:r>
          </w:p>
          <w:p>
            <w:pPr>
              <w:pStyle w:val="Liste1"/>
            </w:pPr>
            <w:r>
              <w:t xml:space="preserve">Beginn des </w:t>
            </w:r>
            <w:proofErr w:type="spellStart"/>
            <w:r>
              <w:t>Genesenenstatus</w:t>
            </w:r>
            <w:proofErr w:type="spellEnd"/>
            <w:r>
              <w:t>. Warum 28 und nicht 21 Tage?</w:t>
            </w:r>
          </w:p>
          <w:p>
            <w:pPr>
              <w:pStyle w:val="Liste1"/>
              <w:numPr>
                <w:ilvl w:val="1"/>
                <w:numId w:val="6"/>
              </w:numPr>
            </w:pPr>
            <w:r>
              <w:t>Aus immunologischen Gründen sind 21 Tage vertretbar. 28 Tage decken möglichst alle Personengruppen ab</w:t>
            </w:r>
          </w:p>
          <w:p>
            <w:pPr>
              <w:pStyle w:val="Liste1"/>
              <w:numPr>
                <w:ilvl w:val="1"/>
                <w:numId w:val="6"/>
              </w:numPr>
            </w:pPr>
            <w:r>
              <w:t>Reduktion auf 21 Tage bringt kaum Veränderung.</w:t>
            </w:r>
          </w:p>
          <w:p>
            <w:pPr>
              <w:pStyle w:val="Liste1"/>
              <w:numPr>
                <w:ilvl w:val="1"/>
                <w:numId w:val="6"/>
              </w:numPr>
            </w:pPr>
            <w:r>
              <w:t>Position RKI: 28 Tage beibehalten</w:t>
            </w:r>
          </w:p>
          <w:p>
            <w:pPr>
              <w:pStyle w:val="Liste1"/>
            </w:pPr>
            <w:r>
              <w:t>Isolierung von 14 Tagen im Krankenhaus bei SARS-CoV-2-Infektion. Können wir uns vorstellen das weiter zu verkürzen?</w:t>
            </w:r>
          </w:p>
          <w:p>
            <w:pPr>
              <w:pStyle w:val="Liste1"/>
              <w:numPr>
                <w:ilvl w:val="1"/>
                <w:numId w:val="6"/>
              </w:numPr>
            </w:pPr>
            <w:r>
              <w:t>In der Literatur gibt es keine Argumente davon abzuweichen</w:t>
            </w:r>
          </w:p>
          <w:p>
            <w:pPr>
              <w:pStyle w:val="Liste1"/>
              <w:numPr>
                <w:ilvl w:val="1"/>
                <w:numId w:val="6"/>
              </w:numPr>
            </w:pPr>
            <w:r>
              <w:t>Übereinstimmung: keine Notwendigkeit zur Änderung</w:t>
            </w:r>
          </w:p>
          <w:p>
            <w:pPr>
              <w:pStyle w:val="Liste1"/>
              <w:numPr>
                <w:ilvl w:val="0"/>
                <w:numId w:val="0"/>
              </w:numPr>
              <w:ind w:left="473" w:hanging="360"/>
            </w:pPr>
          </w:p>
          <w:p>
            <w:pPr>
              <w:pStyle w:val="Liste1"/>
              <w:numPr>
                <w:ilvl w:val="0"/>
                <w:numId w:val="0"/>
              </w:numPr>
              <w:ind w:left="473" w:hanging="360"/>
            </w:pPr>
            <w:r>
              <w:rPr>
                <w:b/>
              </w:rPr>
              <w:t>To Do:</w:t>
            </w:r>
            <w:r>
              <w:t xml:space="preserve"> Wie schreiben wir </w:t>
            </w:r>
            <w:proofErr w:type="spellStart"/>
            <w:r>
              <w:t>ControlCOVID</w:t>
            </w:r>
            <w:proofErr w:type="spellEnd"/>
            <w:r>
              <w:t xml:space="preserve"> fort? Mit welchen Strategien? Bitte eine Aufgabe definieren und Arbeitsgruppe bilden. Federführung legt Abteilungsleitung 3 fest.</w:t>
            </w:r>
          </w:p>
          <w:p>
            <w:pPr>
              <w:pStyle w:val="Liste1"/>
              <w:numPr>
                <w:ilvl w:val="0"/>
                <w:numId w:val="0"/>
              </w:numPr>
              <w:ind w:left="1080"/>
            </w:pP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br/>
            </w:r>
          </w:p>
        </w:tc>
      </w:tr>
      <w:tr>
        <w:tc>
          <w:tcPr>
            <w:tcW w:w="684" w:type="dxa"/>
          </w:tcPr>
          <w:p>
            <w:pPr>
              <w:rPr>
                <w:b/>
              </w:rPr>
            </w:pPr>
            <w:r>
              <w:rPr>
                <w:b/>
              </w:rPr>
              <w:t>8</w:t>
            </w:r>
          </w:p>
        </w:tc>
        <w:tc>
          <w:tcPr>
            <w:tcW w:w="6824" w:type="dxa"/>
          </w:tcPr>
          <w:p>
            <w:pPr>
              <w:spacing w:line="276" w:lineRule="auto"/>
              <w:rPr>
                <w:b/>
                <w:sz w:val="28"/>
              </w:rPr>
            </w:pPr>
            <w:r>
              <w:rPr>
                <w:b/>
                <w:sz w:val="28"/>
              </w:rPr>
              <w:t>Dokumente</w:t>
            </w:r>
          </w:p>
          <w:p>
            <w:pPr>
              <w:pStyle w:val="Liste1"/>
            </w:pPr>
            <w:r>
              <w:lastRenderedPageBreak/>
              <w:t>(nicht berichtet)</w:t>
            </w:r>
          </w:p>
        </w:tc>
        <w:tc>
          <w:tcPr>
            <w:tcW w:w="1463" w:type="dxa"/>
          </w:tcPr>
          <w:p>
            <w:pPr>
              <w:rPr>
                <w:sz w:val="22"/>
                <w:szCs w:val="22"/>
              </w:rPr>
            </w:pPr>
          </w:p>
          <w:p>
            <w:pPr>
              <w:rPr>
                <w:sz w:val="22"/>
                <w:szCs w:val="22"/>
              </w:rPr>
            </w:pPr>
            <w:r>
              <w:rPr>
                <w:sz w:val="22"/>
                <w:szCs w:val="22"/>
              </w:rPr>
              <w:lastRenderedPageBreak/>
              <w:t>Alle</w:t>
            </w:r>
          </w:p>
        </w:tc>
      </w:tr>
      <w:tr>
        <w:tc>
          <w:tcPr>
            <w:tcW w:w="684" w:type="dxa"/>
          </w:tcPr>
          <w:p>
            <w:pPr>
              <w:rPr>
                <w:b/>
              </w:rPr>
            </w:pPr>
            <w:r>
              <w:rPr>
                <w:b/>
              </w:rPr>
              <w:lastRenderedPageBreak/>
              <w:t>9</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rPr>
          <w:trHeight w:val="2186"/>
        </w:trPr>
        <w:tc>
          <w:tcPr>
            <w:tcW w:w="684" w:type="dxa"/>
          </w:tcPr>
          <w:p>
            <w:pPr>
              <w:rPr>
                <w:b/>
              </w:rPr>
            </w:pPr>
            <w:r>
              <w:rPr>
                <w:b/>
              </w:rPr>
              <w:t>10</w:t>
            </w:r>
          </w:p>
        </w:tc>
        <w:tc>
          <w:tcPr>
            <w:tcW w:w="6824" w:type="dxa"/>
          </w:tcPr>
          <w:p>
            <w:pPr>
              <w:pStyle w:val="1"/>
            </w:pPr>
            <w:r>
              <w:t>Labordiagnostik</w:t>
            </w:r>
          </w:p>
          <w:p>
            <w:pPr>
              <w:pStyle w:val="2"/>
            </w:pPr>
            <w:r>
              <w:t>FG17</w:t>
            </w:r>
          </w:p>
          <w:p>
            <w:pPr>
              <w:pStyle w:val="Liste1"/>
            </w:pPr>
            <w:r>
              <w:t>nicht besprochen, bzw. s. TOP 1</w:t>
            </w:r>
          </w:p>
          <w:p>
            <w:pPr>
              <w:pStyle w:val="Liste1"/>
              <w:numPr>
                <w:ilvl w:val="0"/>
                <w:numId w:val="0"/>
              </w:numPr>
              <w:ind w:left="473" w:hanging="360"/>
            </w:pPr>
          </w:p>
          <w:p>
            <w:pPr>
              <w:pStyle w:val="Liste1"/>
              <w:numPr>
                <w:ilvl w:val="0"/>
                <w:numId w:val="0"/>
              </w:numPr>
              <w:ind w:left="473" w:hanging="360"/>
              <w:rPr>
                <w:b/>
              </w:rPr>
            </w:pPr>
            <w:r>
              <w:rPr>
                <w:b/>
              </w:rPr>
              <w:t>ZBS  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Freitag, 21.01.2021,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13:12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F9B8A2B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B15906"/>
    <w:multiLevelType w:val="hybridMultilevel"/>
    <w:tmpl w:val="E96A4160"/>
    <w:lvl w:ilvl="0" w:tplc="04070003">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 w15:restartNumberingAfterBreak="0">
    <w:nsid w:val="22AC5A26"/>
    <w:multiLevelType w:val="hybridMultilevel"/>
    <w:tmpl w:val="FC668D84"/>
    <w:lvl w:ilvl="0" w:tplc="04070003">
      <w:start w:val="1"/>
      <w:numFmt w:val="bullet"/>
      <w:pStyle w:val="Liste1"/>
      <w:lvlText w:val="o"/>
      <w:lvlJc w:val="left"/>
      <w:pPr>
        <w:ind w:left="473" w:hanging="360"/>
      </w:pPr>
      <w:rPr>
        <w:rFonts w:ascii="Courier New" w:hAnsi="Courier New" w:cs="Courier New"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4"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A3F43B6"/>
    <w:multiLevelType w:val="hybridMultilevel"/>
    <w:tmpl w:val="7EFAD17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DF5E5E"/>
    <w:multiLevelType w:val="hybridMultilevel"/>
    <w:tmpl w:val="F4CA9C70"/>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8" w15:restartNumberingAfterBreak="0">
    <w:nsid w:val="48AB08AF"/>
    <w:multiLevelType w:val="hybridMultilevel"/>
    <w:tmpl w:val="5772285E"/>
    <w:lvl w:ilvl="0" w:tplc="1D862228">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4ADD3E51"/>
    <w:multiLevelType w:val="hybridMultilevel"/>
    <w:tmpl w:val="E9D068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DB155C"/>
    <w:multiLevelType w:val="hybridMultilevel"/>
    <w:tmpl w:val="4CAAAA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C27572"/>
    <w:multiLevelType w:val="hybridMultilevel"/>
    <w:tmpl w:val="1632BF6E"/>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3" w15:restartNumberingAfterBreak="0">
    <w:nsid w:val="67404407"/>
    <w:multiLevelType w:val="hybridMultilevel"/>
    <w:tmpl w:val="00C6F0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827A3F"/>
    <w:multiLevelType w:val="hybridMultilevel"/>
    <w:tmpl w:val="3E046E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10"/>
  </w:num>
  <w:num w:numId="5">
    <w:abstractNumId w:val="4"/>
  </w:num>
  <w:num w:numId="6">
    <w:abstractNumId w:val="3"/>
  </w:num>
  <w:num w:numId="7">
    <w:abstractNumId w:val="8"/>
  </w:num>
  <w:num w:numId="8">
    <w:abstractNumId w:val="14"/>
  </w:num>
  <w:num w:numId="9">
    <w:abstractNumId w:val="13"/>
  </w:num>
  <w:num w:numId="10">
    <w:abstractNumId w:val="9"/>
  </w:num>
  <w:num w:numId="11">
    <w:abstractNumId w:val="11"/>
  </w:num>
  <w:num w:numId="12">
    <w:abstractNumId w:val="5"/>
  </w:num>
  <w:num w:numId="13">
    <w:abstractNumId w:val="2"/>
  </w:num>
  <w:num w:numId="14">
    <w:abstractNumId w:val="12"/>
  </w:num>
  <w:num w:numId="15">
    <w:abstractNumId w:val="7"/>
  </w:num>
  <w:num w:numId="16">
    <w:abstractNumId w:val="3"/>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spacing w:after="0"/>
      <w:ind w:left="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21337">
      <w:bodyDiv w:val="1"/>
      <w:marLeft w:val="0"/>
      <w:marRight w:val="0"/>
      <w:marTop w:val="0"/>
      <w:marBottom w:val="0"/>
      <w:divBdr>
        <w:top w:val="none" w:sz="0" w:space="0" w:color="auto"/>
        <w:left w:val="none" w:sz="0" w:space="0" w:color="auto"/>
        <w:bottom w:val="none" w:sz="0" w:space="0" w:color="auto"/>
        <w:right w:val="none" w:sz="0" w:space="0" w:color="auto"/>
      </w:divBdr>
      <w:divsChild>
        <w:div w:id="1164516040">
          <w:marLeft w:val="274"/>
          <w:marRight w:val="0"/>
          <w:marTop w:val="0"/>
          <w:marBottom w:val="0"/>
          <w:divBdr>
            <w:top w:val="none" w:sz="0" w:space="0" w:color="auto"/>
            <w:left w:val="none" w:sz="0" w:space="0" w:color="auto"/>
            <w:bottom w:val="none" w:sz="0" w:space="0" w:color="auto"/>
            <w:right w:val="none" w:sz="0" w:space="0" w:color="auto"/>
          </w:divBdr>
        </w:div>
      </w:divsChild>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419398829">
      <w:bodyDiv w:val="1"/>
      <w:marLeft w:val="0"/>
      <w:marRight w:val="0"/>
      <w:marTop w:val="0"/>
      <w:marBottom w:val="0"/>
      <w:divBdr>
        <w:top w:val="none" w:sz="0" w:space="0" w:color="auto"/>
        <w:left w:val="none" w:sz="0" w:space="0" w:color="auto"/>
        <w:bottom w:val="none" w:sz="0" w:space="0" w:color="auto"/>
        <w:right w:val="none" w:sz="0" w:space="0" w:color="auto"/>
      </w:divBdr>
    </w:div>
    <w:div w:id="1547176480">
      <w:bodyDiv w:val="1"/>
      <w:marLeft w:val="0"/>
      <w:marRight w:val="0"/>
      <w:marTop w:val="0"/>
      <w:marBottom w:val="0"/>
      <w:divBdr>
        <w:top w:val="none" w:sz="0" w:space="0" w:color="auto"/>
        <w:left w:val="none" w:sz="0" w:space="0" w:color="auto"/>
        <w:bottom w:val="none" w:sz="0" w:space="0" w:color="auto"/>
        <w:right w:val="none" w:sz="0" w:space="0" w:color="auto"/>
      </w:divBdr>
      <w:divsChild>
        <w:div w:id="1910728056">
          <w:marLeft w:val="274"/>
          <w:marRight w:val="0"/>
          <w:marTop w:val="0"/>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 w:id="2142456369">
      <w:bodyDiv w:val="1"/>
      <w:marLeft w:val="0"/>
      <w:marRight w:val="0"/>
      <w:marTop w:val="0"/>
      <w:marBottom w:val="0"/>
      <w:divBdr>
        <w:top w:val="none" w:sz="0" w:space="0" w:color="auto"/>
        <w:left w:val="none" w:sz="0" w:space="0" w:color="auto"/>
        <w:bottom w:val="none" w:sz="0" w:space="0" w:color="auto"/>
        <w:right w:val="none" w:sz="0" w:space="0" w:color="auto"/>
      </w:divBdr>
      <w:divsChild>
        <w:div w:id="729688881">
          <w:marLeft w:val="547"/>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2-01-19_Lage-AG"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2-01-19_Lage-A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2-01-19_Lage-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2-01-19_Lage-AG"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2-01-19_Lage-AG"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2-01-19_Lage-A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0C86D-311B-499C-9DAD-F5DA27613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1821</Words>
  <Characters>11478</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Wittke, Christian</cp:lastModifiedBy>
  <cp:revision>287</cp:revision>
  <cp:lastPrinted>2020-05-06T16:43:00Z</cp:lastPrinted>
  <dcterms:created xsi:type="dcterms:W3CDTF">2021-05-05T09:19:00Z</dcterms:created>
  <dcterms:modified xsi:type="dcterms:W3CDTF">2022-01-20T10:10:00Z</dcterms:modified>
</cp:coreProperties>
</file>