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28.01.2022,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tc>
          <w:tcPr>
            <w:tcW w:w="4145" w:type="dxa"/>
          </w:tcPr>
          <w:p>
            <w:pPr>
              <w:pStyle w:val="Listenabsatz"/>
              <w:numPr>
                <w:ilvl w:val="0"/>
                <w:numId w:val="3"/>
              </w:numPr>
              <w:contextualSpacing w:val="0"/>
              <w:rPr>
                <w:sz w:val="22"/>
                <w:szCs w:val="22"/>
              </w:rPr>
            </w:pPr>
            <w:r>
              <w:rPr>
                <w:sz w:val="22"/>
                <w:szCs w:val="22"/>
              </w:rPr>
              <w:t>Institutsleitung</w:t>
            </w:r>
          </w:p>
          <w:p>
            <w:pPr>
              <w:pStyle w:val="Listenabsatz"/>
              <w:numPr>
                <w:ilvl w:val="1"/>
                <w:numId w:val="2"/>
              </w:numPr>
              <w:contextualSpacing w:val="0"/>
              <w:rPr>
                <w:sz w:val="22"/>
                <w:szCs w:val="22"/>
              </w:rPr>
            </w:pPr>
            <w:r>
              <w:rPr>
                <w:sz w:val="22"/>
                <w:szCs w:val="22"/>
              </w:rPr>
              <w:t>Lothar H. Wieler</w:t>
            </w:r>
          </w:p>
          <w:p>
            <w:pPr>
              <w:pStyle w:val="Listenabsatz"/>
              <w:numPr>
                <w:ilvl w:val="1"/>
                <w:numId w:val="2"/>
              </w:numPr>
              <w:contextualSpacing w:val="0"/>
              <w:rPr>
                <w:sz w:val="22"/>
                <w:szCs w:val="22"/>
              </w:rPr>
            </w:pPr>
            <w:r>
              <w:rPr>
                <w:sz w:val="22"/>
                <w:szCs w:val="22"/>
              </w:rPr>
              <w:t>Lars Schaade</w:t>
            </w:r>
          </w:p>
          <w:p>
            <w:pPr>
              <w:pStyle w:val="Listenabsatz"/>
              <w:numPr>
                <w:ilvl w:val="1"/>
                <w:numId w:val="2"/>
              </w:numPr>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ind w:hanging="357"/>
              <w:contextualSpacing w:val="0"/>
              <w:rPr>
                <w:sz w:val="22"/>
                <w:szCs w:val="22"/>
              </w:rPr>
            </w:pPr>
            <w:r>
              <w:rPr>
                <w:sz w:val="22"/>
                <w:szCs w:val="22"/>
              </w:rPr>
              <w:t>Abt. 1</w:t>
            </w:r>
          </w:p>
          <w:p>
            <w:pPr>
              <w:pStyle w:val="Listenabsatz"/>
              <w:numPr>
                <w:ilvl w:val="1"/>
                <w:numId w:val="2"/>
              </w:numPr>
              <w:contextualSpacing w:val="0"/>
              <w:rPr>
                <w:sz w:val="22"/>
                <w:szCs w:val="22"/>
              </w:rPr>
            </w:pPr>
            <w:r>
              <w:rPr>
                <w:sz w:val="22"/>
                <w:szCs w:val="22"/>
              </w:rPr>
              <w:t>Martin Mielke</w:t>
            </w:r>
          </w:p>
          <w:p>
            <w:pPr>
              <w:pStyle w:val="Listenabsatz"/>
              <w:numPr>
                <w:ilvl w:val="0"/>
                <w:numId w:val="2"/>
              </w:numPr>
              <w:contextualSpacing w:val="0"/>
              <w:rPr>
                <w:sz w:val="22"/>
                <w:szCs w:val="22"/>
              </w:rPr>
            </w:pPr>
            <w:r>
              <w:rPr>
                <w:sz w:val="22"/>
                <w:szCs w:val="22"/>
              </w:rPr>
              <w:t>Abt. 2</w:t>
            </w:r>
          </w:p>
          <w:p>
            <w:pPr>
              <w:pStyle w:val="Listenabsatz"/>
              <w:numPr>
                <w:ilvl w:val="1"/>
                <w:numId w:val="2"/>
              </w:numPr>
              <w:contextualSpacing w:val="0"/>
              <w:rPr>
                <w:sz w:val="22"/>
                <w:szCs w:val="22"/>
              </w:rPr>
            </w:pPr>
            <w:r>
              <w:rPr>
                <w:sz w:val="22"/>
                <w:szCs w:val="22"/>
              </w:rPr>
              <w:t>Michael Bosnjak</w:t>
            </w:r>
          </w:p>
          <w:p>
            <w:pPr>
              <w:pStyle w:val="Listenabsatz"/>
              <w:numPr>
                <w:ilvl w:val="0"/>
                <w:numId w:val="12"/>
              </w:numPr>
              <w:rPr>
                <w:sz w:val="22"/>
                <w:szCs w:val="22"/>
              </w:rPr>
            </w:pPr>
            <w:r>
              <w:rPr>
                <w:sz w:val="22"/>
                <w:szCs w:val="22"/>
              </w:rPr>
              <w:t>FG21</w:t>
            </w:r>
          </w:p>
          <w:p>
            <w:pPr>
              <w:pStyle w:val="Listenabsatz"/>
              <w:numPr>
                <w:ilvl w:val="0"/>
                <w:numId w:val="13"/>
              </w:numPr>
              <w:rPr>
                <w:sz w:val="22"/>
                <w:szCs w:val="22"/>
              </w:rPr>
            </w:pPr>
            <w:r>
              <w:rPr>
                <w:sz w:val="22"/>
                <w:szCs w:val="22"/>
              </w:rPr>
              <w:t>Wolfgang Scheida</w:t>
            </w:r>
          </w:p>
          <w:p>
            <w:pPr>
              <w:pStyle w:val="Listenabsatz"/>
              <w:numPr>
                <w:ilvl w:val="0"/>
                <w:numId w:val="2"/>
              </w:numPr>
              <w:ind w:hanging="357"/>
              <w:contextualSpacing w:val="0"/>
              <w:rPr>
                <w:sz w:val="22"/>
                <w:szCs w:val="22"/>
              </w:rPr>
            </w:pPr>
            <w:r>
              <w:rPr>
                <w:sz w:val="22"/>
                <w:szCs w:val="22"/>
              </w:rPr>
              <w:t>Abt. 3</w:t>
            </w:r>
          </w:p>
          <w:p>
            <w:pPr>
              <w:pStyle w:val="Listenabsatz"/>
              <w:numPr>
                <w:ilvl w:val="1"/>
                <w:numId w:val="2"/>
              </w:numPr>
              <w:contextualSpacing w:val="0"/>
              <w:rPr>
                <w:sz w:val="22"/>
                <w:szCs w:val="22"/>
              </w:rPr>
            </w:pPr>
            <w:r>
              <w:rPr>
                <w:sz w:val="22"/>
                <w:szCs w:val="22"/>
              </w:rPr>
              <w:t>Osamah Hamouda</w:t>
            </w:r>
          </w:p>
          <w:p>
            <w:pPr>
              <w:pStyle w:val="Listenabsatz"/>
              <w:numPr>
                <w:ilvl w:val="1"/>
                <w:numId w:val="2"/>
              </w:numPr>
              <w:contextualSpacing w:val="0"/>
              <w:rPr>
                <w:sz w:val="22"/>
                <w:szCs w:val="22"/>
              </w:rPr>
            </w:pPr>
            <w:r>
              <w:rPr>
                <w:sz w:val="22"/>
                <w:szCs w:val="22"/>
              </w:rPr>
              <w:t>Tanja Jung-Sendzik (Protokoll)</w:t>
            </w:r>
          </w:p>
          <w:p>
            <w:pPr>
              <w:pStyle w:val="Listenabsatz"/>
              <w:numPr>
                <w:ilvl w:val="1"/>
                <w:numId w:val="2"/>
              </w:numPr>
              <w:contextualSpacing w:val="0"/>
              <w:rPr>
                <w:sz w:val="22"/>
                <w:szCs w:val="22"/>
              </w:rPr>
            </w:pPr>
            <w:r>
              <w:rPr>
                <w:sz w:val="22"/>
                <w:szCs w:val="22"/>
              </w:rPr>
              <w:t>Janna Seifried</w:t>
            </w:r>
          </w:p>
          <w:p>
            <w:pPr>
              <w:pStyle w:val="Listenabsatz"/>
              <w:numPr>
                <w:ilvl w:val="0"/>
                <w:numId w:val="10"/>
              </w:numPr>
              <w:rPr>
                <w:sz w:val="22"/>
                <w:szCs w:val="22"/>
              </w:rPr>
            </w:pPr>
            <w:r>
              <w:rPr>
                <w:sz w:val="22"/>
                <w:szCs w:val="22"/>
              </w:rPr>
              <w:t>FG14</w:t>
            </w:r>
          </w:p>
          <w:p>
            <w:pPr>
              <w:pStyle w:val="Listenabsatz"/>
              <w:numPr>
                <w:ilvl w:val="1"/>
                <w:numId w:val="10"/>
              </w:numPr>
              <w:rPr>
                <w:sz w:val="22"/>
                <w:szCs w:val="22"/>
              </w:rPr>
            </w:pPr>
            <w:r>
              <w:rPr>
                <w:sz w:val="22"/>
                <w:szCs w:val="22"/>
              </w:rPr>
              <w:t>Mardjan Arvand</w:t>
            </w:r>
          </w:p>
          <w:p>
            <w:pPr>
              <w:pStyle w:val="Listenabsatz"/>
              <w:numPr>
                <w:ilvl w:val="1"/>
                <w:numId w:val="10"/>
              </w:numPr>
              <w:rPr>
                <w:sz w:val="22"/>
                <w:szCs w:val="22"/>
              </w:rPr>
            </w:pPr>
            <w:r>
              <w:rPr>
                <w:sz w:val="22"/>
                <w:szCs w:val="22"/>
              </w:rPr>
              <w:t>Melanie Brunke</w:t>
            </w:r>
          </w:p>
          <w:p>
            <w:pPr>
              <w:pStyle w:val="Listenabsatz"/>
              <w:numPr>
                <w:ilvl w:val="0"/>
                <w:numId w:val="3"/>
              </w:numPr>
              <w:contextualSpacing w:val="0"/>
              <w:rPr>
                <w:sz w:val="22"/>
                <w:szCs w:val="22"/>
              </w:rPr>
            </w:pPr>
            <w:r>
              <w:rPr>
                <w:sz w:val="22"/>
                <w:szCs w:val="22"/>
              </w:rPr>
              <w:t>FG17</w:t>
            </w:r>
          </w:p>
          <w:p>
            <w:pPr>
              <w:pStyle w:val="Listenabsatz"/>
              <w:numPr>
                <w:ilvl w:val="1"/>
                <w:numId w:val="2"/>
              </w:numPr>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4"/>
              </w:numPr>
              <w:contextualSpacing w:val="0"/>
              <w:rPr>
                <w:sz w:val="22"/>
                <w:szCs w:val="22"/>
              </w:rPr>
            </w:pPr>
            <w:r>
              <w:rPr>
                <w:sz w:val="22"/>
                <w:szCs w:val="22"/>
              </w:rPr>
              <w:t>FG32</w:t>
            </w:r>
          </w:p>
          <w:p>
            <w:pPr>
              <w:pStyle w:val="Listenabsatz"/>
              <w:numPr>
                <w:ilvl w:val="1"/>
                <w:numId w:val="2"/>
              </w:numPr>
              <w:contextualSpacing w:val="0"/>
              <w:rPr>
                <w:sz w:val="22"/>
                <w:szCs w:val="22"/>
              </w:rPr>
            </w:pPr>
            <w:r>
              <w:rPr>
                <w:sz w:val="22"/>
                <w:szCs w:val="22"/>
              </w:rPr>
              <w:t>Michaela Diercke</w:t>
            </w:r>
          </w:p>
          <w:p>
            <w:pPr>
              <w:pStyle w:val="Listenabsatz"/>
              <w:numPr>
                <w:ilvl w:val="0"/>
                <w:numId w:val="2"/>
              </w:numPr>
              <w:contextualSpacing w:val="0"/>
              <w:rPr>
                <w:sz w:val="22"/>
                <w:szCs w:val="22"/>
              </w:rPr>
            </w:pPr>
            <w:r>
              <w:rPr>
                <w:sz w:val="22"/>
                <w:szCs w:val="22"/>
              </w:rPr>
              <w:t>FG33</w:t>
            </w:r>
          </w:p>
          <w:p>
            <w:pPr>
              <w:pStyle w:val="Listenabsatz"/>
              <w:numPr>
                <w:ilvl w:val="1"/>
                <w:numId w:val="2"/>
              </w:numPr>
              <w:contextualSpacing w:val="0"/>
              <w:rPr>
                <w:sz w:val="22"/>
                <w:szCs w:val="22"/>
              </w:rPr>
            </w:pPr>
            <w:r>
              <w:rPr>
                <w:sz w:val="22"/>
                <w:szCs w:val="22"/>
              </w:rPr>
              <w:t>Ole Wichmann</w:t>
            </w:r>
          </w:p>
          <w:p>
            <w:pPr>
              <w:pStyle w:val="Listenabsatz"/>
              <w:numPr>
                <w:ilvl w:val="1"/>
                <w:numId w:val="2"/>
              </w:numPr>
              <w:contextualSpacing w:val="0"/>
              <w:rPr>
                <w:sz w:val="22"/>
                <w:szCs w:val="22"/>
              </w:rPr>
            </w:pPr>
            <w:r>
              <w:rPr>
                <w:sz w:val="22"/>
                <w:szCs w:val="22"/>
              </w:rPr>
              <w:t xml:space="preserve">Elisa </w:t>
            </w:r>
            <w:proofErr w:type="spellStart"/>
            <w:r>
              <w:rPr>
                <w:sz w:val="22"/>
                <w:szCs w:val="22"/>
              </w:rPr>
              <w:t>Wulkotte</w:t>
            </w:r>
            <w:proofErr w:type="spellEnd"/>
          </w:p>
          <w:p>
            <w:pPr>
              <w:pStyle w:val="Listenabsatz"/>
              <w:numPr>
                <w:ilvl w:val="0"/>
                <w:numId w:val="4"/>
              </w:numPr>
              <w:contextualSpacing w:val="0"/>
              <w:rPr>
                <w:sz w:val="22"/>
                <w:szCs w:val="22"/>
              </w:rPr>
            </w:pPr>
            <w:r>
              <w:rPr>
                <w:sz w:val="22"/>
                <w:szCs w:val="22"/>
              </w:rPr>
              <w:t>FG34</w:t>
            </w:r>
          </w:p>
          <w:p>
            <w:pPr>
              <w:pStyle w:val="Listenabsatz"/>
              <w:numPr>
                <w:ilvl w:val="1"/>
                <w:numId w:val="2"/>
              </w:numPr>
              <w:contextualSpacing w:val="0"/>
              <w:rPr>
                <w:sz w:val="22"/>
                <w:szCs w:val="22"/>
              </w:rPr>
            </w:pPr>
            <w:r>
              <w:rPr>
                <w:sz w:val="22"/>
                <w:szCs w:val="22"/>
              </w:rPr>
              <w:t>Viviane Bremer</w:t>
            </w:r>
          </w:p>
          <w:p>
            <w:pPr>
              <w:pStyle w:val="Listenabsatz"/>
              <w:ind w:left="1440"/>
              <w:contextualSpacing w:val="0"/>
              <w:rPr>
                <w:sz w:val="22"/>
                <w:highlight w:val="yellow"/>
              </w:rPr>
            </w:pPr>
            <w:bookmarkStart w:id="0" w:name="_Hlk93663331"/>
          </w:p>
          <w:bookmarkEnd w:id="0"/>
          <w:p>
            <w:pPr>
              <w:pStyle w:val="Listenabsatz"/>
              <w:numPr>
                <w:ilvl w:val="0"/>
                <w:numId w:val="2"/>
              </w:numPr>
              <w:contextualSpacing w:val="0"/>
              <w:rPr>
                <w:sz w:val="22"/>
                <w:szCs w:val="22"/>
              </w:rPr>
            </w:pPr>
            <w:r>
              <w:rPr>
                <w:sz w:val="22"/>
                <w:szCs w:val="22"/>
              </w:rPr>
              <w:t>FG36</w:t>
            </w:r>
          </w:p>
          <w:p>
            <w:pPr>
              <w:pStyle w:val="Listenabsatz"/>
              <w:numPr>
                <w:ilvl w:val="1"/>
                <w:numId w:val="2"/>
              </w:numPr>
              <w:contextualSpacing w:val="0"/>
              <w:rPr>
                <w:sz w:val="22"/>
                <w:szCs w:val="22"/>
              </w:rPr>
            </w:pPr>
            <w:r>
              <w:rPr>
                <w:sz w:val="22"/>
                <w:szCs w:val="22"/>
              </w:rPr>
              <w:t>Silke Buda</w:t>
            </w:r>
          </w:p>
          <w:p>
            <w:pPr>
              <w:pStyle w:val="Listenabsatz"/>
              <w:numPr>
                <w:ilvl w:val="1"/>
                <w:numId w:val="2"/>
              </w:numPr>
              <w:contextualSpacing w:val="0"/>
              <w:rPr>
                <w:sz w:val="22"/>
                <w:szCs w:val="22"/>
              </w:rPr>
            </w:pPr>
            <w:r>
              <w:rPr>
                <w:sz w:val="22"/>
                <w:szCs w:val="22"/>
              </w:rPr>
              <w:t>Stefan Kröger</w:t>
            </w:r>
            <w:r>
              <w:rPr>
                <w:sz w:val="22"/>
                <w:szCs w:val="22"/>
              </w:rPr>
              <w:br/>
            </w:r>
          </w:p>
          <w:p>
            <w:pPr>
              <w:pStyle w:val="Listenabsatz"/>
              <w:numPr>
                <w:ilvl w:val="0"/>
                <w:numId w:val="2"/>
              </w:numPr>
              <w:contextualSpacing w:val="0"/>
              <w:rPr>
                <w:sz w:val="22"/>
                <w:szCs w:val="22"/>
              </w:rPr>
            </w:pPr>
            <w:r>
              <w:rPr>
                <w:sz w:val="22"/>
                <w:szCs w:val="22"/>
              </w:rPr>
              <w:t>FG37</w:t>
            </w:r>
          </w:p>
          <w:p>
            <w:pPr>
              <w:pStyle w:val="Listenabsatz"/>
              <w:numPr>
                <w:ilvl w:val="0"/>
                <w:numId w:val="14"/>
              </w:numPr>
              <w:contextualSpacing w:val="0"/>
              <w:rPr>
                <w:sz w:val="22"/>
                <w:szCs w:val="22"/>
              </w:rPr>
            </w:pPr>
            <w:r>
              <w:rPr>
                <w:sz w:val="22"/>
                <w:szCs w:val="22"/>
              </w:rPr>
              <w:t>Tim Eckmanns</w:t>
            </w:r>
          </w:p>
        </w:tc>
        <w:tc>
          <w:tcPr>
            <w:tcW w:w="4145" w:type="dxa"/>
          </w:tcPr>
          <w:p>
            <w:pPr>
              <w:pStyle w:val="Listenabsatz"/>
              <w:numPr>
                <w:ilvl w:val="0"/>
                <w:numId w:val="4"/>
              </w:numPr>
              <w:contextualSpacing w:val="0"/>
              <w:rPr>
                <w:sz w:val="22"/>
                <w:szCs w:val="22"/>
              </w:rPr>
            </w:pPr>
            <w:r>
              <w:rPr>
                <w:sz w:val="22"/>
                <w:szCs w:val="22"/>
              </w:rPr>
              <w:t>FG38</w:t>
            </w:r>
          </w:p>
          <w:p>
            <w:pPr>
              <w:pStyle w:val="Listenabsatz"/>
              <w:numPr>
                <w:ilvl w:val="1"/>
                <w:numId w:val="2"/>
              </w:numPr>
              <w:contextualSpacing w:val="0"/>
              <w:rPr>
                <w:sz w:val="22"/>
                <w:szCs w:val="22"/>
              </w:rPr>
            </w:pPr>
            <w:r>
              <w:rPr>
                <w:sz w:val="22"/>
                <w:szCs w:val="22"/>
              </w:rPr>
              <w:t>Ute Rexroth</w:t>
            </w:r>
          </w:p>
          <w:p>
            <w:pPr>
              <w:pStyle w:val="Listenabsatz"/>
              <w:numPr>
                <w:ilvl w:val="1"/>
                <w:numId w:val="2"/>
              </w:numPr>
              <w:contextualSpacing w:val="0"/>
              <w:rPr>
                <w:sz w:val="22"/>
                <w:szCs w:val="22"/>
              </w:rPr>
            </w:pPr>
            <w:r>
              <w:rPr>
                <w:sz w:val="22"/>
                <w:szCs w:val="22"/>
              </w:rPr>
              <w:t>Claudia Siffczyk</w:t>
            </w:r>
          </w:p>
          <w:p>
            <w:pPr>
              <w:pStyle w:val="Listenabsatz"/>
              <w:numPr>
                <w:ilvl w:val="1"/>
                <w:numId w:val="2"/>
              </w:numPr>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contextualSpacing w:val="0"/>
              <w:rPr>
                <w:sz w:val="22"/>
                <w:szCs w:val="22"/>
              </w:rPr>
            </w:pPr>
            <w:proofErr w:type="spellStart"/>
            <w:r>
              <w:rPr>
                <w:sz w:val="22"/>
                <w:szCs w:val="22"/>
              </w:rPr>
              <w:t>Navina</w:t>
            </w:r>
            <w:proofErr w:type="spellEnd"/>
            <w:r>
              <w:rPr>
                <w:sz w:val="22"/>
                <w:szCs w:val="22"/>
              </w:rPr>
              <w:t xml:space="preserve"> </w:t>
            </w:r>
            <w:proofErr w:type="spellStart"/>
            <w:r>
              <w:rPr>
                <w:sz w:val="22"/>
                <w:szCs w:val="22"/>
              </w:rPr>
              <w:t>Sarma</w:t>
            </w:r>
            <w:proofErr w:type="spellEnd"/>
          </w:p>
          <w:p>
            <w:pPr>
              <w:pStyle w:val="Listenabsatz"/>
              <w:numPr>
                <w:ilvl w:val="0"/>
                <w:numId w:val="4"/>
              </w:numPr>
              <w:rPr>
                <w:sz w:val="22"/>
                <w:szCs w:val="22"/>
              </w:rPr>
            </w:pPr>
            <w:r>
              <w:rPr>
                <w:sz w:val="22"/>
                <w:szCs w:val="22"/>
              </w:rPr>
              <w:t>ZBS1</w:t>
            </w:r>
          </w:p>
          <w:p>
            <w:pPr>
              <w:pStyle w:val="Listenabsatz"/>
              <w:numPr>
                <w:ilvl w:val="0"/>
                <w:numId w:val="11"/>
              </w:numPr>
              <w:rPr>
                <w:sz w:val="22"/>
                <w:szCs w:val="22"/>
              </w:rPr>
            </w:pPr>
            <w:r>
              <w:rPr>
                <w:sz w:val="22"/>
                <w:szCs w:val="22"/>
              </w:rPr>
              <w:t>Janine Michel</w:t>
            </w:r>
          </w:p>
          <w:p>
            <w:pPr>
              <w:pStyle w:val="Listenabsatz"/>
              <w:numPr>
                <w:ilvl w:val="0"/>
                <w:numId w:val="3"/>
              </w:numPr>
              <w:contextualSpacing w:val="0"/>
              <w:rPr>
                <w:sz w:val="22"/>
                <w:szCs w:val="22"/>
              </w:rPr>
            </w:pPr>
            <w:r>
              <w:rPr>
                <w:sz w:val="22"/>
                <w:szCs w:val="22"/>
              </w:rPr>
              <w:t>ZBS7</w:t>
            </w:r>
          </w:p>
          <w:p>
            <w:pPr>
              <w:pStyle w:val="Listenabsatz"/>
              <w:numPr>
                <w:ilvl w:val="1"/>
                <w:numId w:val="3"/>
              </w:numPr>
              <w:contextualSpacing w:val="0"/>
              <w:rPr>
                <w:sz w:val="22"/>
                <w:szCs w:val="22"/>
              </w:rPr>
            </w:pPr>
            <w:r>
              <w:rPr>
                <w:sz w:val="22"/>
                <w:szCs w:val="22"/>
              </w:rPr>
              <w:t>Michaela Niebank</w:t>
            </w:r>
          </w:p>
          <w:p>
            <w:pPr>
              <w:pStyle w:val="Listenabsatz"/>
              <w:numPr>
                <w:ilvl w:val="0"/>
                <w:numId w:val="3"/>
              </w:numPr>
              <w:contextualSpacing w:val="0"/>
              <w:rPr>
                <w:sz w:val="22"/>
                <w:szCs w:val="22"/>
              </w:rPr>
            </w:pPr>
            <w:r>
              <w:rPr>
                <w:sz w:val="22"/>
                <w:szCs w:val="22"/>
              </w:rPr>
              <w:t>MF2</w:t>
            </w:r>
          </w:p>
          <w:p>
            <w:pPr>
              <w:pStyle w:val="Listenabsatz"/>
              <w:numPr>
                <w:ilvl w:val="0"/>
                <w:numId w:val="3"/>
              </w:numPr>
              <w:contextualSpacing w:val="0"/>
              <w:rPr>
                <w:sz w:val="22"/>
                <w:szCs w:val="22"/>
              </w:rPr>
            </w:pPr>
            <w:r>
              <w:rPr>
                <w:sz w:val="22"/>
                <w:szCs w:val="22"/>
              </w:rPr>
              <w:t>P1</w:t>
            </w:r>
          </w:p>
          <w:p>
            <w:pPr>
              <w:pStyle w:val="Listenabsatz"/>
              <w:numPr>
                <w:ilvl w:val="1"/>
                <w:numId w:val="3"/>
              </w:numPr>
              <w:contextualSpacing w:val="0"/>
              <w:rPr>
                <w:sz w:val="22"/>
                <w:szCs w:val="22"/>
              </w:rPr>
            </w:pPr>
            <w:r>
              <w:rPr>
                <w:sz w:val="22"/>
                <w:szCs w:val="22"/>
              </w:rPr>
              <w:t>Ines Lein</w:t>
            </w:r>
          </w:p>
          <w:p>
            <w:pPr>
              <w:pStyle w:val="Listenabsatz"/>
              <w:numPr>
                <w:ilvl w:val="0"/>
                <w:numId w:val="3"/>
              </w:numPr>
              <w:contextualSpacing w:val="0"/>
              <w:rPr>
                <w:sz w:val="22"/>
                <w:szCs w:val="22"/>
              </w:rPr>
            </w:pPr>
            <w:r>
              <w:rPr>
                <w:sz w:val="22"/>
                <w:szCs w:val="22"/>
              </w:rPr>
              <w:t>P4</w:t>
            </w:r>
          </w:p>
          <w:p>
            <w:pPr>
              <w:pStyle w:val="Listenabsatz"/>
              <w:numPr>
                <w:ilvl w:val="0"/>
                <w:numId w:val="3"/>
              </w:numPr>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contextualSpacing w:val="0"/>
              <w:rPr>
                <w:sz w:val="22"/>
                <w:szCs w:val="22"/>
              </w:rPr>
            </w:pPr>
            <w:r>
              <w:rPr>
                <w:sz w:val="22"/>
                <w:szCs w:val="22"/>
              </w:rPr>
              <w:t>ZIG</w:t>
            </w:r>
          </w:p>
          <w:p>
            <w:pPr>
              <w:pStyle w:val="Listenabsatz"/>
              <w:numPr>
                <w:ilvl w:val="1"/>
                <w:numId w:val="2"/>
              </w:numPr>
              <w:contextualSpacing w:val="0"/>
              <w:rPr>
                <w:sz w:val="22"/>
                <w:szCs w:val="22"/>
              </w:rPr>
            </w:pPr>
            <w:r>
              <w:rPr>
                <w:sz w:val="22"/>
                <w:szCs w:val="22"/>
              </w:rPr>
              <w:t>Johanna Hanefeld</w:t>
            </w:r>
          </w:p>
          <w:p>
            <w:pPr>
              <w:pStyle w:val="Listenabsatz"/>
              <w:numPr>
                <w:ilvl w:val="1"/>
                <w:numId w:val="2"/>
              </w:numPr>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0"/>
                <w:numId w:val="2"/>
              </w:numPr>
              <w:contextualSpacing w:val="0"/>
              <w:rPr>
                <w:sz w:val="22"/>
                <w:szCs w:val="22"/>
              </w:rPr>
            </w:pPr>
            <w:r>
              <w:rPr>
                <w:sz w:val="22"/>
                <w:szCs w:val="22"/>
              </w:rPr>
              <w:t>ZIG1</w:t>
            </w:r>
          </w:p>
          <w:p>
            <w:pPr>
              <w:pStyle w:val="Listenabsatz"/>
              <w:numPr>
                <w:ilvl w:val="1"/>
                <w:numId w:val="2"/>
              </w:numPr>
              <w:contextualSpacing w:val="0"/>
              <w:rPr>
                <w:rStyle w:val="highlight"/>
                <w:sz w:val="22"/>
                <w:szCs w:val="22"/>
              </w:rPr>
            </w:pPr>
            <w:r>
              <w:rPr>
                <w:rStyle w:val="highlight"/>
                <w:sz w:val="22"/>
                <w:szCs w:val="22"/>
              </w:rPr>
              <w:t>Sofie</w:t>
            </w:r>
            <w:r>
              <w:rPr>
                <w:sz w:val="22"/>
                <w:szCs w:val="22"/>
              </w:rPr>
              <w:t xml:space="preserve"> </w:t>
            </w:r>
            <w:proofErr w:type="spellStart"/>
            <w:r>
              <w:rPr>
                <w:sz w:val="22"/>
                <w:szCs w:val="22"/>
              </w:rPr>
              <w:t>Gillesberg</w:t>
            </w:r>
            <w:proofErr w:type="spellEnd"/>
            <w:r>
              <w:rPr>
                <w:sz w:val="22"/>
                <w:szCs w:val="22"/>
              </w:rPr>
              <w:t xml:space="preserve"> Raiser</w:t>
            </w:r>
          </w:p>
          <w:p>
            <w:pPr>
              <w:pStyle w:val="Listenabsatz"/>
              <w:numPr>
                <w:ilvl w:val="0"/>
                <w:numId w:val="2"/>
              </w:numPr>
              <w:contextualSpacing w:val="0"/>
              <w:rPr>
                <w:rStyle w:val="highlight"/>
                <w:sz w:val="22"/>
                <w:szCs w:val="22"/>
              </w:rPr>
            </w:pPr>
            <w:r>
              <w:rPr>
                <w:rStyle w:val="highlight"/>
                <w:sz w:val="22"/>
                <w:szCs w:val="22"/>
              </w:rPr>
              <w:t>ZIG2</w:t>
            </w:r>
          </w:p>
          <w:p>
            <w:pPr>
              <w:pStyle w:val="Listenabsatz"/>
              <w:numPr>
                <w:ilvl w:val="0"/>
                <w:numId w:val="2"/>
              </w:numPr>
              <w:contextualSpacing w:val="0"/>
              <w:rPr>
                <w:sz w:val="22"/>
                <w:szCs w:val="22"/>
              </w:rPr>
            </w:pPr>
            <w:r>
              <w:rPr>
                <w:sz w:val="22"/>
                <w:szCs w:val="22"/>
              </w:rPr>
              <w:t xml:space="preserve">BZgA </w:t>
            </w:r>
          </w:p>
          <w:p>
            <w:pPr>
              <w:pStyle w:val="Listenabsatz"/>
              <w:numPr>
                <w:ilvl w:val="1"/>
                <w:numId w:val="2"/>
              </w:numPr>
              <w:contextualSpacing w:val="0"/>
              <w:rPr>
                <w:sz w:val="22"/>
                <w:szCs w:val="22"/>
              </w:rPr>
            </w:pPr>
            <w:r>
              <w:rPr>
                <w:sz w:val="22"/>
                <w:szCs w:val="22"/>
              </w:rPr>
              <w:t>Linda Seefeld</w:t>
            </w:r>
          </w:p>
          <w:p>
            <w:pPr>
              <w:rPr>
                <w:b/>
                <w:sz w:val="22"/>
              </w:rPr>
            </w:pPr>
          </w:p>
        </w:tc>
      </w:tr>
    </w:tbl>
    <w:p>
      <w:pPr>
        <w:spacing w:after="0"/>
        <w:rPr>
          <w:b/>
          <w:sz w:val="22"/>
        </w:rPr>
      </w:pPr>
    </w:p>
    <w:p>
      <w:pPr>
        <w:pStyle w:val="Listenabsatz"/>
        <w:spacing w:after="0"/>
        <w:ind w:left="1440"/>
        <w:contextualSpacing w:val="0"/>
        <w:rPr>
          <w:sz w:val="22"/>
          <w:szCs w:val="22"/>
        </w:rPr>
      </w:pPr>
    </w:p>
    <w:p>
      <w:pPr>
        <w:rPr>
          <w:sz w:val="22"/>
          <w:szCs w:val="22"/>
        </w:rPr>
      </w:pPr>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pStyle w:val="1"/>
              <w:spacing w:line="240" w:lineRule="auto"/>
              <w:rPr>
                <w:sz w:val="24"/>
              </w:rPr>
            </w:pPr>
            <w:r>
              <w:rPr>
                <w:sz w:val="24"/>
              </w:rPr>
              <w:lastRenderedPageBreak/>
              <w:br w:type="page"/>
            </w:r>
            <w:r>
              <w:rPr>
                <w:sz w:val="24"/>
              </w:rPr>
              <w:br w:type="page"/>
              <w:t>TOP</w:t>
            </w:r>
          </w:p>
        </w:tc>
        <w:tc>
          <w:tcPr>
            <w:tcW w:w="6682" w:type="dxa"/>
          </w:tcPr>
          <w:p>
            <w:pPr>
              <w:pStyle w:val="1"/>
              <w:spacing w:line="240" w:lineRule="auto"/>
              <w:rPr>
                <w:sz w:val="24"/>
              </w:rPr>
            </w:pPr>
            <w:r>
              <w:rPr>
                <w:sz w:val="24"/>
              </w:rPr>
              <w:t>Beitrag/ Thema</w:t>
            </w:r>
          </w:p>
        </w:tc>
        <w:tc>
          <w:tcPr>
            <w:tcW w:w="1605" w:type="dxa"/>
          </w:tcPr>
          <w:p>
            <w:pPr>
              <w:rPr>
                <w:b/>
                <w:sz w:val="22"/>
                <w:szCs w:val="22"/>
              </w:rPr>
            </w:pPr>
            <w:r>
              <w:rPr>
                <w:b/>
                <w:sz w:val="22"/>
                <w:szCs w:val="22"/>
              </w:rPr>
              <w:t>eingebracht von</w:t>
            </w:r>
          </w:p>
        </w:tc>
      </w:tr>
      <w:tr>
        <w:tc>
          <w:tcPr>
            <w:tcW w:w="684" w:type="dxa"/>
          </w:tcPr>
          <w:p>
            <w:pPr>
              <w:rPr>
                <w:b/>
              </w:rPr>
            </w:pPr>
            <w:r>
              <w:rPr>
                <w:b/>
              </w:rPr>
              <w:t>1</w:t>
            </w:r>
          </w:p>
        </w:tc>
        <w:tc>
          <w:tcPr>
            <w:tcW w:w="6682" w:type="dxa"/>
          </w:tcPr>
          <w:p>
            <w:pPr>
              <w:pStyle w:val="1"/>
              <w:spacing w:line="240" w:lineRule="auto"/>
            </w:pPr>
            <w:r>
              <w:t xml:space="preserve">Aktuelle Lage </w:t>
            </w:r>
          </w:p>
          <w:p>
            <w:pPr>
              <w:rPr>
                <w:rStyle w:val="TagFrZchn"/>
              </w:rPr>
            </w:pPr>
            <w:r>
              <w:rPr>
                <w:rStyle w:val="2Zchn"/>
                <w:sz w:val="22"/>
                <w:szCs w:val="22"/>
              </w:rPr>
              <w:t>International</w:t>
            </w:r>
            <w:r>
              <w:rPr>
                <w:b/>
                <w:sz w:val="22"/>
                <w:szCs w:val="22"/>
              </w:rPr>
              <w:t xml:space="preserve"> </w:t>
            </w:r>
            <w:r>
              <w:rPr>
                <w:rStyle w:val="TagFrZchn"/>
              </w:rPr>
              <w:t>(nur freitags)</w:t>
            </w:r>
          </w:p>
          <w:p>
            <w:pPr>
              <w:pStyle w:val="Liste3"/>
              <w:numPr>
                <w:ilvl w:val="0"/>
                <w:numId w:val="0"/>
              </w:numPr>
            </w:pPr>
            <w:r>
              <w:t xml:space="preserve">Folien </w:t>
            </w:r>
            <w:hyperlink r:id="rId11" w:history="1">
              <w:r>
                <w:rPr>
                  <w:rStyle w:val="Hyperlink"/>
                </w:rPr>
                <w:t>hier</w:t>
              </w:r>
            </w:hyperlink>
            <w:r>
              <w:t xml:space="preserve"> </w:t>
            </w:r>
          </w:p>
          <w:p>
            <w:pPr>
              <w:pStyle w:val="Listenabsatz"/>
              <w:numPr>
                <w:ilvl w:val="0"/>
                <w:numId w:val="17"/>
              </w:numPr>
              <w:rPr>
                <w:rStyle w:val="TagFrZchn"/>
                <w:b w:val="0"/>
                <w:i w:val="0"/>
                <w:color w:val="auto"/>
              </w:rPr>
            </w:pPr>
            <w:r>
              <w:rPr>
                <w:rStyle w:val="TagFrZchn"/>
                <w:b w:val="0"/>
                <w:i w:val="0"/>
                <w:color w:val="auto"/>
              </w:rPr>
              <w:t>Top 10 Länder: dieselben wie in der Vorwoche, D auf Platz 6</w:t>
            </w:r>
          </w:p>
          <w:p>
            <w:pPr>
              <w:pStyle w:val="Liste1"/>
              <w:numPr>
                <w:ilvl w:val="0"/>
                <w:numId w:val="15"/>
              </w:numPr>
            </w:pPr>
            <w:r>
              <w:t>Global sind weiterhin Fallanstiege zu beobachten, wenn auch verlangsamt. Europa: 50% der neuen globalen Fälle.</w:t>
            </w:r>
          </w:p>
          <w:p>
            <w:pPr>
              <w:pStyle w:val="Liste1"/>
              <w:numPr>
                <w:ilvl w:val="0"/>
                <w:numId w:val="15"/>
              </w:numPr>
            </w:pPr>
            <w:r>
              <w:t xml:space="preserve">Rückgang in den Fallzahlen in Nord- und Südamerika und Afrika, hier vor allem im südlichen Afrika. </w:t>
            </w:r>
          </w:p>
          <w:p>
            <w:pPr>
              <w:pStyle w:val="Liste1"/>
              <w:numPr>
                <w:ilvl w:val="0"/>
                <w:numId w:val="15"/>
              </w:numPr>
            </w:pPr>
            <w:r>
              <w:t>Rückgang der Fallzahlen ebenfalls in UK und Finnland</w:t>
            </w:r>
          </w:p>
          <w:p>
            <w:pPr>
              <w:pStyle w:val="Liste1"/>
              <w:numPr>
                <w:ilvl w:val="0"/>
                <w:numId w:val="15"/>
              </w:numPr>
            </w:pPr>
            <w:r>
              <w:t xml:space="preserve">7TI allerdings überall noch auf sehr hohem Niveau. </w:t>
            </w:r>
          </w:p>
          <w:p>
            <w:pPr>
              <w:pStyle w:val="Liste1"/>
              <w:ind w:left="1077"/>
            </w:pPr>
          </w:p>
          <w:p>
            <w:pPr>
              <w:pStyle w:val="Liste1"/>
              <w:numPr>
                <w:ilvl w:val="0"/>
                <w:numId w:val="16"/>
              </w:numPr>
            </w:pPr>
            <w:r>
              <w:t>Vergleich Anzahl durchgeführter PCR Tests/Woche/100.000 Einwohner/Innen in verschiedenen europäischen Ländern; Rücknahme der Maßnahmen in DK:</w:t>
            </w:r>
          </w:p>
          <w:p>
            <w:pPr>
              <w:pStyle w:val="Liste1"/>
              <w:numPr>
                <w:ilvl w:val="0"/>
                <w:numId w:val="15"/>
              </w:numPr>
            </w:pPr>
            <w:r>
              <w:t xml:space="preserve">KW2 durchgeführte PCR Tests/Woche/100.000 EinwohnerInnen: D: 2.467; AUT: 41.149; DK: 22.874 </w:t>
            </w:r>
          </w:p>
          <w:p>
            <w:pPr>
              <w:pStyle w:val="Liste1"/>
              <w:numPr>
                <w:ilvl w:val="0"/>
                <w:numId w:val="15"/>
              </w:numPr>
            </w:pPr>
            <w:r>
              <w:t>DK: Rücknahme der meisten COVID-verbundenen Maßnahmen: 7TI liegt bei knapp 5.000, PCR-</w:t>
            </w:r>
            <w:proofErr w:type="spellStart"/>
            <w:r>
              <w:t>Positivenrate</w:t>
            </w:r>
            <w:proofErr w:type="spellEnd"/>
            <w:r>
              <w:t xml:space="preserve"> von 24%; hohe Immunität in der Bevölkerung: 81% der Gesamtbevölkerung vollständig geimpft, 60% </w:t>
            </w:r>
            <w:proofErr w:type="spellStart"/>
            <w:r>
              <w:t>geboostert</w:t>
            </w:r>
            <w:proofErr w:type="spellEnd"/>
            <w:r>
              <w:t xml:space="preserve">. </w:t>
            </w:r>
          </w:p>
          <w:p>
            <w:pPr>
              <w:pStyle w:val="Liste1"/>
              <w:ind w:left="1077"/>
            </w:pPr>
            <w:r>
              <w:t xml:space="preserve">Analyse der neu-hospitalisierten Fälle pro Anzahl tägliche Fälle vor 10 Tagen: Verhältnis sinkt und stabilisiert sich. Anfang Dez.: (Delta vorherrschend) </w:t>
            </w:r>
            <w:proofErr w:type="spellStart"/>
            <w:r>
              <w:t>Hosp.rate</w:t>
            </w:r>
            <w:proofErr w:type="spellEnd"/>
            <w:r>
              <w:t xml:space="preserve"> 3%; 10.01.22 (Omikron vorherrschend) </w:t>
            </w:r>
            <w:proofErr w:type="spellStart"/>
            <w:r>
              <w:t>Hosp.rate</w:t>
            </w:r>
            <w:proofErr w:type="spellEnd"/>
            <w:r>
              <w:t xml:space="preserve"> 1,5 %. Krankenhausbelegung und Anzahl Patienten auf ITS, die beatmet werden, sind rückläufig. In Krankenhäusern sieht man eine Zunahme an COVID-Diagnosen als Nebenbefund, vor allem in den jüngeren Altersgruppen.</w:t>
            </w:r>
          </w:p>
          <w:p>
            <w:pPr>
              <w:pStyle w:val="Liste1"/>
              <w:numPr>
                <w:ilvl w:val="0"/>
                <w:numId w:val="15"/>
              </w:numPr>
            </w:pPr>
            <w:r>
              <w:t>Hospitalisierungen in NY State: auf hohem Niveau; größte Zuname bei Kindern 0-4 und 12-</w:t>
            </w:r>
            <w:proofErr w:type="gramStart"/>
            <w:r>
              <w:t>18  (</w:t>
            </w:r>
            <w:proofErr w:type="gramEnd"/>
            <w:r>
              <w:t>über 800% Zunahme). 0-4-Jährige: 54% der Kinder hatten keine Komorbiditäten, 64% mit Symptomen. 47% waren aus anderen Gründen als COVID-19 im Krankenhaus.</w:t>
            </w:r>
          </w:p>
          <w:p>
            <w:pPr>
              <w:pStyle w:val="2"/>
              <w:spacing w:line="240" w:lineRule="auto"/>
            </w:pPr>
            <w:r>
              <w:t xml:space="preserve">National </w:t>
            </w:r>
          </w:p>
          <w:p>
            <w:pPr>
              <w:pStyle w:val="Liste1"/>
            </w:pPr>
            <w:r>
              <w:t xml:space="preserve">Fallzahlen, Todesfälle, Trend, Folien </w:t>
            </w:r>
            <w:hyperlink r:id="rId12" w:history="1">
              <w:r>
                <w:rPr>
                  <w:rStyle w:val="Hyperlink"/>
                </w:rPr>
                <w:t>hier</w:t>
              </w:r>
            </w:hyperlink>
          </w:p>
          <w:p>
            <w:pPr>
              <w:pStyle w:val="Liste2"/>
              <w:numPr>
                <w:ilvl w:val="0"/>
                <w:numId w:val="15"/>
              </w:numPr>
              <w:rPr>
                <w:lang w:val="de-DE"/>
              </w:rPr>
            </w:pPr>
            <w:proofErr w:type="spellStart"/>
            <w:r>
              <w:rPr>
                <w:lang w:val="de-DE"/>
              </w:rPr>
              <w:t>SurvNet</w:t>
            </w:r>
            <w:proofErr w:type="spellEnd"/>
            <w:r>
              <w:rPr>
                <w:lang w:val="de-DE"/>
              </w:rPr>
              <w:t xml:space="preserve"> übermittelt: 9.429.079 (+190.148), davon 117.484 (+170) Todesfälle </w:t>
            </w:r>
          </w:p>
          <w:p>
            <w:pPr>
              <w:pStyle w:val="Liste2"/>
              <w:numPr>
                <w:ilvl w:val="0"/>
                <w:numId w:val="15"/>
              </w:numPr>
              <w:rPr>
                <w:lang w:val="de-DE"/>
              </w:rPr>
            </w:pPr>
            <w:r>
              <w:rPr>
                <w:lang w:val="de-DE"/>
              </w:rPr>
              <w:t xml:space="preserve">7-Tage-Inzidenz:  1.073,0/100.000 </w:t>
            </w:r>
            <w:proofErr w:type="spellStart"/>
            <w:r>
              <w:rPr>
                <w:lang w:val="de-DE"/>
              </w:rPr>
              <w:t>Einw</w:t>
            </w:r>
            <w:proofErr w:type="spellEnd"/>
            <w:r>
              <w:rPr>
                <w:lang w:val="de-DE"/>
              </w:rPr>
              <w:t>.</w:t>
            </w:r>
          </w:p>
          <w:p>
            <w:pPr>
              <w:pStyle w:val="Liste2"/>
              <w:numPr>
                <w:ilvl w:val="0"/>
                <w:numId w:val="15"/>
              </w:numPr>
              <w:rPr>
                <w:lang w:val="de-DE"/>
              </w:rPr>
            </w:pPr>
            <w:r>
              <w:rPr>
                <w:lang w:val="de-DE"/>
              </w:rPr>
              <w:t>DIVI Intensivregister 2.274 (-89)</w:t>
            </w:r>
          </w:p>
          <w:p>
            <w:pPr>
              <w:pStyle w:val="Liste2"/>
              <w:numPr>
                <w:ilvl w:val="0"/>
                <w:numId w:val="15"/>
              </w:numPr>
              <w:rPr>
                <w:lang w:val="de-DE"/>
              </w:rPr>
            </w:pPr>
            <w:r>
              <w:rPr>
                <w:lang w:val="de-DE"/>
              </w:rPr>
              <w:t>Impfungen, s. Folie</w:t>
            </w:r>
          </w:p>
          <w:p>
            <w:pPr>
              <w:pStyle w:val="Liste2"/>
              <w:numPr>
                <w:ilvl w:val="0"/>
                <w:numId w:val="15"/>
              </w:numPr>
              <w:rPr>
                <w:lang w:val="de-DE"/>
              </w:rPr>
            </w:pPr>
            <w:r>
              <w:rPr>
                <w:lang w:val="de-DE"/>
              </w:rPr>
              <w:t xml:space="preserve">Trendbericht: </w:t>
            </w:r>
            <w:proofErr w:type="spellStart"/>
            <w:r>
              <w:rPr>
                <w:lang w:val="de-DE"/>
              </w:rPr>
              <w:t>Positivenanteil</w:t>
            </w:r>
            <w:proofErr w:type="spellEnd"/>
            <w:r>
              <w:rPr>
                <w:lang w:val="de-DE"/>
              </w:rPr>
              <w:t xml:space="preserve"> und Anzahl PCR-Tests steigen, Anteil COVID an SARI auf ITS gehen zurück; Todesfälle sind leicht rückläufig.</w:t>
            </w:r>
          </w:p>
          <w:p>
            <w:pPr>
              <w:pStyle w:val="Liste2"/>
              <w:numPr>
                <w:ilvl w:val="0"/>
                <w:numId w:val="15"/>
              </w:numPr>
              <w:rPr>
                <w:lang w:val="de-DE"/>
              </w:rPr>
            </w:pPr>
            <w:r>
              <w:rPr>
                <w:lang w:val="de-DE"/>
              </w:rPr>
              <w:t>Verlauf der 7-Tage-Inzidenz der Bundesländer:</w:t>
            </w:r>
          </w:p>
          <w:p>
            <w:pPr>
              <w:pStyle w:val="Liste2"/>
              <w:numPr>
                <w:ilvl w:val="0"/>
                <w:numId w:val="0"/>
              </w:numPr>
              <w:ind w:left="1077"/>
              <w:rPr>
                <w:lang w:val="de-DE"/>
              </w:rPr>
            </w:pPr>
            <w:r>
              <w:rPr>
                <w:lang w:val="de-DE"/>
              </w:rPr>
              <w:t xml:space="preserve">Berlin, Hamburg, Bremen Spitzenreiter, Anstiege sind in allen Bundesländern zu sehen. </w:t>
            </w:r>
          </w:p>
          <w:p>
            <w:pPr>
              <w:pStyle w:val="Liste2"/>
              <w:numPr>
                <w:ilvl w:val="0"/>
                <w:numId w:val="15"/>
              </w:numPr>
              <w:rPr>
                <w:lang w:val="de-DE"/>
              </w:rPr>
            </w:pPr>
            <w:r>
              <w:rPr>
                <w:lang w:val="de-DE"/>
              </w:rPr>
              <w:lastRenderedPageBreak/>
              <w:t>Geografische Verteilung 7-Tage-Inzidenz Kreise: Nur 39 Kreise liegen in der Inzidenz noch unter 500.</w:t>
            </w:r>
          </w:p>
          <w:p>
            <w:pPr>
              <w:pStyle w:val="Liste2"/>
              <w:numPr>
                <w:ilvl w:val="0"/>
                <w:numId w:val="15"/>
              </w:numPr>
              <w:rPr>
                <w:lang w:val="de-DE"/>
              </w:rPr>
            </w:pPr>
            <w:r>
              <w:rPr>
                <w:lang w:val="de-DE"/>
              </w:rPr>
              <w:t xml:space="preserve">7-Tage-Inzidenz nach Altersgruppen: Höchste Inzidenz bei den 5-9-Jährigen (2.365), was einer Verdopplung von Woche 2 auf Woche 3 entspricht. Auch in den Altersgruppen Ü60 sind Anstiege zu beobachten, wenn auch nicht ganz so stark wie bei den Kindern. </w:t>
            </w:r>
          </w:p>
          <w:p>
            <w:pPr>
              <w:pStyle w:val="Liste2"/>
              <w:numPr>
                <w:ilvl w:val="0"/>
                <w:numId w:val="15"/>
              </w:numPr>
              <w:rPr>
                <w:lang w:val="de-DE"/>
              </w:rPr>
            </w:pPr>
            <w:proofErr w:type="spellStart"/>
            <w:r>
              <w:rPr>
                <w:lang w:val="de-DE"/>
              </w:rPr>
              <w:t>Hosp</w:t>
            </w:r>
            <w:proofErr w:type="spellEnd"/>
            <w:r>
              <w:rPr>
                <w:lang w:val="de-DE"/>
              </w:rPr>
              <w:t>. Inzidenz: leichter Anstieg in allen Altersgruppen</w:t>
            </w:r>
          </w:p>
          <w:p>
            <w:pPr>
              <w:pStyle w:val="Liste2"/>
              <w:numPr>
                <w:ilvl w:val="0"/>
                <w:numId w:val="0"/>
              </w:numPr>
              <w:ind w:left="1077"/>
              <w:rPr>
                <w:lang w:val="de-DE"/>
              </w:rPr>
            </w:pPr>
          </w:p>
          <w:p>
            <w:pPr>
              <w:pStyle w:val="Liste1"/>
            </w:pPr>
            <w:r>
              <w:t>Diskussion/Ergänzungen</w:t>
            </w:r>
          </w:p>
          <w:p>
            <w:pPr>
              <w:pStyle w:val="Liste2"/>
              <w:numPr>
                <w:ilvl w:val="0"/>
                <w:numId w:val="18"/>
              </w:numPr>
              <w:rPr>
                <w:lang w:val="de-DE"/>
              </w:rPr>
            </w:pPr>
            <w:r>
              <w:rPr>
                <w:lang w:val="de-DE"/>
              </w:rPr>
              <w:t xml:space="preserve">Nicht nur auf COVID-19 Meldedaten schauen, sondern diese auch im Kontext betrachten.  Nach Außen wird dies bereits im Lagebericht kommuniziert. </w:t>
            </w:r>
          </w:p>
          <w:p>
            <w:pPr>
              <w:pStyle w:val="Liste2"/>
              <w:numPr>
                <w:ilvl w:val="0"/>
                <w:numId w:val="18"/>
              </w:numPr>
              <w:rPr>
                <w:lang w:val="de-DE"/>
              </w:rPr>
            </w:pPr>
            <w:r>
              <w:rPr>
                <w:lang w:val="de-DE"/>
              </w:rPr>
              <w:t xml:space="preserve">SARI Fälle Kinder und Jugendliche, mit und ohne COVID-Diagnose: SARI Fälle steigen leicht an. Hospitalisierungen liegen deutlich unter dem Niveau der Vorjahre. </w:t>
            </w:r>
          </w:p>
          <w:p>
            <w:pPr>
              <w:pStyle w:val="Liste2"/>
              <w:numPr>
                <w:ilvl w:val="0"/>
                <w:numId w:val="18"/>
              </w:numPr>
              <w:rPr>
                <w:lang w:val="de-DE"/>
              </w:rPr>
            </w:pPr>
            <w:r>
              <w:rPr>
                <w:lang w:val="de-DE"/>
              </w:rPr>
              <w:t xml:space="preserve">Ist der Rückgang in der ITS-Belegung auf den Rückgang von Delta zurückzuführen? Antwort: Ja, und zudem noch niedriger Anteil an Omikron, und bisher sehr stark jüngere Altersgruppen betroffen. </w:t>
            </w:r>
          </w:p>
        </w:tc>
        <w:tc>
          <w:tcPr>
            <w:tcW w:w="1605"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lastRenderedPageBreak/>
              <w:t>2</w:t>
            </w:r>
          </w:p>
        </w:tc>
        <w:tc>
          <w:tcPr>
            <w:tcW w:w="6682" w:type="dxa"/>
          </w:tcPr>
          <w:p>
            <w:pPr>
              <w:spacing w:after="120"/>
              <w:rPr>
                <w:b/>
                <w:i/>
                <w:color w:val="8DB3E2" w:themeColor="text2" w:themeTint="66"/>
                <w:sz w:val="22"/>
                <w:szCs w:val="22"/>
              </w:rPr>
            </w:pPr>
            <w:r>
              <w:rPr>
                <w:rStyle w:val="1Zchn"/>
              </w:rPr>
              <w:t>Internationales</w:t>
            </w:r>
            <w:r>
              <w:rPr>
                <w:b/>
                <w:color w:val="FF0000"/>
              </w:rPr>
              <w:t xml:space="preserve"> </w:t>
            </w:r>
            <w:r>
              <w:rPr>
                <w:rStyle w:val="TagFrZchn"/>
              </w:rPr>
              <w:t>(nur freitags)</w:t>
            </w:r>
          </w:p>
          <w:p>
            <w:pPr>
              <w:pStyle w:val="Liste3"/>
              <w:numPr>
                <w:ilvl w:val="0"/>
                <w:numId w:val="0"/>
              </w:numPr>
              <w:rPr>
                <w:b/>
              </w:rPr>
            </w:pPr>
            <w:r>
              <w:rPr>
                <w:b/>
              </w:rPr>
              <w:t xml:space="preserve">Aktivitäten </w:t>
            </w:r>
          </w:p>
          <w:p>
            <w:pPr>
              <w:pStyle w:val="Liste3"/>
              <w:numPr>
                <w:ilvl w:val="0"/>
                <w:numId w:val="19"/>
              </w:numPr>
            </w:pPr>
            <w:r>
              <w:t xml:space="preserve">Februar: Aufbau </w:t>
            </w:r>
            <w:proofErr w:type="spellStart"/>
            <w:r>
              <w:t>Sequenzierkapazitäten</w:t>
            </w:r>
            <w:proofErr w:type="spellEnd"/>
            <w:r>
              <w:t xml:space="preserve"> in Montenegro </w:t>
            </w:r>
          </w:p>
          <w:p>
            <w:pPr>
              <w:pStyle w:val="Liste3"/>
              <w:numPr>
                <w:ilvl w:val="0"/>
                <w:numId w:val="19"/>
              </w:numPr>
            </w:pPr>
            <w:r>
              <w:t>Anfang März Aufbau Laborkapazitäten im Kosovo</w:t>
            </w:r>
          </w:p>
          <w:p>
            <w:pPr>
              <w:pStyle w:val="Liste3"/>
              <w:numPr>
                <w:ilvl w:val="0"/>
                <w:numId w:val="19"/>
              </w:numPr>
            </w:pPr>
            <w:r>
              <w:t>2 SEEG Missionen: Labortraining in Tadschikistan (13-24 Feb) und ein Rapid Response Team nach Gambia (März)</w:t>
            </w:r>
          </w:p>
          <w:p>
            <w:pPr>
              <w:pStyle w:val="Liste3"/>
              <w:numPr>
                <w:ilvl w:val="0"/>
                <w:numId w:val="19"/>
              </w:numPr>
            </w:pPr>
            <w:r>
              <w:t>Zudem 2 Missionen: COVID Response Elfenbeinküste und Burkina Faso</w:t>
            </w:r>
          </w:p>
          <w:p>
            <w:pPr>
              <w:pStyle w:val="Liste3"/>
              <w:numPr>
                <w:ilvl w:val="0"/>
                <w:numId w:val="19"/>
              </w:numPr>
            </w:pPr>
            <w:r>
              <w:t>Corona Global: Laborunterstützung Madagaskar</w:t>
            </w:r>
          </w:p>
          <w:p>
            <w:pPr>
              <w:pStyle w:val="Liste3"/>
              <w:numPr>
                <w:ilvl w:val="0"/>
                <w:numId w:val="19"/>
              </w:numPr>
            </w:pPr>
            <w:r>
              <w:t>Zusammen mit Abt. 3: diese Woche Beendung einer Mission in der Ukraine</w:t>
            </w:r>
          </w:p>
        </w:tc>
        <w:tc>
          <w:tcPr>
            <w:tcW w:w="1605" w:type="dxa"/>
          </w:tcPr>
          <w:p>
            <w:pPr>
              <w:rPr>
                <w:sz w:val="22"/>
                <w:szCs w:val="22"/>
              </w:rPr>
            </w:pPr>
          </w:p>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682" w:type="dxa"/>
          </w:tcPr>
          <w:p>
            <w:pPr>
              <w:spacing w:after="120"/>
              <w:rPr>
                <w:rStyle w:val="TagMoZchn"/>
              </w:rPr>
            </w:pPr>
            <w:r>
              <w:rPr>
                <w:rStyle w:val="1Zchn"/>
              </w:rPr>
              <w:t>Update digitale Projekte</w:t>
            </w:r>
            <w:r>
              <w:rPr>
                <w:b/>
                <w:sz w:val="28"/>
              </w:rPr>
              <w:t xml:space="preserve"> </w:t>
            </w:r>
            <w:r>
              <w:rPr>
                <w:rStyle w:val="TagFrZchn"/>
              </w:rPr>
              <w:t>(nur freitags)</w:t>
            </w:r>
          </w:p>
          <w:p>
            <w:pPr>
              <w:pStyle w:val="Liste1"/>
              <w:numPr>
                <w:ilvl w:val="0"/>
                <w:numId w:val="8"/>
              </w:numPr>
            </w:pPr>
            <w:r>
              <w:t xml:space="preserve">Folien </w:t>
            </w:r>
            <w:hyperlink r:id="rId13" w:history="1">
              <w:r>
                <w:rPr>
                  <w:rStyle w:val="Hyperlink"/>
                </w:rPr>
                <w:t>hier</w:t>
              </w:r>
            </w:hyperlink>
            <w:r>
              <w:t xml:space="preserve"> </w:t>
            </w:r>
          </w:p>
          <w:p>
            <w:pPr>
              <w:pStyle w:val="Liste1"/>
              <w:numPr>
                <w:ilvl w:val="0"/>
                <w:numId w:val="8"/>
              </w:numPr>
              <w:rPr>
                <w:lang w:val="en-US"/>
              </w:rPr>
            </w:pPr>
            <w:r>
              <w:rPr>
                <w:lang w:val="en-US"/>
              </w:rPr>
              <w:t>&gt; 41,5 Mio. Downloads |35.500 Follower,</w:t>
            </w:r>
          </w:p>
          <w:p>
            <w:pPr>
              <w:pStyle w:val="Liste1"/>
              <w:numPr>
                <w:ilvl w:val="0"/>
                <w:numId w:val="8"/>
              </w:numPr>
            </w:pPr>
            <w:r>
              <w:t>&gt; 1,5 Millionen, die mit PCR-gewarnt haben, &gt;40.000 Warnende/Tag</w:t>
            </w:r>
          </w:p>
          <w:p>
            <w:pPr>
              <w:pStyle w:val="Liste1"/>
              <w:numPr>
                <w:ilvl w:val="0"/>
                <w:numId w:val="8"/>
              </w:numPr>
            </w:pPr>
            <w:r>
              <w:t>&gt; 12 Mio. empfangene Warnungen, 700.000/Tag</w:t>
            </w:r>
          </w:p>
          <w:p>
            <w:pPr>
              <w:pStyle w:val="Liste1"/>
              <w:numPr>
                <w:ilvl w:val="0"/>
                <w:numId w:val="8"/>
              </w:numPr>
            </w:pPr>
            <w:r>
              <w:t>Version 2.17 (Anfang Februar)</w:t>
            </w:r>
          </w:p>
          <w:p>
            <w:pPr>
              <w:pStyle w:val="Liste1"/>
              <w:numPr>
                <w:ilvl w:val="0"/>
                <w:numId w:val="8"/>
              </w:numPr>
            </w:pPr>
            <w:r>
              <w:t xml:space="preserve"> (Luca-Verträge werden gekündigt -&gt; Check-in-Funktion wird wichtig)</w:t>
            </w:r>
          </w:p>
          <w:p>
            <w:pPr>
              <w:pStyle w:val="Liste1"/>
              <w:numPr>
                <w:ilvl w:val="0"/>
                <w:numId w:val="8"/>
              </w:numPr>
            </w:pPr>
            <w:r>
              <w:t xml:space="preserve">Viele Anfragen zur Änderung der PCR-Priorisierung, und Auswirkungen auf die CWA; zudem viele Anfragen zu 2G, 2G+ und Booster-Darstellung (hier wird eine Sprachregelung mit dem BMG entwickelt). </w:t>
            </w:r>
          </w:p>
          <w:p>
            <w:pPr>
              <w:pStyle w:val="Liste1"/>
              <w:numPr>
                <w:ilvl w:val="0"/>
                <w:numId w:val="8"/>
              </w:numPr>
            </w:pPr>
            <w:r>
              <w:t>Rote Kacheln führen momentan nicht zu Frust bei Nutzern.</w:t>
            </w:r>
          </w:p>
          <w:p>
            <w:pPr>
              <w:pStyle w:val="Liste1"/>
            </w:pPr>
          </w:p>
          <w:p>
            <w:pPr>
              <w:pStyle w:val="Liste1"/>
              <w:rPr>
                <w:b/>
              </w:rPr>
            </w:pPr>
            <w:r>
              <w:rPr>
                <w:b/>
              </w:rPr>
              <w:t>Ergänzung:</w:t>
            </w:r>
          </w:p>
          <w:p>
            <w:pPr>
              <w:pStyle w:val="Liste1"/>
            </w:pPr>
            <w:r>
              <w:t>Anfrage Testkoordinatoren/Innen und Bundesländer: Nutzung CWA durch Testzentren?</w:t>
            </w:r>
          </w:p>
          <w:p>
            <w:pPr>
              <w:pStyle w:val="Liste1"/>
            </w:pPr>
            <w:r>
              <w:t xml:space="preserve">Es gab Ansätze für ein CWA Schnelltestportal: Zentren könnten über Portal und dessen Anbindung an DEMIS Meldungen direkt übermitteln. Gespräche hierzu fanden bereits mit T-Systems statt. </w:t>
            </w:r>
            <w:r>
              <w:lastRenderedPageBreak/>
              <w:t xml:space="preserve">Von Seiten des BMG wurde keine Erweiterung der CWA- Funktionalitäten gewünscht. Gespräche hierzu könnten nochmal aufgenommen werden. </w:t>
            </w:r>
          </w:p>
        </w:tc>
        <w:tc>
          <w:tcPr>
            <w:tcW w:w="1605" w:type="dxa"/>
          </w:tcPr>
          <w:p>
            <w:pPr>
              <w:rPr>
                <w:sz w:val="22"/>
                <w:szCs w:val="22"/>
              </w:rPr>
            </w:pPr>
          </w:p>
          <w:p>
            <w:pPr>
              <w:rPr>
                <w:sz w:val="22"/>
                <w:szCs w:val="22"/>
              </w:rPr>
            </w:pPr>
            <w:r>
              <w:rPr>
                <w:sz w:val="22"/>
                <w:szCs w:val="22"/>
              </w:rPr>
              <w:t>FG21</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r>
              <w:rPr>
                <w:sz w:val="22"/>
                <w:szCs w:val="22"/>
              </w:rPr>
              <w:br/>
              <w:t>Hamouda</w:t>
            </w:r>
          </w:p>
        </w:tc>
      </w:tr>
      <w:tr>
        <w:tc>
          <w:tcPr>
            <w:tcW w:w="684" w:type="dxa"/>
          </w:tcPr>
          <w:p>
            <w:pPr>
              <w:rPr>
                <w:b/>
              </w:rPr>
            </w:pPr>
            <w:r>
              <w:rPr>
                <w:b/>
              </w:rPr>
              <w:t>4</w:t>
            </w:r>
          </w:p>
        </w:tc>
        <w:tc>
          <w:tcPr>
            <w:tcW w:w="6682" w:type="dxa"/>
          </w:tcPr>
          <w:p>
            <w:pPr>
              <w:pStyle w:val="1"/>
              <w:spacing w:line="240" w:lineRule="auto"/>
            </w:pPr>
            <w:r>
              <w:t>Aktuelle Risikobewertung</w:t>
            </w:r>
          </w:p>
          <w:p>
            <w:pPr>
              <w:pStyle w:val="Liste1"/>
            </w:pPr>
            <w:r>
              <w:t xml:space="preserve">Keine Änderung </w:t>
            </w:r>
          </w:p>
        </w:tc>
        <w:tc>
          <w:tcPr>
            <w:tcW w:w="1605" w:type="dxa"/>
          </w:tcPr>
          <w:p>
            <w:pPr>
              <w:rPr>
                <w:sz w:val="22"/>
                <w:szCs w:val="22"/>
              </w:rPr>
            </w:pPr>
          </w:p>
          <w:p>
            <w:pPr>
              <w:rPr>
                <w:sz w:val="22"/>
                <w:szCs w:val="22"/>
              </w:rPr>
            </w:pPr>
            <w:r>
              <w:rPr>
                <w:sz w:val="22"/>
                <w:szCs w:val="22"/>
              </w:rPr>
              <w:t>Abt. 3</w:t>
            </w:r>
            <w:r>
              <w:rPr>
                <w:sz w:val="22"/>
                <w:szCs w:val="22"/>
              </w:rPr>
              <w:br/>
            </w:r>
          </w:p>
        </w:tc>
      </w:tr>
      <w:tr>
        <w:trPr>
          <w:trHeight w:val="518"/>
        </w:trPr>
        <w:tc>
          <w:tcPr>
            <w:tcW w:w="684" w:type="dxa"/>
          </w:tcPr>
          <w:p>
            <w:pPr>
              <w:rPr>
                <w:b/>
              </w:rPr>
            </w:pPr>
            <w:r>
              <w:rPr>
                <w:b/>
              </w:rPr>
              <w:t>5</w:t>
            </w:r>
          </w:p>
        </w:tc>
        <w:tc>
          <w:tcPr>
            <w:tcW w:w="6682" w:type="dxa"/>
          </w:tcPr>
          <w:p>
            <w:pPr>
              <w:pStyle w:val="1"/>
              <w:spacing w:line="240" w:lineRule="auto"/>
            </w:pPr>
            <w:r>
              <w:t>Expertenbeirat</w:t>
            </w:r>
          </w:p>
          <w:p>
            <w:pPr>
              <w:pStyle w:val="Liste1"/>
              <w:numPr>
                <w:ilvl w:val="0"/>
                <w:numId w:val="20"/>
              </w:numPr>
            </w:pPr>
            <w:r>
              <w:t xml:space="preserve">Stellungnahme Kommunikation wurde gestern verabschiedet, wird zeitnah auf Seite des Bundeskanzleramtes publiziert. </w:t>
            </w:r>
          </w:p>
          <w:p>
            <w:pPr>
              <w:pStyle w:val="Liste1"/>
              <w:numPr>
                <w:ilvl w:val="0"/>
                <w:numId w:val="20"/>
              </w:numPr>
            </w:pPr>
            <w:r>
              <w:t>Stellungnahme zu Kindern in der Pandemie: Feedback dazu und Bewertung im Haus deckte sich zu 100% mit Ansicht anderer Experten/innen; wird überarbeitet.</w:t>
            </w:r>
          </w:p>
          <w:p>
            <w:pPr>
              <w:pStyle w:val="Liste1"/>
              <w:numPr>
                <w:ilvl w:val="0"/>
                <w:numId w:val="20"/>
              </w:numPr>
            </w:pPr>
            <w:r>
              <w:t xml:space="preserve">Stellungnahme Panel: Federführung </w:t>
            </w:r>
            <w:proofErr w:type="spellStart"/>
            <w:r>
              <w:t>Hr</w:t>
            </w:r>
            <w:proofErr w:type="spellEnd"/>
            <w:r>
              <w:t xml:space="preserve"> Wieler, </w:t>
            </w:r>
            <w:proofErr w:type="spellStart"/>
            <w:r>
              <w:t>Hr</w:t>
            </w:r>
            <w:proofErr w:type="spellEnd"/>
            <w:r>
              <w:t xml:space="preserve"> </w:t>
            </w:r>
            <w:proofErr w:type="spellStart"/>
            <w:r>
              <w:t>Drosten</w:t>
            </w:r>
            <w:proofErr w:type="spellEnd"/>
            <w:r>
              <w:t xml:space="preserve">, </w:t>
            </w:r>
            <w:proofErr w:type="spellStart"/>
            <w:r>
              <w:t>Hr</w:t>
            </w:r>
            <w:proofErr w:type="spellEnd"/>
            <w:r>
              <w:t xml:space="preserve"> </w:t>
            </w:r>
            <w:proofErr w:type="spellStart"/>
            <w:r>
              <w:t>Streek</w:t>
            </w:r>
            <w:proofErr w:type="spellEnd"/>
            <w:r>
              <w:t xml:space="preserve">. Von </w:t>
            </w:r>
            <w:proofErr w:type="spellStart"/>
            <w:r>
              <w:t>Hr</w:t>
            </w:r>
            <w:proofErr w:type="spellEnd"/>
            <w:r>
              <w:t xml:space="preserve"> Bosnjak in Vorbereitung. </w:t>
            </w:r>
          </w:p>
        </w:tc>
        <w:tc>
          <w:tcPr>
            <w:tcW w:w="1605" w:type="dxa"/>
          </w:tcPr>
          <w:p>
            <w:pPr>
              <w:rPr>
                <w:sz w:val="22"/>
                <w:szCs w:val="22"/>
              </w:rPr>
            </w:pPr>
          </w:p>
          <w:p>
            <w:pPr>
              <w:rPr>
                <w:sz w:val="22"/>
                <w:szCs w:val="22"/>
              </w:rPr>
            </w:pPr>
          </w:p>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682" w:type="dxa"/>
          </w:tcPr>
          <w:p>
            <w:pPr>
              <w:pStyle w:val="1"/>
              <w:spacing w:line="240" w:lineRule="auto"/>
            </w:pPr>
            <w:r>
              <w:t>Kommunikation</w:t>
            </w:r>
          </w:p>
          <w:p>
            <w:pPr>
              <w:pStyle w:val="2"/>
              <w:spacing w:line="240" w:lineRule="auto"/>
            </w:pPr>
            <w:r>
              <w:t>BZgA</w:t>
            </w:r>
          </w:p>
          <w:p>
            <w:pPr>
              <w:pStyle w:val="2"/>
              <w:numPr>
                <w:ilvl w:val="0"/>
                <w:numId w:val="21"/>
              </w:numPr>
              <w:spacing w:line="240" w:lineRule="auto"/>
              <w:rPr>
                <w:b w:val="0"/>
                <w:sz w:val="22"/>
                <w:szCs w:val="22"/>
              </w:rPr>
            </w:pPr>
            <w:r>
              <w:rPr>
                <w:b w:val="0"/>
                <w:sz w:val="22"/>
                <w:szCs w:val="22"/>
              </w:rPr>
              <w:t xml:space="preserve">Digitales Kitapaket zu Impfungen bei Kindern (Plakat und Merkblatt) in Zusammenarbeit mit der Bundesarbeitsgemeinschaft der Freien Wohlfahrtspflege </w:t>
            </w:r>
          </w:p>
          <w:p>
            <w:pPr>
              <w:pStyle w:val="2"/>
              <w:numPr>
                <w:ilvl w:val="0"/>
                <w:numId w:val="21"/>
              </w:numPr>
              <w:spacing w:line="240" w:lineRule="auto"/>
              <w:rPr>
                <w:b w:val="0"/>
                <w:sz w:val="22"/>
                <w:szCs w:val="22"/>
              </w:rPr>
            </w:pPr>
            <w:r>
              <w:rPr>
                <w:b w:val="0"/>
                <w:sz w:val="22"/>
                <w:szCs w:val="22"/>
              </w:rPr>
              <w:t>Für Anfang Feb. Ist ein ähnliches Paket für Schulen geplant</w:t>
            </w:r>
          </w:p>
          <w:p>
            <w:pPr>
              <w:pStyle w:val="2"/>
              <w:numPr>
                <w:ilvl w:val="0"/>
                <w:numId w:val="21"/>
              </w:numPr>
              <w:spacing w:line="240" w:lineRule="auto"/>
              <w:rPr>
                <w:b w:val="0"/>
                <w:sz w:val="22"/>
                <w:szCs w:val="22"/>
              </w:rPr>
            </w:pPr>
            <w:r>
              <w:rPr>
                <w:b w:val="0"/>
                <w:sz w:val="22"/>
                <w:szCs w:val="22"/>
              </w:rPr>
              <w:t>Anfang Feb.: Merkblatt Impfen in Pflegeeinrichtungen</w:t>
            </w:r>
          </w:p>
          <w:p>
            <w:pPr>
              <w:pStyle w:val="2"/>
              <w:numPr>
                <w:ilvl w:val="0"/>
                <w:numId w:val="21"/>
              </w:numPr>
              <w:spacing w:line="240" w:lineRule="auto"/>
              <w:rPr>
                <w:b w:val="0"/>
                <w:sz w:val="22"/>
                <w:szCs w:val="22"/>
              </w:rPr>
            </w:pPr>
            <w:r>
              <w:rPr>
                <w:b w:val="0"/>
                <w:sz w:val="22"/>
                <w:szCs w:val="22"/>
              </w:rPr>
              <w:t>Das Merkblatt zu Auffrischimpfungen wurde aktualisiert</w:t>
            </w:r>
          </w:p>
          <w:p>
            <w:pPr>
              <w:pStyle w:val="2"/>
              <w:numPr>
                <w:ilvl w:val="0"/>
                <w:numId w:val="21"/>
              </w:numPr>
              <w:spacing w:line="240" w:lineRule="auto"/>
              <w:rPr>
                <w:b w:val="0"/>
                <w:sz w:val="22"/>
                <w:szCs w:val="22"/>
              </w:rPr>
            </w:pPr>
            <w:r>
              <w:rPr>
                <w:b w:val="0"/>
                <w:sz w:val="22"/>
                <w:szCs w:val="22"/>
              </w:rPr>
              <w:t xml:space="preserve">Kommunikation zu </w:t>
            </w:r>
            <w:proofErr w:type="spellStart"/>
            <w:r>
              <w:rPr>
                <w:b w:val="0"/>
                <w:sz w:val="22"/>
                <w:szCs w:val="22"/>
              </w:rPr>
              <w:t>Novavax</w:t>
            </w:r>
            <w:proofErr w:type="spellEnd"/>
            <w:r>
              <w:rPr>
                <w:b w:val="0"/>
                <w:sz w:val="22"/>
                <w:szCs w:val="22"/>
              </w:rPr>
              <w:t xml:space="preserve"> in Planung</w:t>
            </w:r>
          </w:p>
          <w:p>
            <w:pPr>
              <w:pStyle w:val="2"/>
              <w:spacing w:line="240" w:lineRule="auto"/>
              <w:rPr>
                <w:b w:val="0"/>
                <w:sz w:val="22"/>
                <w:szCs w:val="22"/>
              </w:rPr>
            </w:pPr>
            <w:r>
              <w:rPr>
                <w:b w:val="0"/>
                <w:sz w:val="22"/>
                <w:szCs w:val="22"/>
              </w:rPr>
              <w:t xml:space="preserve">Alle Merkblätter sind in D, in leichter Sprache Deutsch, in Englisch, Französisch, Türkisch, Arabisch und Russisch erhältlich. </w:t>
            </w:r>
          </w:p>
          <w:p>
            <w:pPr>
              <w:pStyle w:val="2"/>
              <w:spacing w:line="240" w:lineRule="auto"/>
            </w:pPr>
            <w:r>
              <w:t>Presse</w:t>
            </w:r>
          </w:p>
          <w:p>
            <w:pPr>
              <w:pStyle w:val="2"/>
              <w:numPr>
                <w:ilvl w:val="0"/>
                <w:numId w:val="22"/>
              </w:numPr>
              <w:spacing w:line="240" w:lineRule="auto"/>
              <w:rPr>
                <w:b w:val="0"/>
                <w:sz w:val="22"/>
                <w:szCs w:val="22"/>
              </w:rPr>
            </w:pPr>
            <w:r>
              <w:rPr>
                <w:b w:val="0"/>
                <w:sz w:val="22"/>
                <w:szCs w:val="22"/>
              </w:rPr>
              <w:t xml:space="preserve">Der Kurz-Link zum Kontaktpersonenmanagement wurde auf Wunsch des BMG umgelenkt: Verlinkung auf Tabelle. </w:t>
            </w:r>
          </w:p>
          <w:p>
            <w:pPr>
              <w:pStyle w:val="2"/>
              <w:numPr>
                <w:ilvl w:val="0"/>
                <w:numId w:val="22"/>
              </w:numPr>
              <w:spacing w:line="240" w:lineRule="auto"/>
              <w:rPr>
                <w:b w:val="0"/>
                <w:sz w:val="22"/>
                <w:szCs w:val="22"/>
              </w:rPr>
            </w:pPr>
            <w:r>
              <w:rPr>
                <w:b w:val="0"/>
                <w:sz w:val="22"/>
                <w:szCs w:val="22"/>
              </w:rPr>
              <w:t xml:space="preserve">Viele Anfragen ob Patienten mit COVID-19 oder aufgrund von COVID-19 im Krankenhaus aufgenommen werden. Einige Bundesländer weisen dies bereits aus. Unterscheidung ist fachlich nicht sinnvoll. </w:t>
            </w:r>
          </w:p>
          <w:p>
            <w:pPr>
              <w:pStyle w:val="2"/>
              <w:spacing w:line="240" w:lineRule="auto"/>
              <w:ind w:left="720"/>
              <w:rPr>
                <w:b w:val="0"/>
                <w:sz w:val="22"/>
                <w:szCs w:val="22"/>
              </w:rPr>
            </w:pPr>
            <w:r>
              <w:rPr>
                <w:b w:val="0"/>
                <w:sz w:val="22"/>
                <w:szCs w:val="22"/>
              </w:rPr>
              <w:t xml:space="preserve">Ergänzungen hierzu: Anhand der ICOSARI-Daten im Lagebericht ist der Vergleich zu den Meldedaten möglich (S. Buda).  Es sollte bei Anfragen auf ICOSARI Daten verwiesen werden. </w:t>
            </w:r>
          </w:p>
          <w:p>
            <w:pPr>
              <w:pStyle w:val="2"/>
              <w:spacing w:line="240" w:lineRule="auto"/>
              <w:rPr>
                <w:b w:val="0"/>
                <w:sz w:val="22"/>
                <w:szCs w:val="22"/>
              </w:rPr>
            </w:pPr>
            <w:r>
              <w:rPr>
                <w:b w:val="0"/>
                <w:sz w:val="22"/>
                <w:szCs w:val="22"/>
              </w:rPr>
              <w:t>Diskussion:</w:t>
            </w:r>
          </w:p>
          <w:p>
            <w:pPr>
              <w:pStyle w:val="2"/>
              <w:numPr>
                <w:ilvl w:val="0"/>
                <w:numId w:val="23"/>
              </w:numPr>
              <w:spacing w:line="240" w:lineRule="auto"/>
              <w:rPr>
                <w:b w:val="0"/>
                <w:sz w:val="22"/>
                <w:szCs w:val="22"/>
              </w:rPr>
            </w:pPr>
            <w:r>
              <w:rPr>
                <w:b w:val="0"/>
                <w:sz w:val="22"/>
                <w:szCs w:val="22"/>
              </w:rPr>
              <w:t xml:space="preserve">In der Presse gerade stark thematisiert: Anzahl PCR Testungen Deutschland im Vergleich zu Anzahl PCR Testungen in Wien; komplett andere Logistik: Bürger/Innen führen selber Probenentnahme durch (Videoüberwacht), gefolgt von Pooltestung. Logistisch in den nächsten Wochen in D nicht umsetzbar. </w:t>
            </w:r>
          </w:p>
          <w:p>
            <w:pPr>
              <w:pStyle w:val="2"/>
              <w:spacing w:line="240" w:lineRule="auto"/>
              <w:ind w:left="720"/>
              <w:rPr>
                <w:b w:val="0"/>
                <w:sz w:val="22"/>
                <w:szCs w:val="22"/>
              </w:rPr>
            </w:pPr>
          </w:p>
          <w:p>
            <w:pPr>
              <w:pStyle w:val="2"/>
              <w:spacing w:line="240" w:lineRule="auto"/>
            </w:pPr>
            <w:r>
              <w:lastRenderedPageBreak/>
              <w:t>P1</w:t>
            </w:r>
          </w:p>
          <w:p>
            <w:pPr>
              <w:pStyle w:val="Liste1"/>
              <w:numPr>
                <w:ilvl w:val="0"/>
                <w:numId w:val="24"/>
              </w:numPr>
            </w:pPr>
            <w:r>
              <w:t xml:space="preserve">Twitter: aktualisierte FAQ zu </w:t>
            </w:r>
            <w:proofErr w:type="spellStart"/>
            <w:r>
              <w:t>longCOVID</w:t>
            </w:r>
            <w:proofErr w:type="spellEnd"/>
            <w:r>
              <w:t>, Vorbereitung für Instagram</w:t>
            </w:r>
          </w:p>
          <w:p>
            <w:pPr>
              <w:pStyle w:val="Liste1"/>
              <w:numPr>
                <w:ilvl w:val="0"/>
                <w:numId w:val="24"/>
              </w:numPr>
              <w:rPr>
                <w:i/>
              </w:rPr>
            </w:pPr>
            <w:r>
              <w:t xml:space="preserve">Info: Was ist zu tun, wenn jemand in meinem Haushalt COVID hat? Info zu Quarantäne und Isolation. </w:t>
            </w:r>
          </w:p>
        </w:tc>
        <w:tc>
          <w:tcPr>
            <w:tcW w:w="1605"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Presse/Alle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P1/Alle</w:t>
            </w:r>
            <w:r>
              <w:rPr>
                <w:sz w:val="22"/>
                <w:szCs w:val="22"/>
              </w:rPr>
              <w:br/>
            </w:r>
          </w:p>
        </w:tc>
      </w:tr>
      <w:tr>
        <w:tc>
          <w:tcPr>
            <w:tcW w:w="684" w:type="dxa"/>
          </w:tcPr>
          <w:p>
            <w:pPr>
              <w:rPr>
                <w:b/>
              </w:rPr>
            </w:pPr>
            <w:r>
              <w:rPr>
                <w:b/>
              </w:rPr>
              <w:lastRenderedPageBreak/>
              <w:t>7</w:t>
            </w:r>
          </w:p>
        </w:tc>
        <w:tc>
          <w:tcPr>
            <w:tcW w:w="6682" w:type="dxa"/>
          </w:tcPr>
          <w:p>
            <w:pPr>
              <w:pStyle w:val="1"/>
              <w:spacing w:line="240" w:lineRule="auto"/>
              <w:rPr>
                <w:sz w:val="24"/>
              </w:rPr>
            </w:pPr>
            <w:r>
              <w:rPr>
                <w:sz w:val="24"/>
              </w:rPr>
              <w:t>RKI-Strategie Fragen</w:t>
            </w:r>
          </w:p>
          <w:p>
            <w:pPr>
              <w:pStyle w:val="2"/>
              <w:spacing w:line="240" w:lineRule="auto"/>
              <w:rPr>
                <w:b w:val="0"/>
                <w:sz w:val="22"/>
                <w:szCs w:val="22"/>
              </w:rPr>
            </w:pPr>
            <w:r>
              <w:rPr>
                <w:b w:val="0"/>
                <w:sz w:val="22"/>
                <w:szCs w:val="22"/>
              </w:rPr>
              <w:t>Allgemein</w:t>
            </w:r>
          </w:p>
          <w:p>
            <w:pPr>
              <w:pStyle w:val="2"/>
              <w:numPr>
                <w:ilvl w:val="0"/>
                <w:numId w:val="29"/>
              </w:numPr>
              <w:spacing w:line="240" w:lineRule="auto"/>
              <w:rPr>
                <w:b w:val="0"/>
                <w:sz w:val="22"/>
                <w:szCs w:val="22"/>
              </w:rPr>
            </w:pPr>
            <w:r>
              <w:rPr>
                <w:sz w:val="22"/>
                <w:szCs w:val="22"/>
              </w:rPr>
              <w:t>Diskussion Fallerfassung</w:t>
            </w:r>
            <w:r>
              <w:rPr>
                <w:b w:val="0"/>
                <w:sz w:val="22"/>
                <w:szCs w:val="22"/>
              </w:rPr>
              <w:t>: Aufgrund der limitierten PCR-Testungen: Vorschlag der Aufnahme der Antigentests in Fallerfassung. Dieser Vorschlag ist nicht sinnvoll, zudem ist weder sinnvoll noch möglich eine Vollerfassung anzustreben.</w:t>
            </w:r>
          </w:p>
          <w:p>
            <w:pPr>
              <w:pStyle w:val="2"/>
              <w:spacing w:line="240" w:lineRule="auto"/>
              <w:rPr>
                <w:b w:val="0"/>
                <w:i/>
                <w:sz w:val="22"/>
                <w:szCs w:val="22"/>
              </w:rPr>
            </w:pPr>
            <w:proofErr w:type="spellStart"/>
            <w:r>
              <w:rPr>
                <w:b w:val="0"/>
                <w:i/>
                <w:sz w:val="22"/>
                <w:szCs w:val="22"/>
              </w:rPr>
              <w:t>To</w:t>
            </w:r>
            <w:proofErr w:type="spellEnd"/>
            <w:r>
              <w:rPr>
                <w:b w:val="0"/>
                <w:i/>
                <w:sz w:val="22"/>
                <w:szCs w:val="22"/>
              </w:rPr>
              <w:t xml:space="preserve"> Do: In den Jour </w:t>
            </w:r>
            <w:proofErr w:type="spellStart"/>
            <w:r>
              <w:rPr>
                <w:b w:val="0"/>
                <w:i/>
                <w:sz w:val="22"/>
                <w:szCs w:val="22"/>
              </w:rPr>
              <w:t>Fix</w:t>
            </w:r>
            <w:proofErr w:type="spellEnd"/>
            <w:r>
              <w:rPr>
                <w:b w:val="0"/>
                <w:i/>
                <w:sz w:val="22"/>
                <w:szCs w:val="22"/>
              </w:rPr>
              <w:t xml:space="preserve"> mit BMG aufnehmen (E. Antao?). </w:t>
            </w:r>
          </w:p>
          <w:p>
            <w:pPr>
              <w:pStyle w:val="Liste1"/>
              <w:numPr>
                <w:ilvl w:val="0"/>
                <w:numId w:val="29"/>
              </w:numPr>
              <w:rPr>
                <w:b/>
              </w:rPr>
            </w:pPr>
            <w:r>
              <w:rPr>
                <w:b/>
              </w:rPr>
              <w:t>Übergang in die Endemie/Deeskalationsstrategie</w:t>
            </w:r>
          </w:p>
          <w:p>
            <w:pPr>
              <w:pStyle w:val="Liste1"/>
              <w:ind w:left="720"/>
            </w:pPr>
            <w:r>
              <w:t>Sollte stufenweise erfolgen, und erst nachdem der Omikron Peak erreicht ist. Arbeitsgruppe soll gebildet werden, erstes Treffen Montag, 31.01.</w:t>
            </w:r>
          </w:p>
          <w:p>
            <w:pPr>
              <w:pStyle w:val="Liste1"/>
              <w:rPr>
                <w:i/>
              </w:rPr>
            </w:pPr>
            <w:proofErr w:type="spellStart"/>
            <w:r>
              <w:rPr>
                <w:i/>
              </w:rPr>
              <w:t>To</w:t>
            </w:r>
            <w:proofErr w:type="spellEnd"/>
            <w:r>
              <w:rPr>
                <w:i/>
              </w:rPr>
              <w:t xml:space="preserve"> Do: Aufgabenzuweisung durch Lagezentrum</w:t>
            </w:r>
          </w:p>
          <w:p>
            <w:pPr>
              <w:pStyle w:val="Liste1"/>
            </w:pPr>
          </w:p>
          <w:p>
            <w:pPr>
              <w:pStyle w:val="Liste1"/>
              <w:numPr>
                <w:ilvl w:val="0"/>
                <w:numId w:val="29"/>
              </w:numPr>
              <w:rPr>
                <w:b/>
              </w:rPr>
            </w:pPr>
            <w:r>
              <w:rPr>
                <w:b/>
              </w:rPr>
              <w:t xml:space="preserve">Umsetzung der MPK Beschlüsse vom 24.01.22/ Erlasse dazu </w:t>
            </w:r>
            <w:r>
              <w:rPr>
                <w:b/>
              </w:rPr>
              <w:t>(ID5010)</w:t>
            </w:r>
            <w:r>
              <w:rPr>
                <w:b/>
              </w:rPr>
              <w:t xml:space="preserve"> </w:t>
            </w:r>
          </w:p>
          <w:p>
            <w:pPr>
              <w:pStyle w:val="Liste1"/>
              <w:numPr>
                <w:ilvl w:val="0"/>
                <w:numId w:val="29"/>
              </w:numPr>
            </w:pPr>
            <w:proofErr w:type="spellStart"/>
            <w:r>
              <w:t>Genesenenstatus</w:t>
            </w:r>
            <w:proofErr w:type="spellEnd"/>
            <w:r>
              <w:t xml:space="preserve">-Verkürzung: sollte von RKI-Seite genauer erläutert werden; Erklärung ging an den Minister zur Kenntnis. Momentan keine Aktion notwendig; wird nächste Woche veröffentlicht. Kann bei Nachfragen durch die Presse versendet werden. </w:t>
            </w:r>
          </w:p>
          <w:p>
            <w:pPr>
              <w:pStyle w:val="Liste1"/>
              <w:numPr>
                <w:ilvl w:val="0"/>
                <w:numId w:val="29"/>
              </w:numPr>
            </w:pPr>
            <w:proofErr w:type="spellStart"/>
            <w:r>
              <w:t>Genesenennachweis</w:t>
            </w:r>
            <w:proofErr w:type="spellEnd"/>
            <w:r>
              <w:t>: Mittels 1 oder 2 AG-Tests? Nur durch einen Test, alles andere wäre in der Praxis nicht umsetzbar.</w:t>
            </w:r>
          </w:p>
          <w:p>
            <w:pPr>
              <w:pStyle w:val="Liste1"/>
              <w:numPr>
                <w:ilvl w:val="0"/>
                <w:numId w:val="29"/>
              </w:numPr>
            </w:pPr>
            <w:r>
              <w:t xml:space="preserve">Email </w:t>
            </w:r>
            <w:proofErr w:type="spellStart"/>
            <w:r>
              <w:t>Hr</w:t>
            </w:r>
            <w:proofErr w:type="spellEnd"/>
            <w:r>
              <w:t xml:space="preserve"> Rottmann zu Erlassbericht ID5010 an LZ, </w:t>
            </w:r>
            <w:proofErr w:type="gramStart"/>
            <w:r>
              <w:t>28.01 :</w:t>
            </w:r>
            <w:proofErr w:type="gramEnd"/>
            <w:r>
              <w:t xml:space="preserve"> LAMP- Tests sollten nicht extra erwähnt werden, da eine Form der NAT POC. Genesen-Geimpfte (Antikörper-Nachweis gefolgt von Impfung): Wo einsortieren? Werden den Geimpft- Genesenen gleichgestellt. Es werden hier durch Kürze der Formulierung falsche Anreize für die Labordiagnostik und Nachfrage nach Antikörpertests gesetzt.  Eigentlich ist diese Gruppe </w:t>
            </w:r>
            <w:proofErr w:type="gramStart"/>
            <w:r>
              <w:t>durch der Formulierung</w:t>
            </w:r>
            <w:proofErr w:type="gramEnd"/>
            <w:r>
              <w:t xml:space="preserve"> „Nach einer Infektion“ </w:t>
            </w:r>
            <w:r>
              <w:t>bereits</w:t>
            </w:r>
            <w:r>
              <w:t xml:space="preserve"> abgedeckt. </w:t>
            </w:r>
          </w:p>
          <w:p>
            <w:pPr>
              <w:pStyle w:val="Liste1"/>
              <w:ind w:left="720"/>
              <w:rPr>
                <w:i/>
              </w:rPr>
            </w:pPr>
            <w:proofErr w:type="spellStart"/>
            <w:r>
              <w:rPr>
                <w:i/>
              </w:rPr>
              <w:t>To</w:t>
            </w:r>
            <w:proofErr w:type="spellEnd"/>
            <w:r>
              <w:rPr>
                <w:i/>
              </w:rPr>
              <w:t xml:space="preserve"> Do: Rückmeldung an </w:t>
            </w:r>
            <w:proofErr w:type="spellStart"/>
            <w:r>
              <w:rPr>
                <w:i/>
              </w:rPr>
              <w:t>Hr</w:t>
            </w:r>
            <w:proofErr w:type="spellEnd"/>
            <w:r>
              <w:rPr>
                <w:i/>
              </w:rPr>
              <w:t xml:space="preserve"> Rottmann durch U. Rexroth.</w:t>
            </w:r>
          </w:p>
          <w:p>
            <w:pPr>
              <w:pStyle w:val="Liste1"/>
              <w:ind w:left="1193"/>
            </w:pPr>
          </w:p>
          <w:p>
            <w:pPr>
              <w:pStyle w:val="2"/>
              <w:numPr>
                <w:ilvl w:val="0"/>
                <w:numId w:val="29"/>
              </w:numPr>
              <w:spacing w:line="240" w:lineRule="auto"/>
              <w:rPr>
                <w:b w:val="0"/>
                <w:sz w:val="22"/>
                <w:szCs w:val="22"/>
              </w:rPr>
            </w:pPr>
            <w:r>
              <w:rPr>
                <w:sz w:val="22"/>
                <w:szCs w:val="22"/>
              </w:rPr>
              <w:t>J. Hanefeld: Vorstellung eines Working Papers der JHSPH zu Effekten von Lockdowns auf COVID-19-Mortalität</w:t>
            </w:r>
            <w:r>
              <w:rPr>
                <w:b w:val="0"/>
                <w:sz w:val="22"/>
                <w:szCs w:val="22"/>
              </w:rPr>
              <w:t xml:space="preserve"> </w:t>
            </w:r>
            <w:hyperlink r:id="rId14" w:history="1">
              <w:r>
                <w:rPr>
                  <w:rStyle w:val="Hyperlink"/>
                  <w:b w:val="0"/>
                  <w:sz w:val="22"/>
                  <w:szCs w:val="22"/>
                </w:rPr>
                <w:t>Folien</w:t>
              </w:r>
            </w:hyperlink>
            <w:r>
              <w:rPr>
                <w:b w:val="0"/>
                <w:sz w:val="22"/>
                <w:szCs w:val="22"/>
              </w:rPr>
              <w:t xml:space="preserve">. </w:t>
            </w:r>
          </w:p>
          <w:p>
            <w:pPr>
              <w:pStyle w:val="2"/>
              <w:numPr>
                <w:ilvl w:val="0"/>
                <w:numId w:val="29"/>
              </w:numPr>
              <w:spacing w:line="240" w:lineRule="auto"/>
              <w:rPr>
                <w:b w:val="0"/>
                <w:sz w:val="22"/>
                <w:szCs w:val="22"/>
              </w:rPr>
            </w:pPr>
            <w:r>
              <w:rPr>
                <w:b w:val="0"/>
                <w:sz w:val="22"/>
                <w:szCs w:val="22"/>
              </w:rPr>
              <w:t xml:space="preserve">Ergebnis der Metaanalyse: Lockdowns in Europa und den USA waren nicht effektiv.  2 Paper aus ZIG zu Wirksamkeit der NPIs: Ähnliche Methodik, andere Ergebnisse. JHSPH hat sich nur eine Maßnahme angeschaut; Einzelmaßnahmen zeigen i.d.R. sehr </w:t>
            </w:r>
            <w:r>
              <w:rPr>
                <w:b w:val="0"/>
                <w:sz w:val="22"/>
                <w:szCs w:val="22"/>
              </w:rPr>
              <w:lastRenderedPageBreak/>
              <w:t xml:space="preserve">niedrigen Effekt; Zusammenführen mehrere NPI hat Effekt. </w:t>
            </w:r>
          </w:p>
          <w:p>
            <w:pPr>
              <w:pStyle w:val="2"/>
              <w:numPr>
                <w:ilvl w:val="0"/>
                <w:numId w:val="29"/>
              </w:numPr>
              <w:spacing w:line="240" w:lineRule="auto"/>
              <w:rPr>
                <w:b w:val="0"/>
                <w:sz w:val="22"/>
                <w:szCs w:val="22"/>
              </w:rPr>
            </w:pPr>
            <w:r>
              <w:rPr>
                <w:b w:val="0"/>
                <w:sz w:val="22"/>
                <w:szCs w:val="22"/>
              </w:rPr>
              <w:t xml:space="preserve">Bekanntes Problem: Implementierungstiefe kann nicht wirklich bewertet werden.  </w:t>
            </w:r>
          </w:p>
          <w:p>
            <w:pPr>
              <w:pStyle w:val="2"/>
              <w:numPr>
                <w:ilvl w:val="0"/>
                <w:numId w:val="29"/>
              </w:numPr>
              <w:spacing w:line="240" w:lineRule="auto"/>
              <w:rPr>
                <w:b w:val="0"/>
                <w:sz w:val="22"/>
                <w:szCs w:val="22"/>
                <w:lang w:val="en-US"/>
              </w:rPr>
            </w:pPr>
            <w:r>
              <w:rPr>
                <w:b w:val="0"/>
                <w:sz w:val="22"/>
                <w:szCs w:val="22"/>
                <w:lang w:val="en-US"/>
              </w:rPr>
              <w:t xml:space="preserve">Um </w:t>
            </w:r>
            <w:proofErr w:type="spellStart"/>
            <w:r>
              <w:rPr>
                <w:b w:val="0"/>
                <w:sz w:val="22"/>
                <w:szCs w:val="22"/>
                <w:lang w:val="en-US"/>
              </w:rPr>
              <w:t>Implementierungstiefe</w:t>
            </w:r>
            <w:proofErr w:type="spellEnd"/>
            <w:r>
              <w:rPr>
                <w:b w:val="0"/>
                <w:sz w:val="22"/>
                <w:szCs w:val="22"/>
                <w:lang w:val="en-US"/>
              </w:rPr>
              <w:t xml:space="preserve"> </w:t>
            </w:r>
            <w:proofErr w:type="spellStart"/>
            <w:r>
              <w:rPr>
                <w:b w:val="0"/>
                <w:sz w:val="22"/>
                <w:szCs w:val="22"/>
                <w:lang w:val="en-US"/>
              </w:rPr>
              <w:t>zu</w:t>
            </w:r>
            <w:proofErr w:type="spellEnd"/>
            <w:r>
              <w:rPr>
                <w:b w:val="0"/>
                <w:sz w:val="22"/>
                <w:szCs w:val="22"/>
                <w:lang w:val="en-US"/>
              </w:rPr>
              <w:t xml:space="preserve"> </w:t>
            </w:r>
            <w:proofErr w:type="spellStart"/>
            <w:r>
              <w:rPr>
                <w:b w:val="0"/>
                <w:sz w:val="22"/>
                <w:szCs w:val="22"/>
                <w:lang w:val="en-US"/>
              </w:rPr>
              <w:t>bewerten</w:t>
            </w:r>
            <w:proofErr w:type="spellEnd"/>
            <w:r>
              <w:rPr>
                <w:b w:val="0"/>
                <w:sz w:val="22"/>
                <w:szCs w:val="22"/>
                <w:lang w:val="en-US"/>
              </w:rPr>
              <w:t xml:space="preserve">: Neue </w:t>
            </w:r>
            <w:proofErr w:type="spellStart"/>
            <w:r>
              <w:rPr>
                <w:b w:val="0"/>
                <w:sz w:val="22"/>
                <w:szCs w:val="22"/>
                <w:lang w:val="en-US"/>
              </w:rPr>
              <w:t>Studie</w:t>
            </w:r>
            <w:proofErr w:type="spellEnd"/>
            <w:r>
              <w:rPr>
                <w:b w:val="0"/>
                <w:sz w:val="22"/>
                <w:szCs w:val="22"/>
                <w:lang w:val="en-US"/>
              </w:rPr>
              <w:t xml:space="preserve"> BUA: Pandemic non-pharmaceutical interventions to flatten the curve: needs, effectiveness and impact in the global South - the example of Ghana (</w:t>
            </w:r>
            <w:proofErr w:type="spellStart"/>
            <w:r>
              <w:rPr>
                <w:b w:val="0"/>
                <w:sz w:val="22"/>
                <w:szCs w:val="22"/>
                <w:lang w:val="en-US"/>
              </w:rPr>
              <w:t>Busse</w:t>
            </w:r>
            <w:proofErr w:type="spellEnd"/>
            <w:r>
              <w:rPr>
                <w:b w:val="0"/>
                <w:sz w:val="22"/>
                <w:szCs w:val="22"/>
                <w:lang w:val="en-US"/>
              </w:rPr>
              <w:t xml:space="preserve">, </w:t>
            </w:r>
            <w:proofErr w:type="spellStart"/>
            <w:r>
              <w:rPr>
                <w:b w:val="0"/>
                <w:sz w:val="22"/>
                <w:szCs w:val="22"/>
                <w:lang w:val="en-US"/>
              </w:rPr>
              <w:t>Brockmann</w:t>
            </w:r>
            <w:proofErr w:type="spellEnd"/>
            <w:r>
              <w:rPr>
                <w:b w:val="0"/>
                <w:sz w:val="22"/>
                <w:szCs w:val="22"/>
                <w:lang w:val="en-US"/>
              </w:rPr>
              <w:t xml:space="preserve">, </w:t>
            </w:r>
            <w:proofErr w:type="spellStart"/>
            <w:r>
              <w:rPr>
                <w:b w:val="0"/>
                <w:sz w:val="22"/>
                <w:szCs w:val="22"/>
                <w:lang w:val="en-US"/>
              </w:rPr>
              <w:t>Drosten</w:t>
            </w:r>
            <w:proofErr w:type="spellEnd"/>
            <w:r>
              <w:rPr>
                <w:b w:val="0"/>
                <w:sz w:val="22"/>
                <w:szCs w:val="22"/>
                <w:lang w:val="en-US"/>
              </w:rPr>
              <w:t>, Hanefeld, Sander)</w:t>
            </w:r>
          </w:p>
        </w:tc>
        <w:tc>
          <w:tcPr>
            <w:tcW w:w="1605" w:type="dxa"/>
          </w:tcPr>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8</w:t>
            </w:r>
          </w:p>
        </w:tc>
        <w:tc>
          <w:tcPr>
            <w:tcW w:w="6682" w:type="dxa"/>
          </w:tcPr>
          <w:p>
            <w:pPr>
              <w:spacing w:after="120"/>
              <w:rPr>
                <w:b/>
                <w:sz w:val="28"/>
              </w:rPr>
            </w:pPr>
            <w:r>
              <w:rPr>
                <w:b/>
                <w:sz w:val="28"/>
              </w:rPr>
              <w:t xml:space="preserve">Dokumente </w:t>
            </w:r>
            <w:r>
              <w:rPr>
                <w:b/>
                <w:i/>
                <w:color w:val="8DB3E2" w:themeColor="text2" w:themeTint="66"/>
                <w:sz w:val="22"/>
                <w:szCs w:val="22"/>
              </w:rPr>
              <w:t>(nur freitags)</w:t>
            </w:r>
          </w:p>
          <w:p>
            <w:pPr>
              <w:pStyle w:val="Liste1"/>
            </w:pPr>
            <w:r>
              <w:t>Keine</w:t>
            </w:r>
          </w:p>
        </w:tc>
        <w:tc>
          <w:tcPr>
            <w:tcW w:w="1605"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682" w:type="dxa"/>
          </w:tcPr>
          <w:p>
            <w:pPr>
              <w:spacing w:after="120"/>
              <w:rPr>
                <w:rStyle w:val="TagFrZchn"/>
              </w:rPr>
            </w:pPr>
            <w:r>
              <w:rPr>
                <w:rStyle w:val="1Zchn"/>
              </w:rPr>
              <w:t>Update Impfen</w:t>
            </w:r>
            <w:r>
              <w:rPr>
                <w:b/>
                <w:sz w:val="28"/>
              </w:rPr>
              <w:t xml:space="preserve"> </w:t>
            </w:r>
            <w:r>
              <w:rPr>
                <w:rStyle w:val="TagFrZchn"/>
              </w:rPr>
              <w:t>(nur freitags)</w:t>
            </w:r>
          </w:p>
          <w:p>
            <w:pPr>
              <w:pStyle w:val="2"/>
              <w:spacing w:line="240" w:lineRule="auto"/>
            </w:pPr>
            <w:r>
              <w:t>STIKO</w:t>
            </w:r>
          </w:p>
          <w:p>
            <w:pPr>
              <w:pStyle w:val="2"/>
              <w:numPr>
                <w:ilvl w:val="0"/>
                <w:numId w:val="9"/>
              </w:numPr>
              <w:spacing w:line="240" w:lineRule="auto"/>
              <w:rPr>
                <w:b w:val="0"/>
                <w:sz w:val="22"/>
                <w:szCs w:val="22"/>
              </w:rPr>
            </w:pPr>
            <w:r>
              <w:rPr>
                <w:b w:val="0"/>
                <w:sz w:val="22"/>
                <w:szCs w:val="22"/>
              </w:rPr>
              <w:t xml:space="preserve">Di /Mi </w:t>
            </w:r>
            <w:proofErr w:type="spellStart"/>
            <w:r>
              <w:rPr>
                <w:b w:val="0"/>
                <w:sz w:val="22"/>
                <w:szCs w:val="22"/>
              </w:rPr>
              <w:t>Stellungnahmeverfahren</w:t>
            </w:r>
            <w:proofErr w:type="spellEnd"/>
            <w:r>
              <w:rPr>
                <w:b w:val="0"/>
                <w:sz w:val="22"/>
                <w:szCs w:val="22"/>
              </w:rPr>
              <w:t xml:space="preserve">: Empfehlung für </w:t>
            </w:r>
            <w:proofErr w:type="spellStart"/>
            <w:r>
              <w:rPr>
                <w:b w:val="0"/>
                <w:sz w:val="22"/>
                <w:szCs w:val="22"/>
              </w:rPr>
              <w:t>Novavax</w:t>
            </w:r>
            <w:proofErr w:type="spellEnd"/>
            <w:r>
              <w:rPr>
                <w:b w:val="0"/>
                <w:sz w:val="22"/>
                <w:szCs w:val="22"/>
              </w:rPr>
              <w:t xml:space="preserve">; </w:t>
            </w:r>
            <w:r>
              <w:rPr>
                <w:b w:val="0"/>
                <w:sz w:val="22"/>
                <w:szCs w:val="22"/>
              </w:rPr>
              <w:br/>
              <w:t>4. Impfdosis für Ü70 und Menschen mit Immundefizienz (Mindestabstand: 3 Monate), sowie Mitarbeitende im Gesundheitswesen (Mindestabstand: 6 Monate).</w:t>
            </w:r>
          </w:p>
          <w:p>
            <w:pPr>
              <w:pStyle w:val="2"/>
              <w:numPr>
                <w:ilvl w:val="0"/>
                <w:numId w:val="9"/>
              </w:numPr>
              <w:spacing w:line="240" w:lineRule="auto"/>
              <w:rPr>
                <w:b w:val="0"/>
                <w:sz w:val="22"/>
                <w:szCs w:val="22"/>
              </w:rPr>
            </w:pPr>
            <w:r>
              <w:rPr>
                <w:b w:val="0"/>
                <w:sz w:val="22"/>
                <w:szCs w:val="22"/>
              </w:rPr>
              <w:t xml:space="preserve">In der Abstimmung: Update Kinderimpfung für 5-11-Jährige: mögliche </w:t>
            </w:r>
            <w:proofErr w:type="spellStart"/>
            <w:r>
              <w:rPr>
                <w:b w:val="0"/>
                <w:sz w:val="22"/>
                <w:szCs w:val="22"/>
              </w:rPr>
              <w:t>Boosterung</w:t>
            </w:r>
            <w:proofErr w:type="spellEnd"/>
            <w:r>
              <w:rPr>
                <w:b w:val="0"/>
                <w:sz w:val="22"/>
                <w:szCs w:val="22"/>
              </w:rPr>
              <w:t xml:space="preserve"> sowie Ausdehnung der Empfehlung auf alle Kinder dieser Altersgruppe. </w:t>
            </w:r>
          </w:p>
          <w:p>
            <w:pPr>
              <w:pStyle w:val="2"/>
              <w:numPr>
                <w:ilvl w:val="0"/>
                <w:numId w:val="9"/>
              </w:numPr>
              <w:spacing w:line="240" w:lineRule="auto"/>
              <w:rPr>
                <w:b w:val="0"/>
                <w:sz w:val="22"/>
                <w:szCs w:val="22"/>
              </w:rPr>
            </w:pPr>
            <w:r>
              <w:rPr>
                <w:b w:val="0"/>
                <w:sz w:val="22"/>
                <w:szCs w:val="22"/>
              </w:rPr>
              <w:t xml:space="preserve">Living syst. Review wird gerade aktualisiert: Wirksamkeit der Impfung bei Omikron. </w:t>
            </w:r>
          </w:p>
          <w:p>
            <w:pPr>
              <w:pStyle w:val="2"/>
              <w:spacing w:line="240" w:lineRule="auto"/>
            </w:pPr>
            <w:r>
              <w:t>Weitere Themen</w:t>
            </w:r>
          </w:p>
          <w:p>
            <w:pPr>
              <w:pStyle w:val="Liste1"/>
              <w:numPr>
                <w:ilvl w:val="0"/>
                <w:numId w:val="27"/>
              </w:numPr>
              <w:rPr>
                <w:b/>
              </w:rPr>
            </w:pPr>
            <w:r>
              <w:rPr>
                <w:b/>
              </w:rPr>
              <w:t xml:space="preserve">COVIMO Erhebung, Auswertung Welle 9: Sonderauswertung- </w:t>
            </w:r>
            <w:proofErr w:type="spellStart"/>
            <w:r>
              <w:rPr>
                <w:b/>
              </w:rPr>
              <w:t>Impfquotenmonitoring</w:t>
            </w:r>
            <w:proofErr w:type="spellEnd"/>
            <w:r>
              <w:rPr>
                <w:b/>
              </w:rPr>
              <w:t xml:space="preserve"> in D als Einwanderungsgesellschaft</w:t>
            </w:r>
          </w:p>
          <w:p>
            <w:pPr>
              <w:pStyle w:val="Liste1"/>
              <w:numPr>
                <w:ilvl w:val="0"/>
                <w:numId w:val="28"/>
              </w:numPr>
            </w:pPr>
            <w:r>
              <w:t>Folien</w:t>
            </w:r>
            <w:hyperlink r:id="rId15" w:history="1">
              <w:r>
                <w:rPr>
                  <w:rStyle w:val="Hyperlink"/>
                </w:rPr>
                <w:t xml:space="preserve"> hier</w:t>
              </w:r>
            </w:hyperlink>
            <w:r>
              <w:t>.</w:t>
            </w:r>
          </w:p>
          <w:p>
            <w:pPr>
              <w:pStyle w:val="Liste1"/>
              <w:numPr>
                <w:ilvl w:val="0"/>
                <w:numId w:val="28"/>
              </w:numPr>
            </w:pPr>
            <w:r>
              <w:t xml:space="preserve">2 Stichproben in 9 Welle: Eingewanderte und ihre direkten Nachkommen, im Vergleich zu Personen ohne Migrationshintergrund. </w:t>
            </w:r>
          </w:p>
          <w:p>
            <w:pPr>
              <w:pStyle w:val="Liste1"/>
              <w:numPr>
                <w:ilvl w:val="0"/>
                <w:numId w:val="28"/>
              </w:numPr>
            </w:pPr>
            <w:r>
              <w:t xml:space="preserve">Jeweils ca. 1000 Interviews, in verschiedenen Sprachen geführt. </w:t>
            </w:r>
          </w:p>
          <w:p>
            <w:pPr>
              <w:pStyle w:val="Liste1"/>
              <w:numPr>
                <w:ilvl w:val="0"/>
                <w:numId w:val="28"/>
              </w:numPr>
            </w:pPr>
            <w:r>
              <w:t xml:space="preserve">Impfquote nach Migrationsgeschichte: etwas geringer als Impfquote bei Bürgern ohne Migrationsgeschichte. Impfbereitschaft allerdings höher. </w:t>
            </w:r>
          </w:p>
          <w:p>
            <w:pPr>
              <w:pStyle w:val="Liste1"/>
              <w:numPr>
                <w:ilvl w:val="0"/>
                <w:numId w:val="28"/>
              </w:numPr>
            </w:pPr>
            <w:r>
              <w:t>Besser Sprachkenntnisse: höhere Impfquote</w:t>
            </w:r>
          </w:p>
          <w:p>
            <w:pPr>
              <w:pStyle w:val="Liste1"/>
              <w:numPr>
                <w:ilvl w:val="0"/>
                <w:numId w:val="28"/>
              </w:numPr>
            </w:pPr>
            <w:r>
              <w:t xml:space="preserve">Erklärungsansatz: Migrationsgeschichte und Zusammenhang Impfquote: Unterschied erklärt durch Einkommen, Bildung und Alter, sowie Diskriminierungserfahrung im Gesundheitswesen und Sprachbarrieren.  </w:t>
            </w:r>
          </w:p>
          <w:p>
            <w:pPr>
              <w:pStyle w:val="Liste1"/>
              <w:numPr>
                <w:ilvl w:val="0"/>
                <w:numId w:val="28"/>
              </w:numPr>
            </w:pPr>
            <w:r>
              <w:t xml:space="preserve">Empfehlungen: Zielgruppen-gerichtete Impfkampagne, Vertrauen schaffen. </w:t>
            </w:r>
          </w:p>
          <w:p>
            <w:pPr>
              <w:pStyle w:val="Liste1"/>
              <w:numPr>
                <w:ilvl w:val="0"/>
                <w:numId w:val="28"/>
              </w:numPr>
            </w:pPr>
            <w:r>
              <w:t xml:space="preserve">Publikation für nächste Woche in Vorbereitung und Infoveranstaltung mit Uni Bielefeld und Gesundheitsministerium Bremen. </w:t>
            </w:r>
          </w:p>
          <w:p>
            <w:pPr>
              <w:pStyle w:val="Liste1"/>
              <w:numPr>
                <w:ilvl w:val="0"/>
                <w:numId w:val="28"/>
              </w:numPr>
            </w:pPr>
            <w:r>
              <w:t xml:space="preserve">Studiendaten liegen dem BMG und Bundeskanzleramt teilweise schon vor. </w:t>
            </w:r>
          </w:p>
          <w:p>
            <w:pPr>
              <w:pStyle w:val="Liste1"/>
              <w:numPr>
                <w:ilvl w:val="0"/>
                <w:numId w:val="28"/>
              </w:numPr>
            </w:pPr>
            <w:r>
              <w:lastRenderedPageBreak/>
              <w:t xml:space="preserve">Frage: wie wurde Diskriminierung im Gesundheitswesen abgefragt? – Mittels 5-Punkte-Skale: „sehr häufig“ bis „niemals“. </w:t>
            </w:r>
          </w:p>
        </w:tc>
        <w:tc>
          <w:tcPr>
            <w:tcW w:w="1605" w:type="dxa"/>
          </w:tcPr>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682" w:type="dxa"/>
          </w:tcPr>
          <w:p>
            <w:pPr>
              <w:pStyle w:val="1"/>
              <w:spacing w:line="240" w:lineRule="auto"/>
            </w:pPr>
            <w:r>
              <w:t xml:space="preserve">Labordiagnostik </w:t>
            </w:r>
            <w:r>
              <w:rPr>
                <w:i/>
                <w:color w:val="8DB3E2" w:themeColor="text2" w:themeTint="66"/>
                <w:sz w:val="22"/>
                <w:szCs w:val="22"/>
              </w:rPr>
              <w:t>(nur freitags)</w:t>
            </w:r>
          </w:p>
          <w:p>
            <w:pPr>
              <w:pStyle w:val="Liste1"/>
              <w:numPr>
                <w:ilvl w:val="0"/>
                <w:numId w:val="26"/>
              </w:numPr>
            </w:pPr>
            <w:r>
              <w:t>Virologisches Sentinel hatte in den letzten 4 Wochen 557 Proben, davon: 519 vollständig untersucht</w:t>
            </w:r>
          </w:p>
          <w:p>
            <w:pPr>
              <w:pStyle w:val="Liste2"/>
              <w:rPr>
                <w:highlight w:val="yellow"/>
                <w:lang w:val="de-DE"/>
              </w:rPr>
            </w:pPr>
            <w:commentRangeStart w:id="1"/>
            <w:r>
              <w:rPr>
                <w:highlight w:val="yellow"/>
                <w:lang w:val="de-DE"/>
              </w:rPr>
              <w:t>67 (13%) SARS-CoV-2</w:t>
            </w:r>
          </w:p>
          <w:p>
            <w:pPr>
              <w:pStyle w:val="Liste2"/>
              <w:rPr>
                <w:highlight w:val="yellow"/>
                <w:lang w:val="de-DE"/>
              </w:rPr>
            </w:pPr>
            <w:r>
              <w:rPr>
                <w:highlight w:val="yellow"/>
                <w:lang w:val="de-DE"/>
              </w:rPr>
              <w:t>16 RSV</w:t>
            </w:r>
          </w:p>
          <w:p>
            <w:pPr>
              <w:pStyle w:val="Liste2"/>
              <w:rPr>
                <w:highlight w:val="yellow"/>
                <w:lang w:val="de-DE"/>
              </w:rPr>
            </w:pPr>
            <w:r>
              <w:rPr>
                <w:highlight w:val="yellow"/>
                <w:lang w:val="de-DE"/>
              </w:rPr>
              <w:t xml:space="preserve">64 </w:t>
            </w:r>
            <w:proofErr w:type="spellStart"/>
            <w:r>
              <w:rPr>
                <w:highlight w:val="yellow"/>
                <w:lang w:val="de-DE"/>
              </w:rPr>
              <w:t>Rhinovirus</w:t>
            </w:r>
            <w:proofErr w:type="spellEnd"/>
          </w:p>
          <w:p>
            <w:pPr>
              <w:pStyle w:val="Liste2"/>
              <w:rPr>
                <w:highlight w:val="yellow"/>
                <w:lang w:val="de-DE"/>
              </w:rPr>
            </w:pPr>
            <w:r>
              <w:rPr>
                <w:highlight w:val="yellow"/>
                <w:lang w:val="de-DE"/>
              </w:rPr>
              <w:t>17 Parainfluenzavirus</w:t>
            </w:r>
          </w:p>
          <w:p>
            <w:pPr>
              <w:pStyle w:val="Liste2"/>
              <w:rPr>
                <w:highlight w:val="yellow"/>
                <w:lang w:val="de-DE"/>
              </w:rPr>
            </w:pPr>
            <w:r>
              <w:rPr>
                <w:highlight w:val="yellow"/>
                <w:lang w:val="de-DE"/>
              </w:rPr>
              <w:t>14 Influenzavirus</w:t>
            </w:r>
          </w:p>
          <w:p>
            <w:pPr>
              <w:pStyle w:val="Liste2"/>
              <w:rPr>
                <w:highlight w:val="yellow"/>
                <w:lang w:val="de-DE"/>
              </w:rPr>
            </w:pPr>
            <w:r>
              <w:rPr>
                <w:highlight w:val="yellow"/>
                <w:lang w:val="de-DE"/>
              </w:rPr>
              <w:t>61 saisonale (endemische) Coronaviren</w:t>
            </w:r>
            <w:commentRangeEnd w:id="1"/>
            <w:r>
              <w:rPr>
                <w:rStyle w:val="Kommentarzeichen"/>
                <w:rFonts w:ascii="Scala Sans OT" w:hAnsi="Scala Sans OT"/>
                <w:lang w:val="de-DE" w:eastAsia="de-DE"/>
              </w:rPr>
              <w:commentReference w:id="1"/>
            </w:r>
          </w:p>
          <w:p>
            <w:pPr>
              <w:pStyle w:val="2"/>
              <w:spacing w:before="0" w:after="0" w:line="240" w:lineRule="auto"/>
              <w:rPr>
                <w:sz w:val="22"/>
                <w:szCs w:val="22"/>
              </w:rPr>
            </w:pPr>
            <w:r>
              <w:rPr>
                <w:sz w:val="22"/>
                <w:szCs w:val="22"/>
              </w:rPr>
              <w:t>ZBS1</w:t>
            </w:r>
          </w:p>
          <w:p>
            <w:pPr>
              <w:pStyle w:val="2"/>
              <w:numPr>
                <w:ilvl w:val="0"/>
                <w:numId w:val="26"/>
              </w:numPr>
              <w:spacing w:before="0" w:after="0" w:line="240" w:lineRule="auto"/>
              <w:rPr>
                <w:b w:val="0"/>
                <w:sz w:val="22"/>
                <w:szCs w:val="22"/>
              </w:rPr>
            </w:pPr>
            <w:r>
              <w:rPr>
                <w:b w:val="0"/>
                <w:sz w:val="22"/>
                <w:szCs w:val="22"/>
              </w:rPr>
              <w:t>162 Proben, davon 67 pos. 41.4%</w:t>
            </w:r>
          </w:p>
        </w:tc>
        <w:tc>
          <w:tcPr>
            <w:tcW w:w="1605" w:type="dxa"/>
          </w:tcPr>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682" w:type="dxa"/>
          </w:tcPr>
          <w:p>
            <w:pPr>
              <w:pStyle w:val="1"/>
              <w:spacing w:after="0" w:line="240" w:lineRule="auto"/>
            </w:pPr>
            <w:r>
              <w:t xml:space="preserve">Klinisches Management/Entlassungsmanagement </w:t>
            </w:r>
            <w:r>
              <w:rPr>
                <w:i/>
                <w:color w:val="8DB3E2" w:themeColor="text2" w:themeTint="66"/>
                <w:sz w:val="22"/>
                <w:szCs w:val="22"/>
              </w:rPr>
              <w:t>(nur freitags)</w:t>
            </w:r>
          </w:p>
          <w:p>
            <w:pPr>
              <w:pStyle w:val="Liste1"/>
            </w:pPr>
            <w:r>
              <w:t>(nicht berichtet)</w:t>
            </w:r>
          </w:p>
        </w:tc>
        <w:tc>
          <w:tcPr>
            <w:tcW w:w="1605" w:type="dxa"/>
          </w:tcPr>
          <w:p>
            <w:pPr>
              <w:rPr>
                <w:sz w:val="22"/>
                <w:szCs w:val="22"/>
              </w:rPr>
            </w:pPr>
          </w:p>
          <w:p>
            <w:pPr>
              <w:rPr>
                <w:sz w:val="22"/>
                <w:szCs w:val="22"/>
              </w:rPr>
            </w:pPr>
            <w:r>
              <w:rPr>
                <w:sz w:val="22"/>
                <w:szCs w:val="22"/>
              </w:rPr>
              <w:t xml:space="preserve">ZBS7 </w:t>
            </w:r>
            <w:r>
              <w:rPr>
                <w:sz w:val="22"/>
                <w:szCs w:val="22"/>
              </w:rPr>
              <w:br/>
            </w:r>
          </w:p>
        </w:tc>
      </w:tr>
      <w:tr>
        <w:tc>
          <w:tcPr>
            <w:tcW w:w="684" w:type="dxa"/>
          </w:tcPr>
          <w:p>
            <w:pPr>
              <w:rPr>
                <w:b/>
              </w:rPr>
            </w:pPr>
            <w:r>
              <w:rPr>
                <w:b/>
              </w:rPr>
              <w:t>12</w:t>
            </w:r>
          </w:p>
        </w:tc>
        <w:tc>
          <w:tcPr>
            <w:tcW w:w="6682" w:type="dxa"/>
          </w:tcPr>
          <w:p>
            <w:pPr>
              <w:pStyle w:val="1"/>
              <w:spacing w:line="240" w:lineRule="auto"/>
            </w:pPr>
            <w:r>
              <w:t xml:space="preserve">Maßnahmen zum Infektionsschutz </w:t>
            </w:r>
            <w:r>
              <w:rPr>
                <w:i/>
                <w:color w:val="8DB3E2" w:themeColor="text2" w:themeTint="66"/>
                <w:sz w:val="22"/>
                <w:szCs w:val="22"/>
              </w:rPr>
              <w:t>(nur freitags)</w:t>
            </w:r>
          </w:p>
          <w:p>
            <w:pPr>
              <w:pStyle w:val="Liste1"/>
              <w:rPr>
                <w:i/>
              </w:rPr>
            </w:pPr>
            <w:r>
              <w:t>(nicht berichtet)</w:t>
            </w:r>
          </w:p>
        </w:tc>
        <w:tc>
          <w:tcPr>
            <w:tcW w:w="1605"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682" w:type="dxa"/>
          </w:tcPr>
          <w:p>
            <w:pPr>
              <w:pStyle w:val="1"/>
              <w:spacing w:line="240" w:lineRule="auto"/>
              <w:rPr>
                <w:sz w:val="22"/>
              </w:rPr>
            </w:pPr>
            <w:r>
              <w:t xml:space="preserve">Surveillance </w:t>
            </w:r>
            <w:r>
              <w:rPr>
                <w:i/>
                <w:color w:val="8DB3E2" w:themeColor="text2" w:themeTint="66"/>
                <w:sz w:val="22"/>
                <w:szCs w:val="22"/>
              </w:rPr>
              <w:t>(nur freitags)</w:t>
            </w:r>
          </w:p>
          <w:p>
            <w:pPr>
              <w:pStyle w:val="Liste3"/>
              <w:numPr>
                <w:ilvl w:val="0"/>
                <w:numId w:val="25"/>
              </w:numPr>
            </w:pPr>
            <w:r>
              <w:t xml:space="preserve">Software kommt teilweise an ihre Grenzen. </w:t>
            </w:r>
          </w:p>
          <w:p>
            <w:pPr>
              <w:pStyle w:val="Liste3"/>
              <w:numPr>
                <w:ilvl w:val="0"/>
                <w:numId w:val="25"/>
              </w:numPr>
            </w:pPr>
            <w:r>
              <w:t xml:space="preserve">10 </w:t>
            </w:r>
            <w:proofErr w:type="spellStart"/>
            <w:r>
              <w:t>Mio</w:t>
            </w:r>
            <w:proofErr w:type="spellEnd"/>
            <w:r>
              <w:t xml:space="preserve"> Fälle, die täglich abgefragt werden müssen. </w:t>
            </w:r>
          </w:p>
          <w:p>
            <w:pPr>
              <w:pStyle w:val="Liste3"/>
              <w:numPr>
                <w:ilvl w:val="0"/>
                <w:numId w:val="25"/>
              </w:numPr>
            </w:pPr>
            <w:r>
              <w:t xml:space="preserve">Digitalisierung der KH-Meldungen (direkte Meldung an Gesundheitsämter): Vom BMG vorgegebenes Thema, das bei der DEMIS Weiterentwicklung gerade berücksichtigt wird. Die Datenqualität wird hierdurch nicht verbessert. Hier wird evtl. eine Parallellösung generiert, die nicht nachhaltig ist. Fachliche Argumente wurden bereits vorgebracht. </w:t>
            </w:r>
          </w:p>
          <w:p>
            <w:pPr>
              <w:pStyle w:val="Liste3"/>
              <w:numPr>
                <w:ilvl w:val="0"/>
                <w:numId w:val="0"/>
              </w:numPr>
              <w:rPr>
                <w:i/>
              </w:rPr>
            </w:pPr>
            <w:proofErr w:type="spellStart"/>
            <w:r>
              <w:rPr>
                <w:i/>
              </w:rPr>
              <w:t>To</w:t>
            </w:r>
            <w:proofErr w:type="spellEnd"/>
            <w:r>
              <w:rPr>
                <w:i/>
              </w:rPr>
              <w:t xml:space="preserve"> Do: Thema sollte in Jour </w:t>
            </w:r>
            <w:proofErr w:type="spellStart"/>
            <w:r>
              <w:rPr>
                <w:i/>
              </w:rPr>
              <w:t>Fix</w:t>
            </w:r>
            <w:proofErr w:type="spellEnd"/>
            <w:r>
              <w:rPr>
                <w:i/>
              </w:rPr>
              <w:t xml:space="preserve"> mit dem BMG nochmal angesprochen werden. </w:t>
            </w:r>
          </w:p>
          <w:p>
            <w:pPr>
              <w:pStyle w:val="Liste3"/>
              <w:numPr>
                <w:ilvl w:val="0"/>
                <w:numId w:val="25"/>
              </w:numPr>
            </w:pPr>
            <w:r>
              <w:t xml:space="preserve">Für ESRI müssen Gesamtdaten zur Verfügung gestellt werden, sonst Diskrepanz zu den Bundesländern. </w:t>
            </w:r>
          </w:p>
        </w:tc>
        <w:tc>
          <w:tcPr>
            <w:tcW w:w="1605"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highlight w:val="yellow"/>
              </w:rPr>
              <w:t>E. Antao?</w:t>
            </w:r>
          </w:p>
        </w:tc>
      </w:tr>
      <w:tr>
        <w:tc>
          <w:tcPr>
            <w:tcW w:w="684" w:type="dxa"/>
          </w:tcPr>
          <w:p>
            <w:pPr>
              <w:rPr>
                <w:b/>
              </w:rPr>
            </w:pPr>
            <w:r>
              <w:rPr>
                <w:b/>
              </w:rPr>
              <w:t>14</w:t>
            </w:r>
          </w:p>
        </w:tc>
        <w:tc>
          <w:tcPr>
            <w:tcW w:w="6682" w:type="dxa"/>
          </w:tcPr>
          <w:p>
            <w:pPr>
              <w:spacing w:after="120"/>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605" w:type="dxa"/>
          </w:tcPr>
          <w:p>
            <w:pPr>
              <w:rPr>
                <w:sz w:val="22"/>
                <w:szCs w:val="22"/>
              </w:rPr>
            </w:pPr>
          </w:p>
          <w:p>
            <w:pPr>
              <w:rPr>
                <w:sz w:val="22"/>
                <w:szCs w:val="22"/>
              </w:rPr>
            </w:pPr>
            <w:r>
              <w:rPr>
                <w:sz w:val="22"/>
                <w:szCs w:val="22"/>
              </w:rPr>
              <w:t xml:space="preserve">FG38 </w:t>
            </w:r>
          </w:p>
        </w:tc>
      </w:tr>
      <w:tr>
        <w:tc>
          <w:tcPr>
            <w:tcW w:w="684" w:type="dxa"/>
          </w:tcPr>
          <w:p>
            <w:pPr>
              <w:rPr>
                <w:b/>
              </w:rPr>
            </w:pPr>
            <w:r>
              <w:rPr>
                <w:b/>
              </w:rPr>
              <w:t>15</w:t>
            </w:r>
          </w:p>
        </w:tc>
        <w:tc>
          <w:tcPr>
            <w:tcW w:w="6682" w:type="dxa"/>
          </w:tcPr>
          <w:p>
            <w:pPr>
              <w:spacing w:after="120"/>
              <w:rPr>
                <w:rStyle w:val="TagFrZchn"/>
              </w:rPr>
            </w:pPr>
            <w:r>
              <w:rPr>
                <w:rStyle w:val="1Zchn"/>
              </w:rPr>
              <w:t>Information aus dem Lagezentrum</w:t>
            </w:r>
            <w:r>
              <w:rPr>
                <w:b/>
                <w:sz w:val="28"/>
              </w:rPr>
              <w:t xml:space="preserve"> </w:t>
            </w:r>
            <w:r>
              <w:rPr>
                <w:rStyle w:val="TagFrZchn"/>
              </w:rPr>
              <w:t>(nur freitags)</w:t>
            </w:r>
          </w:p>
          <w:p>
            <w:pPr>
              <w:pStyle w:val="Liste1"/>
            </w:pPr>
            <w:r>
              <w:t xml:space="preserve">Das LZ wurde vor 2 Jahren in Betrieb genommen </w:t>
            </w:r>
          </w:p>
          <w:p>
            <w:pPr>
              <w:pStyle w:val="Liste1"/>
            </w:pPr>
            <w:r>
              <w:t>Info mit Eckdaten zu LZ durch U. Grote per Mail versendet</w:t>
            </w:r>
          </w:p>
        </w:tc>
        <w:tc>
          <w:tcPr>
            <w:tcW w:w="1605"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682" w:type="dxa"/>
          </w:tcPr>
          <w:p>
            <w:pPr>
              <w:pStyle w:val="1"/>
              <w:spacing w:after="0" w:line="240" w:lineRule="auto"/>
            </w:pPr>
            <w:r>
              <w:t>Wichtige Termine</w:t>
            </w:r>
          </w:p>
          <w:p>
            <w:pPr>
              <w:pStyle w:val="Liste1"/>
            </w:pPr>
            <w:r>
              <w:t>Keine</w:t>
            </w:r>
          </w:p>
        </w:tc>
        <w:tc>
          <w:tcPr>
            <w:tcW w:w="1605"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682" w:type="dxa"/>
          </w:tcPr>
          <w:p>
            <w:pPr>
              <w:pStyle w:val="1"/>
              <w:spacing w:line="240" w:lineRule="auto"/>
            </w:pPr>
            <w:r>
              <w:t>Andere Themen</w:t>
            </w:r>
          </w:p>
          <w:p>
            <w:pPr>
              <w:pStyle w:val="Liste1"/>
              <w:numPr>
                <w:ilvl w:val="0"/>
                <w:numId w:val="9"/>
              </w:numPr>
            </w:pPr>
            <w:r>
              <w:t xml:space="preserve">Nachfrage Isolierung in Pflegeeinrichtungen: Rückmeldung von verschiedenen Seiten, dass die Empfehlungen kaum noch einzuhalten sind. Weiterleitung der Anfrage durch </w:t>
            </w:r>
            <w:proofErr w:type="spellStart"/>
            <w:r>
              <w:t>Hr</w:t>
            </w:r>
            <w:proofErr w:type="spellEnd"/>
            <w:r>
              <w:t xml:space="preserve"> Wieler an T. Eckmanns. </w:t>
            </w:r>
          </w:p>
        </w:tc>
        <w:tc>
          <w:tcPr>
            <w:tcW w:w="1605" w:type="dxa"/>
          </w:tcPr>
          <w:p>
            <w:pPr>
              <w:rPr>
                <w:sz w:val="22"/>
                <w:szCs w:val="22"/>
              </w:rPr>
            </w:pPr>
          </w:p>
          <w:p>
            <w:pPr>
              <w:rPr>
                <w:sz w:val="22"/>
                <w:szCs w:val="22"/>
              </w:rPr>
            </w:pPr>
          </w:p>
          <w:p>
            <w:pPr>
              <w:rPr>
                <w:sz w:val="22"/>
                <w:szCs w:val="22"/>
              </w:rPr>
            </w:pPr>
          </w:p>
          <w:p>
            <w:pPr>
              <w:rPr>
                <w:sz w:val="22"/>
                <w:szCs w:val="22"/>
                <w:highlight w:val="yellow"/>
              </w:rPr>
            </w:pPr>
            <w:r>
              <w:rPr>
                <w:sz w:val="22"/>
                <w:szCs w:val="22"/>
              </w:rPr>
              <w:t>FG37</w:t>
            </w:r>
          </w:p>
        </w:tc>
      </w:tr>
      <w:tr>
        <w:tc>
          <w:tcPr>
            <w:tcW w:w="684" w:type="dxa"/>
          </w:tcPr>
          <w:p>
            <w:pPr>
              <w:rPr>
                <w:b/>
              </w:rPr>
            </w:pPr>
          </w:p>
        </w:tc>
        <w:tc>
          <w:tcPr>
            <w:tcW w:w="6682" w:type="dxa"/>
          </w:tcPr>
          <w:p>
            <w:pPr>
              <w:pStyle w:val="Liste1"/>
              <w:ind w:left="360"/>
            </w:pPr>
            <w:r>
              <w:t xml:space="preserve">Nächste Sitzung: Montag, 31.01.2022, 13:00 Uhr, via </w:t>
            </w:r>
            <w:proofErr w:type="spellStart"/>
            <w:r>
              <w:t>Webex</w:t>
            </w:r>
            <w:proofErr w:type="spellEnd"/>
          </w:p>
        </w:tc>
        <w:tc>
          <w:tcPr>
            <w:tcW w:w="1605" w:type="dxa"/>
          </w:tcPr>
          <w:p>
            <w:pPr>
              <w:rPr>
                <w:sz w:val="22"/>
                <w:szCs w:val="22"/>
              </w:rPr>
            </w:pPr>
          </w:p>
        </w:tc>
      </w:tr>
    </w:tbl>
    <w:p>
      <w:pPr>
        <w:rPr>
          <w:b/>
        </w:rPr>
      </w:pPr>
      <w:bookmarkStart w:id="2" w:name="_GoBack"/>
      <w:bookmarkEnd w:id="2"/>
      <w:r>
        <w:rPr>
          <w:b/>
        </w:rPr>
        <w:t>Ende: 13:06</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ng-Sendzik, Tanja" w:date="2022-01-28T16:32:00Z" w:initials="JT">
    <w:p>
      <w:pPr>
        <w:pStyle w:val="Kommentartext"/>
      </w:pPr>
      <w:r>
        <w:rPr>
          <w:rStyle w:val="Kommentarzeichen"/>
        </w:rPr>
        <w:annotationRef/>
      </w:r>
      <w:r>
        <w:t xml:space="preserve">Frau Oh ich hoffe, ich </w:t>
      </w:r>
      <w:proofErr w:type="gramStart"/>
      <w:r>
        <w:t>hab</w:t>
      </w:r>
      <w:proofErr w:type="gramEnd"/>
      <w:r>
        <w:t xml:space="preserve"> die Zahlen alle richtig erfasst, wenn nicht bitte nochmal korrigieren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ECF"/>
    <w:multiLevelType w:val="hybridMultilevel"/>
    <w:tmpl w:val="862CAC44"/>
    <w:lvl w:ilvl="0" w:tplc="4DCAC0A8">
      <w:start w:val="1"/>
      <w:numFmt w:val="bullet"/>
      <w:lvlText w:val=""/>
      <w:lvlJc w:val="left"/>
      <w:pPr>
        <w:tabs>
          <w:tab w:val="num" w:pos="720"/>
        </w:tabs>
        <w:ind w:left="720" w:hanging="360"/>
      </w:pPr>
      <w:rPr>
        <w:rFonts w:ascii="Wingdings" w:hAnsi="Wingdings" w:hint="default"/>
      </w:rPr>
    </w:lvl>
    <w:lvl w:ilvl="1" w:tplc="A8F413A4" w:tentative="1">
      <w:start w:val="1"/>
      <w:numFmt w:val="bullet"/>
      <w:lvlText w:val=""/>
      <w:lvlJc w:val="left"/>
      <w:pPr>
        <w:tabs>
          <w:tab w:val="num" w:pos="1440"/>
        </w:tabs>
        <w:ind w:left="1440" w:hanging="360"/>
      </w:pPr>
      <w:rPr>
        <w:rFonts w:ascii="Wingdings" w:hAnsi="Wingdings" w:hint="default"/>
      </w:rPr>
    </w:lvl>
    <w:lvl w:ilvl="2" w:tplc="F2F89C32">
      <w:start w:val="1"/>
      <w:numFmt w:val="bullet"/>
      <w:lvlText w:val=""/>
      <w:lvlJc w:val="left"/>
      <w:pPr>
        <w:tabs>
          <w:tab w:val="num" w:pos="2160"/>
        </w:tabs>
        <w:ind w:left="2160" w:hanging="360"/>
      </w:pPr>
      <w:rPr>
        <w:rFonts w:ascii="Wingdings" w:hAnsi="Wingdings" w:hint="default"/>
      </w:rPr>
    </w:lvl>
    <w:lvl w:ilvl="3" w:tplc="9F64608A" w:tentative="1">
      <w:start w:val="1"/>
      <w:numFmt w:val="bullet"/>
      <w:lvlText w:val=""/>
      <w:lvlJc w:val="left"/>
      <w:pPr>
        <w:tabs>
          <w:tab w:val="num" w:pos="2880"/>
        </w:tabs>
        <w:ind w:left="2880" w:hanging="360"/>
      </w:pPr>
      <w:rPr>
        <w:rFonts w:ascii="Wingdings" w:hAnsi="Wingdings" w:hint="default"/>
      </w:rPr>
    </w:lvl>
    <w:lvl w:ilvl="4" w:tplc="0A223EAC" w:tentative="1">
      <w:start w:val="1"/>
      <w:numFmt w:val="bullet"/>
      <w:lvlText w:val=""/>
      <w:lvlJc w:val="left"/>
      <w:pPr>
        <w:tabs>
          <w:tab w:val="num" w:pos="3600"/>
        </w:tabs>
        <w:ind w:left="3600" w:hanging="360"/>
      </w:pPr>
      <w:rPr>
        <w:rFonts w:ascii="Wingdings" w:hAnsi="Wingdings" w:hint="default"/>
      </w:rPr>
    </w:lvl>
    <w:lvl w:ilvl="5" w:tplc="C590D38C" w:tentative="1">
      <w:start w:val="1"/>
      <w:numFmt w:val="bullet"/>
      <w:lvlText w:val=""/>
      <w:lvlJc w:val="left"/>
      <w:pPr>
        <w:tabs>
          <w:tab w:val="num" w:pos="4320"/>
        </w:tabs>
        <w:ind w:left="4320" w:hanging="360"/>
      </w:pPr>
      <w:rPr>
        <w:rFonts w:ascii="Wingdings" w:hAnsi="Wingdings" w:hint="default"/>
      </w:rPr>
    </w:lvl>
    <w:lvl w:ilvl="6" w:tplc="34366DC2" w:tentative="1">
      <w:start w:val="1"/>
      <w:numFmt w:val="bullet"/>
      <w:lvlText w:val=""/>
      <w:lvlJc w:val="left"/>
      <w:pPr>
        <w:tabs>
          <w:tab w:val="num" w:pos="5040"/>
        </w:tabs>
        <w:ind w:left="5040" w:hanging="360"/>
      </w:pPr>
      <w:rPr>
        <w:rFonts w:ascii="Wingdings" w:hAnsi="Wingdings" w:hint="default"/>
      </w:rPr>
    </w:lvl>
    <w:lvl w:ilvl="7" w:tplc="1802738C" w:tentative="1">
      <w:start w:val="1"/>
      <w:numFmt w:val="bullet"/>
      <w:lvlText w:val=""/>
      <w:lvlJc w:val="left"/>
      <w:pPr>
        <w:tabs>
          <w:tab w:val="num" w:pos="5760"/>
        </w:tabs>
        <w:ind w:left="5760" w:hanging="360"/>
      </w:pPr>
      <w:rPr>
        <w:rFonts w:ascii="Wingdings" w:hAnsi="Wingdings" w:hint="default"/>
      </w:rPr>
    </w:lvl>
    <w:lvl w:ilvl="8" w:tplc="4AA031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780C93"/>
    <w:multiLevelType w:val="hybridMultilevel"/>
    <w:tmpl w:val="8CB222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EAECF982">
      <w:start w:val="190"/>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AA3"/>
    <w:multiLevelType w:val="hybridMultilevel"/>
    <w:tmpl w:val="1B701D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F70D2"/>
    <w:multiLevelType w:val="hybridMultilevel"/>
    <w:tmpl w:val="CF24425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D75139"/>
    <w:multiLevelType w:val="hybridMultilevel"/>
    <w:tmpl w:val="9D6A7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751D0B"/>
    <w:multiLevelType w:val="hybridMultilevel"/>
    <w:tmpl w:val="E084C9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51090"/>
    <w:multiLevelType w:val="hybridMultilevel"/>
    <w:tmpl w:val="3A7E83A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2AC5A26"/>
    <w:multiLevelType w:val="hybridMultilevel"/>
    <w:tmpl w:val="9D264B76"/>
    <w:lvl w:ilvl="0" w:tplc="04070003">
      <w:start w:val="1"/>
      <w:numFmt w:val="bullet"/>
      <w:lvlText w:val="o"/>
      <w:lvlJc w:val="left"/>
      <w:pPr>
        <w:ind w:left="473" w:hanging="360"/>
      </w:pPr>
      <w:rPr>
        <w:rFonts w:ascii="Courier New" w:hAnsi="Courier New" w:cs="Courier New"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88B0DE7"/>
    <w:multiLevelType w:val="hybridMultilevel"/>
    <w:tmpl w:val="FEF6D4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594771"/>
    <w:multiLevelType w:val="hybridMultilevel"/>
    <w:tmpl w:val="E06A0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1C5A1C"/>
    <w:multiLevelType w:val="hybridMultilevel"/>
    <w:tmpl w:val="C3E4A788"/>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3" w15:restartNumberingAfterBreak="0">
    <w:nsid w:val="37F1570F"/>
    <w:multiLevelType w:val="hybridMultilevel"/>
    <w:tmpl w:val="E0268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15031F"/>
    <w:multiLevelType w:val="hybridMultilevel"/>
    <w:tmpl w:val="DD12AE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C21B09"/>
    <w:multiLevelType w:val="hybridMultilevel"/>
    <w:tmpl w:val="F586C5D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E35506"/>
    <w:multiLevelType w:val="hybridMultilevel"/>
    <w:tmpl w:val="4302F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BB050B"/>
    <w:multiLevelType w:val="hybridMultilevel"/>
    <w:tmpl w:val="60F03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B095C62"/>
    <w:multiLevelType w:val="hybridMultilevel"/>
    <w:tmpl w:val="FAECE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E74F6E"/>
    <w:multiLevelType w:val="hybridMultilevel"/>
    <w:tmpl w:val="295ACA4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7A4624"/>
    <w:multiLevelType w:val="hybridMultilevel"/>
    <w:tmpl w:val="1270AA8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7C2206"/>
    <w:multiLevelType w:val="hybridMultilevel"/>
    <w:tmpl w:val="F624473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5D64127F"/>
    <w:multiLevelType w:val="hybridMultilevel"/>
    <w:tmpl w:val="94282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C37E09"/>
    <w:multiLevelType w:val="hybridMultilevel"/>
    <w:tmpl w:val="C428DB1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6662B1A"/>
    <w:multiLevelType w:val="hybridMultilevel"/>
    <w:tmpl w:val="97B0D08A"/>
    <w:lvl w:ilvl="0" w:tplc="04070003">
      <w:start w:val="1"/>
      <w:numFmt w:val="bullet"/>
      <w:lvlText w:val="o"/>
      <w:lvlJc w:val="left"/>
      <w:pPr>
        <w:ind w:left="1077" w:hanging="360"/>
      </w:pPr>
      <w:rPr>
        <w:rFonts w:ascii="Courier New" w:hAnsi="Courier New" w:cs="Courier New"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7" w15:restartNumberingAfterBreak="0">
    <w:nsid w:val="67585F24"/>
    <w:multiLevelType w:val="hybridMultilevel"/>
    <w:tmpl w:val="86B8E3E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0149D"/>
    <w:multiLevelType w:val="hybridMultilevel"/>
    <w:tmpl w:val="0076318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7D8A5AE9"/>
    <w:multiLevelType w:val="hybridMultilevel"/>
    <w:tmpl w:val="C1A0CC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20"/>
  </w:num>
  <w:num w:numId="5">
    <w:abstractNumId w:val="10"/>
  </w:num>
  <w:num w:numId="6">
    <w:abstractNumId w:val="8"/>
  </w:num>
  <w:num w:numId="7">
    <w:abstractNumId w:val="19"/>
  </w:num>
  <w:num w:numId="8">
    <w:abstractNumId w:val="0"/>
  </w:num>
  <w:num w:numId="9">
    <w:abstractNumId w:val="18"/>
  </w:num>
  <w:num w:numId="10">
    <w:abstractNumId w:val="29"/>
  </w:num>
  <w:num w:numId="11">
    <w:abstractNumId w:val="23"/>
  </w:num>
  <w:num w:numId="12">
    <w:abstractNumId w:val="24"/>
  </w:num>
  <w:num w:numId="13">
    <w:abstractNumId w:val="28"/>
  </w:num>
  <w:num w:numId="14">
    <w:abstractNumId w:val="25"/>
  </w:num>
  <w:num w:numId="15">
    <w:abstractNumId w:val="26"/>
  </w:num>
  <w:num w:numId="16">
    <w:abstractNumId w:val="11"/>
  </w:num>
  <w:num w:numId="17">
    <w:abstractNumId w:val="13"/>
  </w:num>
  <w:num w:numId="18">
    <w:abstractNumId w:val="3"/>
  </w:num>
  <w:num w:numId="19">
    <w:abstractNumId w:val="21"/>
  </w:num>
  <w:num w:numId="20">
    <w:abstractNumId w:val="4"/>
  </w:num>
  <w:num w:numId="21">
    <w:abstractNumId w:val="27"/>
  </w:num>
  <w:num w:numId="22">
    <w:abstractNumId w:val="22"/>
  </w:num>
  <w:num w:numId="23">
    <w:abstractNumId w:val="15"/>
  </w:num>
  <w:num w:numId="24">
    <w:abstractNumId w:val="14"/>
  </w:num>
  <w:num w:numId="25">
    <w:abstractNumId w:val="6"/>
  </w:num>
  <w:num w:numId="26">
    <w:abstractNumId w:val="5"/>
  </w:num>
  <w:num w:numId="27">
    <w:abstractNumId w:val="17"/>
  </w:num>
  <w:num w:numId="28">
    <w:abstractNumId w:val="9"/>
  </w:num>
  <w:num w:numId="29">
    <w:abstractNumId w:val="12"/>
  </w:num>
  <w:num w:numId="30">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g-Sendzik, Tanja">
    <w15:presenceInfo w15:providerId="None" w15:userId="Jung-Sendzik, Ta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spacing w:after="0"/>
      <w:ind w:left="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06776132">
      <w:bodyDiv w:val="1"/>
      <w:marLeft w:val="0"/>
      <w:marRight w:val="0"/>
      <w:marTop w:val="0"/>
      <w:marBottom w:val="0"/>
      <w:divBdr>
        <w:top w:val="none" w:sz="0" w:space="0" w:color="auto"/>
        <w:left w:val="none" w:sz="0" w:space="0" w:color="auto"/>
        <w:bottom w:val="none" w:sz="0" w:space="0" w:color="auto"/>
        <w:right w:val="none" w:sz="0" w:space="0" w:color="auto"/>
      </w:divBdr>
      <w:divsChild>
        <w:div w:id="1532187307">
          <w:marLeft w:val="446"/>
          <w:marRight w:val="0"/>
          <w:marTop w:val="0"/>
          <w:marBottom w:val="0"/>
          <w:divBdr>
            <w:top w:val="none" w:sz="0" w:space="0" w:color="auto"/>
            <w:left w:val="none" w:sz="0" w:space="0" w:color="auto"/>
            <w:bottom w:val="none" w:sz="0" w:space="0" w:color="auto"/>
            <w:right w:val="none" w:sz="0" w:space="0" w:color="auto"/>
          </w:divBdr>
        </w:div>
        <w:div w:id="454758963">
          <w:marLeft w:val="446"/>
          <w:marRight w:val="0"/>
          <w:marTop w:val="0"/>
          <w:marBottom w:val="0"/>
          <w:divBdr>
            <w:top w:val="none" w:sz="0" w:space="0" w:color="auto"/>
            <w:left w:val="none" w:sz="0" w:space="0" w:color="auto"/>
            <w:bottom w:val="none" w:sz="0" w:space="0" w:color="auto"/>
            <w:right w:val="none" w:sz="0" w:space="0" w:color="auto"/>
          </w:divBdr>
        </w:div>
        <w:div w:id="831677640">
          <w:marLeft w:val="446"/>
          <w:marRight w:val="0"/>
          <w:marTop w:val="0"/>
          <w:marBottom w:val="0"/>
          <w:divBdr>
            <w:top w:val="none" w:sz="0" w:space="0" w:color="auto"/>
            <w:left w:val="none" w:sz="0" w:space="0" w:color="auto"/>
            <w:bottom w:val="none" w:sz="0" w:space="0" w:color="auto"/>
            <w:right w:val="none" w:sz="0" w:space="0" w:color="auto"/>
          </w:divBdr>
        </w:div>
        <w:div w:id="2115787794">
          <w:marLeft w:val="446"/>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19089424">
      <w:bodyDiv w:val="1"/>
      <w:marLeft w:val="0"/>
      <w:marRight w:val="0"/>
      <w:marTop w:val="0"/>
      <w:marBottom w:val="0"/>
      <w:divBdr>
        <w:top w:val="none" w:sz="0" w:space="0" w:color="auto"/>
        <w:left w:val="none" w:sz="0" w:space="0" w:color="auto"/>
        <w:bottom w:val="none" w:sz="0" w:space="0" w:color="auto"/>
        <w:right w:val="none" w:sz="0" w:space="0" w:color="auto"/>
      </w:divBdr>
    </w:div>
    <w:div w:id="1815566544">
      <w:bodyDiv w:val="1"/>
      <w:marLeft w:val="0"/>
      <w:marRight w:val="0"/>
      <w:marTop w:val="0"/>
      <w:marBottom w:val="0"/>
      <w:divBdr>
        <w:top w:val="none" w:sz="0" w:space="0" w:color="auto"/>
        <w:left w:val="none" w:sz="0" w:space="0" w:color="auto"/>
        <w:bottom w:val="none" w:sz="0" w:space="0" w:color="auto"/>
        <w:right w:val="none" w:sz="0" w:space="0" w:color="auto"/>
      </w:divBdr>
      <w:divsChild>
        <w:div w:id="1089618435">
          <w:marLeft w:val="1555"/>
          <w:marRight w:val="0"/>
          <w:marTop w:val="0"/>
          <w:marBottom w:val="0"/>
          <w:divBdr>
            <w:top w:val="none" w:sz="0" w:space="0" w:color="auto"/>
            <w:left w:val="none" w:sz="0" w:space="0" w:color="auto"/>
            <w:bottom w:val="none" w:sz="0" w:space="0" w:color="auto"/>
            <w:right w:val="none" w:sz="0" w:space="0" w:color="auto"/>
          </w:divBdr>
        </w:div>
        <w:div w:id="49421435">
          <w:marLeft w:val="1555"/>
          <w:marRight w:val="0"/>
          <w:marTop w:val="0"/>
          <w:marBottom w:val="0"/>
          <w:divBdr>
            <w:top w:val="none" w:sz="0" w:space="0" w:color="auto"/>
            <w:left w:val="none" w:sz="0" w:space="0" w:color="auto"/>
            <w:bottom w:val="none" w:sz="0" w:space="0" w:color="auto"/>
            <w:right w:val="none" w:sz="0" w:space="0" w:color="auto"/>
          </w:divBdr>
        </w:div>
        <w:div w:id="919827999">
          <w:marLeft w:val="1555"/>
          <w:marRight w:val="0"/>
          <w:marTop w:val="0"/>
          <w:marBottom w:val="0"/>
          <w:divBdr>
            <w:top w:val="none" w:sz="0" w:space="0" w:color="auto"/>
            <w:left w:val="none" w:sz="0" w:space="0" w:color="auto"/>
            <w:bottom w:val="none" w:sz="0" w:space="0" w:color="auto"/>
            <w:right w:val="none" w:sz="0" w:space="0" w:color="auto"/>
          </w:divBdr>
        </w:div>
        <w:div w:id="850536007">
          <w:marLeft w:val="1555"/>
          <w:marRight w:val="0"/>
          <w:marTop w:val="0"/>
          <w:marBottom w:val="0"/>
          <w:divBdr>
            <w:top w:val="none" w:sz="0" w:space="0" w:color="auto"/>
            <w:left w:val="none" w:sz="0" w:space="0" w:color="auto"/>
            <w:bottom w:val="none" w:sz="0" w:space="0" w:color="auto"/>
            <w:right w:val="none" w:sz="0" w:space="0" w:color="auto"/>
          </w:divBdr>
        </w:div>
        <w:div w:id="2124809423">
          <w:marLeft w:val="1555"/>
          <w:marRight w:val="0"/>
          <w:marTop w:val="0"/>
          <w:marBottom w:val="0"/>
          <w:divBdr>
            <w:top w:val="none" w:sz="0" w:space="0" w:color="auto"/>
            <w:left w:val="none" w:sz="0" w:space="0" w:color="auto"/>
            <w:bottom w:val="none" w:sz="0" w:space="0" w:color="auto"/>
            <w:right w:val="none" w:sz="0" w:space="0" w:color="auto"/>
          </w:divBdr>
        </w:div>
        <w:div w:id="320501735">
          <w:marLeft w:val="1555"/>
          <w:marRight w:val="0"/>
          <w:marTop w:val="0"/>
          <w:marBottom w:val="0"/>
          <w:divBdr>
            <w:top w:val="none" w:sz="0" w:space="0" w:color="auto"/>
            <w:left w:val="none" w:sz="0" w:space="0" w:color="auto"/>
            <w:bottom w:val="none" w:sz="0" w:space="0" w:color="auto"/>
            <w:right w:val="none" w:sz="0" w:space="0" w:color="auto"/>
          </w:divBdr>
        </w:div>
        <w:div w:id="1988900043">
          <w:marLeft w:val="1555"/>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1-28_Lage_AG\Digi-Tools_Krisenstab_2022-01-28.ppt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1-21_Lage-AG\LageNational_2022-01-21.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1-28_Lage_AG\COVID-19_internat.%20Lage_2022-01-28.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1-28_Lage_AG\2022-01-28_Ergebnispr&#228;sentation_Krisenstab.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1-28_Lage_AG\Lockdown%20Studie.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D8364-C25E-448E-AFB2-DE190281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1897</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6</cp:revision>
  <cp:lastPrinted>2020-05-06T16:43:00Z</cp:lastPrinted>
  <dcterms:created xsi:type="dcterms:W3CDTF">2022-01-28T16:09:00Z</dcterms:created>
  <dcterms:modified xsi:type="dcterms:W3CDTF">2022-01-28T16:46:00Z</dcterms:modified>
</cp:coreProperties>
</file>