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zu COVID-19</w:t>
      </w:r>
    </w:p>
    <w:p>
      <w:pPr>
        <w:rPr>
          <w:rFonts w:asciiTheme="majorHAnsi" w:eastAsiaTheme="majorEastAsia" w:hAnsiTheme="majorHAnsi" w:cstheme="majorBidi"/>
          <w:b/>
          <w:bCs/>
          <w:color w:val="345A8A" w:themeColor="accent1" w:themeShade="B5"/>
          <w:sz w:val="32"/>
          <w:szCs w:val="32"/>
        </w:rPr>
      </w:pPr>
      <w:r>
        <w:rPr>
          <w:rFonts w:asciiTheme="majorHAnsi" w:eastAsiaTheme="majorEastAsia" w:hAnsiTheme="majorHAnsi" w:cstheme="majorBidi"/>
          <w:b/>
          <w:bCs/>
          <w:color w:val="345A8A" w:themeColor="accent1" w:themeShade="B5"/>
          <w:sz w:val="32"/>
          <w:szCs w:val="32"/>
        </w:rP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Mittwoch, 09.02.2022,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Webex-Konferenz</w:t>
          </w:r>
        </w:sdtContent>
      </w:sdt>
    </w:p>
    <w:p>
      <w:pPr>
        <w:rPr>
          <w:b/>
          <w:sz w:val="22"/>
        </w:rPr>
      </w:pPr>
      <w:r>
        <w:rPr>
          <w:b/>
          <w:sz w:val="22"/>
        </w:rPr>
        <w:t xml:space="preserve">Moderation: Lars Schaade </w:t>
      </w:r>
    </w:p>
    <w:p>
      <w:pPr>
        <w:spacing w:after="0"/>
        <w:rPr>
          <w:b/>
          <w:sz w:val="22"/>
        </w:rPr>
        <w:sectPr>
          <w:headerReference w:type="even" r:id="rId8"/>
          <w:headerReference w:type="default" r:id="rId9"/>
          <w:footerReference w:type="even" r:id="rId10"/>
          <w:footerReference w:type="default" r:id="rId11"/>
          <w:headerReference w:type="first" r:id="rId12"/>
          <w:footerReference w:type="first" r:id="rId13"/>
          <w:pgSz w:w="11900" w:h="16840"/>
          <w:pgMar w:top="1440" w:right="1800" w:bottom="1440" w:left="1800" w:header="708" w:footer="708" w:gutter="0"/>
          <w:cols w:space="708"/>
        </w:sectPr>
      </w:pPr>
    </w:p>
    <w:p>
      <w:pPr>
        <w:spacing w:after="0"/>
        <w:rPr>
          <w:b/>
          <w:sz w:val="22"/>
        </w:rPr>
      </w:pPr>
      <w:bookmarkStart w:id="0" w:name="_Hlk82005470"/>
      <w:r>
        <w:rPr>
          <w:b/>
          <w:sz w:val="22"/>
        </w:rPr>
        <w:t xml:space="preserve">Teilnehmende: </w:t>
      </w:r>
    </w:p>
    <w:p>
      <w:pPr>
        <w:pStyle w:val="Listenabsatz"/>
        <w:numPr>
          <w:ilvl w:val="0"/>
          <w:numId w:val="3"/>
        </w:numPr>
        <w:spacing w:after="0"/>
        <w:contextualSpacing w:val="0"/>
        <w:rPr>
          <w:sz w:val="22"/>
          <w:szCs w:val="22"/>
        </w:rPr>
      </w:pPr>
      <w:r>
        <w:rPr>
          <w:sz w:val="22"/>
          <w:szCs w:val="22"/>
        </w:rPr>
        <w:t>Institutsleitung</w:t>
      </w:r>
    </w:p>
    <w:p>
      <w:pPr>
        <w:pStyle w:val="Listenabsatz"/>
        <w:numPr>
          <w:ilvl w:val="1"/>
          <w:numId w:val="2"/>
        </w:numPr>
        <w:spacing w:after="0"/>
        <w:contextualSpacing w:val="0"/>
        <w:rPr>
          <w:sz w:val="22"/>
          <w:szCs w:val="22"/>
        </w:rPr>
      </w:pPr>
      <w:r>
        <w:rPr>
          <w:sz w:val="22"/>
          <w:szCs w:val="22"/>
        </w:rPr>
        <w:t>Lothar H. Wieler</w:t>
      </w:r>
    </w:p>
    <w:p>
      <w:pPr>
        <w:pStyle w:val="Listenabsatz"/>
        <w:numPr>
          <w:ilvl w:val="1"/>
          <w:numId w:val="2"/>
        </w:numPr>
        <w:spacing w:after="0"/>
        <w:contextualSpacing w:val="0"/>
        <w:rPr>
          <w:sz w:val="22"/>
          <w:szCs w:val="22"/>
        </w:rPr>
      </w:pPr>
      <w:r>
        <w:rPr>
          <w:sz w:val="22"/>
          <w:szCs w:val="22"/>
        </w:rPr>
        <w:t>Lars Schaade</w:t>
      </w:r>
    </w:p>
    <w:p>
      <w:pPr>
        <w:pStyle w:val="Listenabsatz"/>
        <w:numPr>
          <w:ilvl w:val="1"/>
          <w:numId w:val="2"/>
        </w:numPr>
        <w:spacing w:after="0"/>
        <w:rPr>
          <w:sz w:val="22"/>
          <w:szCs w:val="22"/>
        </w:rPr>
      </w:pPr>
      <w:r>
        <w:rPr>
          <w:sz w:val="22"/>
          <w:szCs w:val="22"/>
        </w:rPr>
        <w:t xml:space="preserve">Esther-Maria </w:t>
      </w:r>
      <w:proofErr w:type="spellStart"/>
      <w:r>
        <w:rPr>
          <w:sz w:val="22"/>
          <w:szCs w:val="22"/>
        </w:rPr>
        <w:t>Antão</w:t>
      </w:r>
      <w:proofErr w:type="spellEnd"/>
    </w:p>
    <w:p>
      <w:pPr>
        <w:pStyle w:val="Listenabsatz"/>
        <w:numPr>
          <w:ilvl w:val="0"/>
          <w:numId w:val="2"/>
        </w:numPr>
        <w:spacing w:after="0" w:line="233" w:lineRule="auto"/>
        <w:contextualSpacing w:val="0"/>
        <w:rPr>
          <w:sz w:val="22"/>
          <w:szCs w:val="22"/>
        </w:rPr>
      </w:pPr>
      <w:r>
        <w:rPr>
          <w:sz w:val="22"/>
          <w:szCs w:val="22"/>
        </w:rPr>
        <w:t>Abt. 2</w:t>
      </w:r>
    </w:p>
    <w:p>
      <w:pPr>
        <w:pStyle w:val="Listenabsatz"/>
        <w:numPr>
          <w:ilvl w:val="1"/>
          <w:numId w:val="2"/>
        </w:numPr>
        <w:spacing w:after="0" w:line="233" w:lineRule="auto"/>
        <w:contextualSpacing w:val="0"/>
        <w:rPr>
          <w:sz w:val="22"/>
          <w:szCs w:val="22"/>
        </w:rPr>
      </w:pPr>
      <w:r>
        <w:rPr>
          <w:sz w:val="22"/>
          <w:szCs w:val="22"/>
        </w:rPr>
        <w:t>Michael Bosnjak</w:t>
      </w:r>
    </w:p>
    <w:p>
      <w:pPr>
        <w:pStyle w:val="Listenabsatz"/>
        <w:numPr>
          <w:ilvl w:val="0"/>
          <w:numId w:val="2"/>
        </w:numPr>
        <w:spacing w:after="0" w:line="233" w:lineRule="auto"/>
        <w:ind w:hanging="357"/>
        <w:contextualSpacing w:val="0"/>
        <w:rPr>
          <w:sz w:val="22"/>
          <w:szCs w:val="22"/>
        </w:rPr>
      </w:pPr>
      <w:r>
        <w:rPr>
          <w:sz w:val="22"/>
          <w:szCs w:val="22"/>
        </w:rPr>
        <w:t>Abt. 3</w:t>
      </w:r>
    </w:p>
    <w:p>
      <w:pPr>
        <w:pStyle w:val="Listenabsatz"/>
        <w:numPr>
          <w:ilvl w:val="1"/>
          <w:numId w:val="2"/>
        </w:numPr>
        <w:spacing w:after="0" w:line="233" w:lineRule="auto"/>
        <w:contextualSpacing w:val="0"/>
        <w:rPr>
          <w:sz w:val="22"/>
          <w:szCs w:val="22"/>
        </w:rPr>
      </w:pPr>
      <w:r>
        <w:rPr>
          <w:sz w:val="22"/>
          <w:szCs w:val="22"/>
        </w:rPr>
        <w:t>Osamah Hamouda</w:t>
      </w:r>
    </w:p>
    <w:p>
      <w:pPr>
        <w:pStyle w:val="Listenabsatz"/>
        <w:numPr>
          <w:ilvl w:val="1"/>
          <w:numId w:val="2"/>
        </w:numPr>
        <w:spacing w:after="0"/>
        <w:contextualSpacing w:val="0"/>
        <w:rPr>
          <w:sz w:val="22"/>
          <w:szCs w:val="22"/>
        </w:rPr>
      </w:pPr>
      <w:r>
        <w:rPr>
          <w:sz w:val="22"/>
          <w:szCs w:val="22"/>
        </w:rPr>
        <w:t>Tanja Jung-Sendzik</w:t>
      </w:r>
    </w:p>
    <w:p>
      <w:pPr>
        <w:pStyle w:val="Listenabsatz"/>
        <w:numPr>
          <w:ilvl w:val="1"/>
          <w:numId w:val="2"/>
        </w:numPr>
        <w:spacing w:after="0"/>
        <w:contextualSpacing w:val="0"/>
        <w:rPr>
          <w:sz w:val="22"/>
          <w:szCs w:val="22"/>
        </w:rPr>
      </w:pPr>
      <w:r>
        <w:rPr>
          <w:sz w:val="22"/>
          <w:szCs w:val="22"/>
        </w:rPr>
        <w:t>Janna Seifried</w:t>
      </w:r>
    </w:p>
    <w:p>
      <w:pPr>
        <w:pStyle w:val="Listenabsatz"/>
        <w:numPr>
          <w:ilvl w:val="0"/>
          <w:numId w:val="2"/>
        </w:numPr>
        <w:spacing w:after="0"/>
        <w:contextualSpacing w:val="0"/>
        <w:rPr>
          <w:sz w:val="22"/>
          <w:szCs w:val="22"/>
        </w:rPr>
      </w:pPr>
      <w:r>
        <w:rPr>
          <w:sz w:val="22"/>
          <w:szCs w:val="22"/>
        </w:rPr>
        <w:t>FG12</w:t>
      </w:r>
    </w:p>
    <w:p>
      <w:pPr>
        <w:pStyle w:val="Listenabsatz"/>
        <w:numPr>
          <w:ilvl w:val="1"/>
          <w:numId w:val="2"/>
        </w:numPr>
        <w:spacing w:after="0"/>
        <w:contextualSpacing w:val="0"/>
        <w:rPr>
          <w:sz w:val="22"/>
          <w:szCs w:val="22"/>
        </w:rPr>
      </w:pPr>
      <w:r>
        <w:rPr>
          <w:sz w:val="22"/>
          <w:szCs w:val="22"/>
        </w:rPr>
        <w:t xml:space="preserve">Annette </w:t>
      </w:r>
      <w:proofErr w:type="spellStart"/>
      <w:r>
        <w:rPr>
          <w:sz w:val="22"/>
          <w:szCs w:val="22"/>
        </w:rPr>
        <w:t>Mankertz</w:t>
      </w:r>
      <w:proofErr w:type="spellEnd"/>
    </w:p>
    <w:p>
      <w:pPr>
        <w:pStyle w:val="Listenabsatz"/>
        <w:numPr>
          <w:ilvl w:val="0"/>
          <w:numId w:val="2"/>
        </w:numPr>
        <w:spacing w:after="0"/>
        <w:contextualSpacing w:val="0"/>
        <w:rPr>
          <w:sz w:val="22"/>
          <w:szCs w:val="22"/>
        </w:rPr>
      </w:pPr>
      <w:r>
        <w:rPr>
          <w:sz w:val="22"/>
          <w:szCs w:val="22"/>
        </w:rPr>
        <w:t>FG14</w:t>
      </w:r>
    </w:p>
    <w:p>
      <w:pPr>
        <w:pStyle w:val="Listenabsatz"/>
        <w:numPr>
          <w:ilvl w:val="1"/>
          <w:numId w:val="2"/>
        </w:numPr>
        <w:spacing w:after="0"/>
        <w:contextualSpacing w:val="0"/>
        <w:rPr>
          <w:sz w:val="22"/>
          <w:szCs w:val="22"/>
        </w:rPr>
      </w:pPr>
      <w:r>
        <w:rPr>
          <w:sz w:val="22"/>
          <w:szCs w:val="22"/>
        </w:rPr>
        <w:t>Mardjan Arvand</w:t>
      </w:r>
    </w:p>
    <w:p>
      <w:pPr>
        <w:pStyle w:val="Listenabsatz"/>
        <w:numPr>
          <w:ilvl w:val="1"/>
          <w:numId w:val="2"/>
        </w:numPr>
        <w:spacing w:after="0"/>
        <w:contextualSpacing w:val="0"/>
        <w:rPr>
          <w:sz w:val="22"/>
          <w:szCs w:val="22"/>
        </w:rPr>
      </w:pPr>
      <w:r>
        <w:rPr>
          <w:sz w:val="22"/>
          <w:szCs w:val="22"/>
        </w:rPr>
        <w:t>Melanie Brunke</w:t>
      </w:r>
    </w:p>
    <w:p>
      <w:pPr>
        <w:pStyle w:val="Listenabsatz"/>
        <w:numPr>
          <w:ilvl w:val="0"/>
          <w:numId w:val="3"/>
        </w:numPr>
        <w:spacing w:after="0"/>
        <w:contextualSpacing w:val="0"/>
        <w:rPr>
          <w:sz w:val="22"/>
          <w:szCs w:val="22"/>
        </w:rPr>
      </w:pPr>
      <w:r>
        <w:rPr>
          <w:sz w:val="22"/>
          <w:szCs w:val="22"/>
        </w:rPr>
        <w:t>FG17</w:t>
      </w:r>
    </w:p>
    <w:p>
      <w:pPr>
        <w:pStyle w:val="Listenabsatz"/>
        <w:numPr>
          <w:ilvl w:val="1"/>
          <w:numId w:val="2"/>
        </w:numPr>
        <w:spacing w:after="0"/>
        <w:contextualSpacing w:val="0"/>
        <w:rPr>
          <w:sz w:val="22"/>
          <w:szCs w:val="22"/>
        </w:rPr>
      </w:pPr>
      <w:r>
        <w:rPr>
          <w:sz w:val="22"/>
          <w:szCs w:val="22"/>
        </w:rPr>
        <w:t>Ralf Dürrwald</w:t>
      </w:r>
    </w:p>
    <w:p>
      <w:pPr>
        <w:pStyle w:val="Listenabsatz"/>
        <w:numPr>
          <w:ilvl w:val="1"/>
          <w:numId w:val="2"/>
        </w:numPr>
        <w:spacing w:after="0"/>
        <w:contextualSpacing w:val="0"/>
        <w:rPr>
          <w:sz w:val="22"/>
          <w:szCs w:val="22"/>
        </w:rPr>
      </w:pPr>
      <w:r>
        <w:rPr>
          <w:sz w:val="22"/>
          <w:szCs w:val="22"/>
        </w:rPr>
        <w:t>Dschin-Je Oh</w:t>
      </w:r>
    </w:p>
    <w:p>
      <w:pPr>
        <w:pStyle w:val="Listenabsatz"/>
        <w:numPr>
          <w:ilvl w:val="0"/>
          <w:numId w:val="4"/>
        </w:numPr>
        <w:spacing w:after="0"/>
        <w:contextualSpacing w:val="0"/>
        <w:rPr>
          <w:sz w:val="22"/>
          <w:szCs w:val="22"/>
        </w:rPr>
      </w:pPr>
      <w:r>
        <w:rPr>
          <w:sz w:val="22"/>
          <w:szCs w:val="22"/>
        </w:rPr>
        <w:t>FG21</w:t>
      </w:r>
    </w:p>
    <w:p>
      <w:pPr>
        <w:pStyle w:val="Listenabsatz"/>
        <w:numPr>
          <w:ilvl w:val="1"/>
          <w:numId w:val="4"/>
        </w:numPr>
        <w:spacing w:after="0"/>
        <w:contextualSpacing w:val="0"/>
        <w:rPr>
          <w:sz w:val="22"/>
          <w:szCs w:val="22"/>
        </w:rPr>
      </w:pPr>
      <w:r>
        <w:rPr>
          <w:sz w:val="22"/>
          <w:szCs w:val="22"/>
        </w:rPr>
        <w:t xml:space="preserve">Wolfgang </w:t>
      </w:r>
      <w:proofErr w:type="spellStart"/>
      <w:r>
        <w:rPr>
          <w:sz w:val="22"/>
          <w:szCs w:val="22"/>
        </w:rPr>
        <w:t>Scheida</w:t>
      </w:r>
      <w:proofErr w:type="spellEnd"/>
    </w:p>
    <w:p>
      <w:pPr>
        <w:pStyle w:val="Listenabsatz"/>
        <w:numPr>
          <w:ilvl w:val="0"/>
          <w:numId w:val="4"/>
        </w:numPr>
        <w:spacing w:after="0"/>
        <w:contextualSpacing w:val="0"/>
        <w:rPr>
          <w:sz w:val="22"/>
          <w:szCs w:val="22"/>
        </w:rPr>
      </w:pPr>
      <w:r>
        <w:rPr>
          <w:sz w:val="22"/>
          <w:szCs w:val="22"/>
        </w:rPr>
        <w:t>FG32</w:t>
      </w:r>
    </w:p>
    <w:p>
      <w:pPr>
        <w:pStyle w:val="Listenabsatz"/>
        <w:numPr>
          <w:ilvl w:val="1"/>
          <w:numId w:val="4"/>
        </w:numPr>
        <w:spacing w:after="0"/>
        <w:contextualSpacing w:val="0"/>
        <w:rPr>
          <w:sz w:val="22"/>
          <w:szCs w:val="22"/>
        </w:rPr>
      </w:pPr>
      <w:r>
        <w:rPr>
          <w:sz w:val="22"/>
          <w:szCs w:val="22"/>
        </w:rPr>
        <w:t>Michaela Diercke</w:t>
      </w:r>
    </w:p>
    <w:p>
      <w:pPr>
        <w:pStyle w:val="Listenabsatz"/>
        <w:numPr>
          <w:ilvl w:val="0"/>
          <w:numId w:val="4"/>
        </w:numPr>
        <w:spacing w:after="0"/>
        <w:contextualSpacing w:val="0"/>
        <w:rPr>
          <w:sz w:val="22"/>
          <w:szCs w:val="22"/>
        </w:rPr>
      </w:pPr>
      <w:r>
        <w:rPr>
          <w:sz w:val="22"/>
          <w:szCs w:val="22"/>
        </w:rPr>
        <w:t>FG33</w:t>
      </w:r>
    </w:p>
    <w:p>
      <w:pPr>
        <w:pStyle w:val="Listenabsatz"/>
        <w:numPr>
          <w:ilvl w:val="1"/>
          <w:numId w:val="4"/>
        </w:numPr>
        <w:spacing w:after="0"/>
        <w:contextualSpacing w:val="0"/>
        <w:rPr>
          <w:sz w:val="22"/>
          <w:szCs w:val="22"/>
        </w:rPr>
      </w:pPr>
      <w:r>
        <w:rPr>
          <w:sz w:val="22"/>
          <w:szCs w:val="22"/>
        </w:rPr>
        <w:t>Thomas Harder</w:t>
      </w:r>
    </w:p>
    <w:p>
      <w:pPr>
        <w:pStyle w:val="Listenabsatz"/>
        <w:numPr>
          <w:ilvl w:val="0"/>
          <w:numId w:val="4"/>
        </w:numPr>
        <w:spacing w:after="0"/>
        <w:contextualSpacing w:val="0"/>
        <w:rPr>
          <w:sz w:val="22"/>
          <w:szCs w:val="22"/>
        </w:rPr>
      </w:pPr>
      <w:r>
        <w:rPr>
          <w:sz w:val="22"/>
          <w:szCs w:val="22"/>
        </w:rPr>
        <w:t>FG34</w:t>
      </w:r>
    </w:p>
    <w:p>
      <w:pPr>
        <w:pStyle w:val="Listenabsatz"/>
        <w:numPr>
          <w:ilvl w:val="1"/>
          <w:numId w:val="2"/>
        </w:numPr>
        <w:spacing w:after="0"/>
        <w:contextualSpacing w:val="0"/>
        <w:rPr>
          <w:sz w:val="22"/>
          <w:szCs w:val="22"/>
        </w:rPr>
      </w:pPr>
      <w:r>
        <w:rPr>
          <w:sz w:val="22"/>
          <w:szCs w:val="22"/>
        </w:rPr>
        <w:t>Viviane Bremer</w:t>
      </w:r>
    </w:p>
    <w:p>
      <w:pPr>
        <w:pStyle w:val="Listenabsatz"/>
        <w:numPr>
          <w:ilvl w:val="0"/>
          <w:numId w:val="2"/>
        </w:numPr>
        <w:spacing w:after="0"/>
        <w:contextualSpacing w:val="0"/>
        <w:rPr>
          <w:sz w:val="22"/>
          <w:szCs w:val="22"/>
        </w:rPr>
      </w:pPr>
      <w:r>
        <w:rPr>
          <w:sz w:val="22"/>
          <w:szCs w:val="22"/>
        </w:rPr>
        <w:t>FG35</w:t>
      </w:r>
    </w:p>
    <w:p>
      <w:pPr>
        <w:pStyle w:val="Listenabsatz"/>
        <w:numPr>
          <w:ilvl w:val="1"/>
          <w:numId w:val="2"/>
        </w:numPr>
        <w:spacing w:after="0"/>
        <w:contextualSpacing w:val="0"/>
        <w:rPr>
          <w:sz w:val="22"/>
          <w:szCs w:val="22"/>
        </w:rPr>
      </w:pPr>
      <w:r>
        <w:rPr>
          <w:sz w:val="22"/>
          <w:szCs w:val="22"/>
        </w:rPr>
        <w:t>Christina Frank</w:t>
      </w:r>
    </w:p>
    <w:p>
      <w:pPr>
        <w:pStyle w:val="Listenabsatz"/>
        <w:numPr>
          <w:ilvl w:val="0"/>
          <w:numId w:val="2"/>
        </w:numPr>
        <w:spacing w:after="0"/>
        <w:contextualSpacing w:val="0"/>
        <w:rPr>
          <w:sz w:val="22"/>
          <w:szCs w:val="22"/>
        </w:rPr>
      </w:pPr>
      <w:r>
        <w:rPr>
          <w:sz w:val="22"/>
          <w:szCs w:val="22"/>
        </w:rPr>
        <w:t>FG36</w:t>
      </w:r>
    </w:p>
    <w:p>
      <w:pPr>
        <w:pStyle w:val="Listenabsatz"/>
        <w:numPr>
          <w:ilvl w:val="1"/>
          <w:numId w:val="2"/>
        </w:numPr>
        <w:spacing w:after="0"/>
        <w:contextualSpacing w:val="0"/>
        <w:rPr>
          <w:sz w:val="22"/>
          <w:szCs w:val="22"/>
        </w:rPr>
      </w:pPr>
      <w:r>
        <w:rPr>
          <w:sz w:val="22"/>
          <w:szCs w:val="22"/>
        </w:rPr>
        <w:t>Udo Buchholz</w:t>
      </w:r>
    </w:p>
    <w:p>
      <w:pPr>
        <w:pStyle w:val="Listenabsatz"/>
        <w:numPr>
          <w:ilvl w:val="1"/>
          <w:numId w:val="2"/>
        </w:numPr>
        <w:spacing w:after="0"/>
        <w:contextualSpacing w:val="0"/>
        <w:rPr>
          <w:sz w:val="22"/>
          <w:szCs w:val="22"/>
        </w:rPr>
      </w:pPr>
      <w:r>
        <w:rPr>
          <w:sz w:val="22"/>
          <w:szCs w:val="22"/>
        </w:rPr>
        <w:t>Silke Buda</w:t>
      </w:r>
    </w:p>
    <w:p>
      <w:pPr>
        <w:pStyle w:val="Listenabsatz"/>
        <w:numPr>
          <w:ilvl w:val="1"/>
          <w:numId w:val="2"/>
        </w:numPr>
        <w:spacing w:after="0"/>
        <w:contextualSpacing w:val="0"/>
        <w:rPr>
          <w:sz w:val="22"/>
          <w:szCs w:val="22"/>
        </w:rPr>
      </w:pPr>
      <w:r>
        <w:rPr>
          <w:sz w:val="22"/>
          <w:szCs w:val="22"/>
        </w:rPr>
        <w:t xml:space="preserve">Luise </w:t>
      </w:r>
      <w:proofErr w:type="spellStart"/>
      <w:r>
        <w:rPr>
          <w:sz w:val="22"/>
          <w:szCs w:val="22"/>
        </w:rPr>
        <w:t>Goerlitz</w:t>
      </w:r>
      <w:proofErr w:type="spellEnd"/>
    </w:p>
    <w:p>
      <w:pPr>
        <w:pStyle w:val="Listenabsatz"/>
        <w:numPr>
          <w:ilvl w:val="1"/>
          <w:numId w:val="2"/>
        </w:numPr>
        <w:spacing w:after="0"/>
        <w:contextualSpacing w:val="0"/>
        <w:rPr>
          <w:sz w:val="22"/>
          <w:szCs w:val="22"/>
        </w:rPr>
      </w:pPr>
      <w:r>
        <w:rPr>
          <w:sz w:val="22"/>
          <w:szCs w:val="22"/>
        </w:rPr>
        <w:t>Stefan Kröger</w:t>
      </w:r>
    </w:p>
    <w:p>
      <w:pPr>
        <w:pStyle w:val="Listenabsatz"/>
        <w:numPr>
          <w:ilvl w:val="1"/>
          <w:numId w:val="2"/>
        </w:numPr>
        <w:spacing w:after="0"/>
        <w:contextualSpacing w:val="0"/>
        <w:rPr>
          <w:sz w:val="22"/>
          <w:szCs w:val="22"/>
        </w:rPr>
      </w:pPr>
      <w:r>
        <w:rPr>
          <w:sz w:val="22"/>
          <w:szCs w:val="22"/>
        </w:rPr>
        <w:t>Kristin Tolksdorf</w:t>
      </w:r>
    </w:p>
    <w:p>
      <w:pPr>
        <w:pStyle w:val="Listenabsatz"/>
        <w:numPr>
          <w:ilvl w:val="0"/>
          <w:numId w:val="2"/>
        </w:numPr>
        <w:spacing w:after="0"/>
        <w:contextualSpacing w:val="0"/>
        <w:rPr>
          <w:sz w:val="22"/>
          <w:szCs w:val="22"/>
        </w:rPr>
      </w:pPr>
      <w:r>
        <w:rPr>
          <w:sz w:val="22"/>
          <w:szCs w:val="22"/>
        </w:rPr>
        <w:t>FG37</w:t>
      </w:r>
    </w:p>
    <w:p>
      <w:pPr>
        <w:pStyle w:val="Listenabsatz"/>
        <w:numPr>
          <w:ilvl w:val="1"/>
          <w:numId w:val="2"/>
        </w:numPr>
        <w:spacing w:after="0"/>
        <w:contextualSpacing w:val="0"/>
        <w:rPr>
          <w:sz w:val="22"/>
          <w:szCs w:val="22"/>
        </w:rPr>
      </w:pPr>
      <w:r>
        <w:rPr>
          <w:sz w:val="22"/>
          <w:szCs w:val="22"/>
        </w:rPr>
        <w:t>Tim Eckmanns</w:t>
      </w:r>
    </w:p>
    <w:p>
      <w:pPr>
        <w:pStyle w:val="Listenabsatz"/>
        <w:numPr>
          <w:ilvl w:val="0"/>
          <w:numId w:val="4"/>
        </w:numPr>
        <w:spacing w:after="0"/>
        <w:contextualSpacing w:val="0"/>
        <w:rPr>
          <w:sz w:val="22"/>
          <w:szCs w:val="22"/>
        </w:rPr>
      </w:pPr>
      <w:r>
        <w:rPr>
          <w:sz w:val="22"/>
          <w:szCs w:val="22"/>
        </w:rPr>
        <w:t>FG38</w:t>
      </w:r>
    </w:p>
    <w:p>
      <w:pPr>
        <w:pStyle w:val="Listenabsatz"/>
        <w:numPr>
          <w:ilvl w:val="1"/>
          <w:numId w:val="2"/>
        </w:numPr>
        <w:spacing w:after="0"/>
        <w:contextualSpacing w:val="0"/>
        <w:rPr>
          <w:sz w:val="22"/>
          <w:szCs w:val="22"/>
        </w:rPr>
      </w:pPr>
      <w:r>
        <w:rPr>
          <w:sz w:val="22"/>
          <w:szCs w:val="22"/>
        </w:rPr>
        <w:t>Ute Rexroth</w:t>
      </w:r>
    </w:p>
    <w:p>
      <w:pPr>
        <w:pStyle w:val="Listenabsatz"/>
        <w:numPr>
          <w:ilvl w:val="1"/>
          <w:numId w:val="2"/>
        </w:numPr>
        <w:spacing w:after="0"/>
        <w:contextualSpacing w:val="0"/>
        <w:rPr>
          <w:sz w:val="22"/>
          <w:szCs w:val="22"/>
        </w:rPr>
      </w:pPr>
      <w:r>
        <w:rPr>
          <w:sz w:val="22"/>
          <w:szCs w:val="22"/>
        </w:rPr>
        <w:t xml:space="preserve">Meike </w:t>
      </w:r>
      <w:proofErr w:type="spellStart"/>
      <w:r>
        <w:rPr>
          <w:sz w:val="22"/>
          <w:szCs w:val="22"/>
        </w:rPr>
        <w:t>Schöll</w:t>
      </w:r>
      <w:proofErr w:type="spellEnd"/>
    </w:p>
    <w:p>
      <w:pPr>
        <w:pStyle w:val="Listenabsatz"/>
        <w:numPr>
          <w:ilvl w:val="0"/>
          <w:numId w:val="3"/>
        </w:numPr>
        <w:spacing w:after="0"/>
        <w:contextualSpacing w:val="0"/>
        <w:rPr>
          <w:sz w:val="22"/>
          <w:szCs w:val="22"/>
        </w:rPr>
      </w:pPr>
      <w:r>
        <w:rPr>
          <w:sz w:val="22"/>
          <w:szCs w:val="22"/>
        </w:rPr>
        <w:t>ZBS7</w:t>
      </w:r>
    </w:p>
    <w:p>
      <w:pPr>
        <w:pStyle w:val="Listenabsatz"/>
        <w:numPr>
          <w:ilvl w:val="1"/>
          <w:numId w:val="3"/>
        </w:numPr>
        <w:spacing w:after="0"/>
        <w:contextualSpacing w:val="0"/>
        <w:rPr>
          <w:sz w:val="22"/>
          <w:szCs w:val="22"/>
        </w:rPr>
      </w:pPr>
      <w:r>
        <w:rPr>
          <w:sz w:val="22"/>
          <w:szCs w:val="22"/>
        </w:rPr>
        <w:t xml:space="preserve">Michaela </w:t>
      </w:r>
      <w:proofErr w:type="spellStart"/>
      <w:r>
        <w:rPr>
          <w:sz w:val="22"/>
          <w:szCs w:val="22"/>
        </w:rPr>
        <w:t>Niebank</w:t>
      </w:r>
      <w:proofErr w:type="spellEnd"/>
    </w:p>
    <w:p>
      <w:pPr>
        <w:pStyle w:val="Listenabsatz"/>
        <w:numPr>
          <w:ilvl w:val="0"/>
          <w:numId w:val="3"/>
        </w:numPr>
        <w:spacing w:after="0"/>
        <w:contextualSpacing w:val="0"/>
        <w:rPr>
          <w:sz w:val="22"/>
          <w:szCs w:val="22"/>
        </w:rPr>
      </w:pPr>
      <w:r>
        <w:rPr>
          <w:sz w:val="22"/>
          <w:szCs w:val="22"/>
        </w:rPr>
        <w:t>MF2</w:t>
      </w:r>
    </w:p>
    <w:p>
      <w:pPr>
        <w:pStyle w:val="Listenabsatz"/>
        <w:numPr>
          <w:ilvl w:val="1"/>
          <w:numId w:val="3"/>
        </w:numPr>
        <w:spacing w:after="0"/>
        <w:contextualSpacing w:val="0"/>
        <w:rPr>
          <w:sz w:val="22"/>
          <w:szCs w:val="22"/>
        </w:rPr>
      </w:pPr>
      <w:r>
        <w:rPr>
          <w:sz w:val="22"/>
          <w:szCs w:val="22"/>
        </w:rPr>
        <w:t>Torsten Semmler</w:t>
      </w:r>
    </w:p>
    <w:p>
      <w:pPr>
        <w:pStyle w:val="Listenabsatz"/>
        <w:numPr>
          <w:ilvl w:val="0"/>
          <w:numId w:val="3"/>
        </w:numPr>
        <w:spacing w:after="0"/>
        <w:contextualSpacing w:val="0"/>
        <w:rPr>
          <w:sz w:val="22"/>
          <w:szCs w:val="22"/>
        </w:rPr>
      </w:pPr>
      <w:r>
        <w:rPr>
          <w:sz w:val="22"/>
          <w:szCs w:val="22"/>
        </w:rPr>
        <w:t>MF4</w:t>
      </w:r>
    </w:p>
    <w:p>
      <w:pPr>
        <w:pStyle w:val="Listenabsatz"/>
        <w:numPr>
          <w:ilvl w:val="1"/>
          <w:numId w:val="3"/>
        </w:numPr>
        <w:spacing w:after="0"/>
        <w:contextualSpacing w:val="0"/>
        <w:rPr>
          <w:sz w:val="22"/>
          <w:szCs w:val="22"/>
        </w:rPr>
      </w:pPr>
      <w:r>
        <w:rPr>
          <w:sz w:val="22"/>
          <w:szCs w:val="22"/>
        </w:rPr>
        <w:t>Martina Fischer</w:t>
      </w:r>
    </w:p>
    <w:p>
      <w:pPr>
        <w:pStyle w:val="Listenabsatz"/>
        <w:numPr>
          <w:ilvl w:val="0"/>
          <w:numId w:val="3"/>
        </w:numPr>
        <w:spacing w:after="0"/>
        <w:contextualSpacing w:val="0"/>
        <w:rPr>
          <w:sz w:val="22"/>
          <w:szCs w:val="22"/>
        </w:rPr>
      </w:pPr>
      <w:r>
        <w:rPr>
          <w:sz w:val="22"/>
          <w:szCs w:val="22"/>
        </w:rPr>
        <w:t>P1</w:t>
      </w:r>
    </w:p>
    <w:p>
      <w:pPr>
        <w:pStyle w:val="Listenabsatz"/>
        <w:numPr>
          <w:ilvl w:val="1"/>
          <w:numId w:val="3"/>
        </w:numPr>
        <w:spacing w:after="0"/>
        <w:contextualSpacing w:val="0"/>
        <w:rPr>
          <w:sz w:val="22"/>
          <w:szCs w:val="22"/>
        </w:rPr>
      </w:pPr>
      <w:r>
        <w:rPr>
          <w:sz w:val="22"/>
          <w:szCs w:val="22"/>
        </w:rPr>
        <w:t>Ines Lein</w:t>
      </w:r>
    </w:p>
    <w:p>
      <w:pPr>
        <w:pStyle w:val="Listenabsatz"/>
        <w:numPr>
          <w:ilvl w:val="0"/>
          <w:numId w:val="3"/>
        </w:numPr>
        <w:spacing w:after="0"/>
        <w:contextualSpacing w:val="0"/>
        <w:rPr>
          <w:sz w:val="22"/>
          <w:szCs w:val="22"/>
        </w:rPr>
      </w:pPr>
      <w:r>
        <w:rPr>
          <w:sz w:val="22"/>
          <w:szCs w:val="22"/>
        </w:rPr>
        <w:t>Presse</w:t>
      </w:r>
    </w:p>
    <w:p>
      <w:pPr>
        <w:pStyle w:val="Listenabsatz"/>
        <w:numPr>
          <w:ilvl w:val="1"/>
          <w:numId w:val="3"/>
        </w:numPr>
        <w:rPr>
          <w:sz w:val="22"/>
          <w:szCs w:val="22"/>
        </w:rPr>
      </w:pPr>
      <w:r>
        <w:rPr>
          <w:sz w:val="22"/>
          <w:szCs w:val="22"/>
        </w:rPr>
        <w:t xml:space="preserve">Ronja </w:t>
      </w:r>
      <w:proofErr w:type="spellStart"/>
      <w:r>
        <w:rPr>
          <w:sz w:val="22"/>
          <w:szCs w:val="22"/>
        </w:rPr>
        <w:t>Wenchel</w:t>
      </w:r>
      <w:proofErr w:type="spellEnd"/>
      <w:r>
        <w:rPr>
          <w:sz w:val="22"/>
          <w:szCs w:val="22"/>
        </w:rPr>
        <w:t xml:space="preserve"> </w:t>
      </w:r>
    </w:p>
    <w:p>
      <w:pPr>
        <w:pStyle w:val="Listenabsatz"/>
        <w:numPr>
          <w:ilvl w:val="0"/>
          <w:numId w:val="2"/>
        </w:numPr>
        <w:spacing w:after="0"/>
        <w:contextualSpacing w:val="0"/>
        <w:rPr>
          <w:sz w:val="22"/>
          <w:szCs w:val="22"/>
        </w:rPr>
      </w:pPr>
      <w:r>
        <w:rPr>
          <w:sz w:val="22"/>
          <w:szCs w:val="22"/>
        </w:rPr>
        <w:t xml:space="preserve">BZgA </w:t>
      </w:r>
    </w:p>
    <w:p>
      <w:pPr>
        <w:pStyle w:val="Listenabsatz"/>
        <w:numPr>
          <w:ilvl w:val="1"/>
          <w:numId w:val="2"/>
        </w:numPr>
        <w:spacing w:after="0"/>
        <w:contextualSpacing w:val="0"/>
        <w:rPr>
          <w:sz w:val="22"/>
          <w:szCs w:val="22"/>
        </w:rPr>
      </w:pPr>
      <w:r>
        <w:rPr>
          <w:color w:val="000000" w:themeColor="text1"/>
          <w:sz w:val="22"/>
          <w:szCs w:val="22"/>
        </w:rPr>
        <w:t xml:space="preserve">Andrea </w:t>
      </w:r>
      <w:proofErr w:type="spellStart"/>
      <w:r>
        <w:rPr>
          <w:color w:val="000000" w:themeColor="text1"/>
          <w:sz w:val="22"/>
          <w:szCs w:val="22"/>
        </w:rPr>
        <w:t>Rückle</w:t>
      </w:r>
      <w:proofErr w:type="spellEnd"/>
    </w:p>
    <w:p>
      <w:pPr>
        <w:rPr>
          <w:sz w:val="22"/>
          <w:szCs w:val="22"/>
        </w:rPr>
      </w:pPr>
    </w:p>
    <w:bookmarkEnd w:id="0"/>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pPr>
    </w:p>
    <w:p>
      <w:pPr>
        <w:spacing w:after="0"/>
        <w:rPr>
          <w:sz w:val="22"/>
        </w:rPr>
        <w:sectPr>
          <w:type w:val="continuous"/>
          <w:pgSz w:w="11900" w:h="16840"/>
          <w:pgMar w:top="1440" w:right="1800" w:bottom="1440" w:left="1800" w:header="708" w:footer="708" w:gutter="0"/>
          <w:cols w:num="2" w:space="560"/>
        </w:sectPr>
      </w:pPr>
    </w:p>
    <w:p>
      <w:pPr>
        <w:pStyle w:val="Liste2"/>
        <w:numPr>
          <w:ilvl w:val="0"/>
          <w:numId w:val="0"/>
        </w:numPr>
        <w:rPr>
          <w:lang w:val="de-DE"/>
        </w:rPr>
      </w:pPr>
    </w:p>
    <w:p>
      <w:r>
        <w:rPr>
          <w:b/>
        </w:rPr>
        <w:br w:type="page"/>
      </w:r>
    </w:p>
    <w:tbl>
      <w:tblPr>
        <w:tblStyle w:val="Tabellenraster"/>
        <w:tblW w:w="8971" w:type="dxa"/>
        <w:tblLayout w:type="fixed"/>
        <w:tblLook w:val="00A0" w:firstRow="1" w:lastRow="0" w:firstColumn="1" w:lastColumn="0" w:noHBand="0" w:noVBand="0"/>
      </w:tblPr>
      <w:tblGrid>
        <w:gridCol w:w="684"/>
        <w:gridCol w:w="6824"/>
        <w:gridCol w:w="1463"/>
      </w:tblGrid>
      <w:tr>
        <w:tc>
          <w:tcPr>
            <w:tcW w:w="684" w:type="dxa"/>
          </w:tcPr>
          <w:p>
            <w:pPr>
              <w:pStyle w:val="1"/>
              <w:rPr>
                <w:sz w:val="24"/>
              </w:rPr>
            </w:pPr>
            <w:r>
              <w:rPr>
                <w:sz w:val="24"/>
              </w:rPr>
              <w:lastRenderedPageBreak/>
              <w:br w:type="page"/>
            </w:r>
            <w:r>
              <w:rPr>
                <w:sz w:val="24"/>
              </w:rPr>
              <w:br w:type="page"/>
              <w:t>TOP</w:t>
            </w:r>
          </w:p>
        </w:tc>
        <w:tc>
          <w:tcPr>
            <w:tcW w:w="6824" w:type="dxa"/>
          </w:tcPr>
          <w:p>
            <w:pPr>
              <w:pStyle w:val="1"/>
              <w:rPr>
                <w:sz w:val="24"/>
              </w:rPr>
            </w:pPr>
            <w:r>
              <w:rPr>
                <w:sz w:val="24"/>
              </w:rPr>
              <w:t>Beitrag/ Thema</w:t>
            </w:r>
          </w:p>
        </w:tc>
        <w:tc>
          <w:tcPr>
            <w:tcW w:w="1463" w:type="dxa"/>
          </w:tcPr>
          <w:p>
            <w:pPr>
              <w:rPr>
                <w:b/>
                <w:sz w:val="22"/>
                <w:szCs w:val="22"/>
              </w:rPr>
            </w:pPr>
            <w:r>
              <w:rPr>
                <w:b/>
                <w:sz w:val="22"/>
                <w:szCs w:val="22"/>
              </w:rPr>
              <w:t>eingebracht von</w:t>
            </w:r>
          </w:p>
        </w:tc>
      </w:tr>
      <w:tr>
        <w:tc>
          <w:tcPr>
            <w:tcW w:w="684" w:type="dxa"/>
          </w:tcPr>
          <w:p>
            <w:pPr>
              <w:rPr>
                <w:b/>
              </w:rPr>
            </w:pPr>
            <w:r>
              <w:rPr>
                <w:b/>
              </w:rPr>
              <w:t>1</w:t>
            </w:r>
          </w:p>
        </w:tc>
        <w:tc>
          <w:tcPr>
            <w:tcW w:w="6824" w:type="dxa"/>
          </w:tcPr>
          <w:p>
            <w:pPr>
              <w:pStyle w:val="1"/>
            </w:pPr>
            <w:r>
              <w:t xml:space="preserve">Aktuelle Lage </w:t>
            </w:r>
          </w:p>
          <w:p>
            <w:pPr>
              <w:spacing w:line="276" w:lineRule="auto"/>
              <w:rPr>
                <w:rStyle w:val="TagFrZchn"/>
              </w:rPr>
            </w:pPr>
            <w:r>
              <w:rPr>
                <w:rStyle w:val="2Zchn"/>
                <w:sz w:val="22"/>
                <w:szCs w:val="22"/>
              </w:rPr>
              <w:t>International</w:t>
            </w:r>
            <w:r>
              <w:rPr>
                <w:b/>
                <w:sz w:val="22"/>
                <w:szCs w:val="22"/>
              </w:rPr>
              <w:t xml:space="preserve"> </w:t>
            </w:r>
            <w:r>
              <w:rPr>
                <w:rStyle w:val="TagFrZchn"/>
              </w:rPr>
              <w:t>(nur freitags)</w:t>
            </w:r>
          </w:p>
          <w:p>
            <w:pPr>
              <w:pStyle w:val="Liste2"/>
            </w:pPr>
            <w:proofErr w:type="spellStart"/>
            <w:r>
              <w:t>nicht</w:t>
            </w:r>
            <w:proofErr w:type="spellEnd"/>
            <w:r>
              <w:t xml:space="preserve"> </w:t>
            </w:r>
            <w:proofErr w:type="spellStart"/>
            <w:r>
              <w:t>berichtet</w:t>
            </w:r>
            <w:proofErr w:type="spellEnd"/>
          </w:p>
          <w:p>
            <w:pPr>
              <w:pStyle w:val="Liste2"/>
              <w:numPr>
                <w:ilvl w:val="0"/>
                <w:numId w:val="0"/>
              </w:numPr>
            </w:pPr>
          </w:p>
          <w:p>
            <w:pPr>
              <w:pStyle w:val="2"/>
            </w:pPr>
            <w:r>
              <w:t xml:space="preserve">National </w:t>
            </w:r>
          </w:p>
          <w:p>
            <w:pPr>
              <w:pStyle w:val="Liste2"/>
              <w:numPr>
                <w:ilvl w:val="0"/>
                <w:numId w:val="0"/>
              </w:numPr>
              <w:rPr>
                <w:lang w:val="de-DE"/>
              </w:rPr>
            </w:pPr>
            <w:r>
              <w:rPr>
                <w:lang w:val="de-DE"/>
              </w:rPr>
              <w:t>Fallzahlen, Todesfälle, Trend</w:t>
            </w:r>
          </w:p>
          <w:p>
            <w:pPr>
              <w:pStyle w:val="Liste2"/>
              <w:rPr>
                <w:lang w:val="de-DE"/>
              </w:rPr>
            </w:pPr>
            <w:r>
              <w:rPr>
                <w:lang w:val="de-DE"/>
              </w:rPr>
              <w:t xml:space="preserve">Folien </w:t>
            </w:r>
            <w:hyperlink r:id="rId14" w:history="1">
              <w:r>
                <w:rPr>
                  <w:rStyle w:val="Hyperlink"/>
                  <w:lang w:val="de-DE"/>
                </w:rPr>
                <w:t>hier</w:t>
              </w:r>
            </w:hyperlink>
          </w:p>
          <w:p>
            <w:pPr>
              <w:pStyle w:val="Liste2"/>
              <w:rPr>
                <w:lang w:val="de-DE"/>
              </w:rPr>
            </w:pPr>
            <w:proofErr w:type="spellStart"/>
            <w:r>
              <w:rPr>
                <w:lang w:val="de-DE"/>
              </w:rPr>
              <w:t>SurvNet</w:t>
            </w:r>
            <w:proofErr w:type="spellEnd"/>
            <w:r>
              <w:rPr>
                <w:lang w:val="de-DE"/>
              </w:rPr>
              <w:t xml:space="preserve"> übermittelt: </w:t>
            </w:r>
            <w:proofErr w:type="spellStart"/>
            <w:r>
              <w:rPr>
                <w:lang w:val="de-DE"/>
              </w:rPr>
              <w:t>SurvNet</w:t>
            </w:r>
            <w:proofErr w:type="spellEnd"/>
            <w:r>
              <w:rPr>
                <w:lang w:val="de-DE"/>
              </w:rPr>
              <w:t xml:space="preserve"> übermittelt: 11.521.678 (+234.250), davon 119.215 (+272) Todesfälle </w:t>
            </w:r>
          </w:p>
          <w:p>
            <w:pPr>
              <w:pStyle w:val="Liste2"/>
              <w:rPr>
                <w:lang w:val="de-DE"/>
              </w:rPr>
            </w:pPr>
            <w:r>
              <w:rPr>
                <w:lang w:val="de-DE"/>
              </w:rPr>
              <w:t xml:space="preserve">7-Tage-Inzidenz:  1451/100.000 </w:t>
            </w:r>
            <w:proofErr w:type="spellStart"/>
            <w:r>
              <w:rPr>
                <w:lang w:val="de-DE"/>
              </w:rPr>
              <w:t>Einw</w:t>
            </w:r>
            <w:proofErr w:type="spellEnd"/>
            <w:r>
              <w:rPr>
                <w:lang w:val="de-DE"/>
              </w:rPr>
              <w:t>. (leichter Anstieg, aber steiler Anstieg der letzten Wochen setzt sich nicht fort)</w:t>
            </w:r>
          </w:p>
          <w:p>
            <w:pPr>
              <w:pStyle w:val="Liste2"/>
              <w:rPr>
                <w:lang w:val="de-DE"/>
              </w:rPr>
            </w:pPr>
            <w:proofErr w:type="spellStart"/>
            <w:r>
              <w:rPr>
                <w:lang w:val="de-DE"/>
              </w:rPr>
              <w:t>Impfmonitoring</w:t>
            </w:r>
            <w:proofErr w:type="spellEnd"/>
            <w:r>
              <w:rPr>
                <w:lang w:val="de-DE"/>
              </w:rPr>
              <w:t>: Geimpfte mit 1. Dosis 63.191.233 (76,0%), mit vollständiger Impfung 61.943.072 (74,5%)</w:t>
            </w:r>
          </w:p>
          <w:p>
            <w:pPr>
              <w:pStyle w:val="Liste2"/>
              <w:rPr>
                <w:lang w:val="de-DE"/>
              </w:rPr>
            </w:pPr>
            <w:r>
              <w:rPr>
                <w:lang w:val="de-DE"/>
              </w:rPr>
              <w:t>Verlauf der 7-Tage-Inzidenz der Bundesländer:</w:t>
            </w:r>
          </w:p>
          <w:p>
            <w:pPr>
              <w:pStyle w:val="Liste3"/>
              <w:numPr>
                <w:ilvl w:val="1"/>
                <w:numId w:val="7"/>
              </w:numPr>
            </w:pPr>
            <w:r>
              <w:t>Anstieg flacht ab, in HH und BE leichter Rückgang, in BY und HE weiter Anstieg</w:t>
            </w:r>
          </w:p>
          <w:p>
            <w:pPr>
              <w:pStyle w:val="Liste3"/>
              <w:numPr>
                <w:ilvl w:val="1"/>
                <w:numId w:val="7"/>
              </w:numPr>
            </w:pPr>
            <w:r>
              <w:t xml:space="preserve">LK mit höchsten 7-Tage-Inzidenz: LK Fürstenfeldbruck und SK Charlottenburg-Wilmersdorf über 3500 / 100.000 </w:t>
            </w:r>
            <w:proofErr w:type="spellStart"/>
            <w:r>
              <w:t>Einw</w:t>
            </w:r>
            <w:proofErr w:type="spellEnd"/>
            <w:r>
              <w:t>.</w:t>
            </w:r>
          </w:p>
          <w:p>
            <w:pPr>
              <w:pStyle w:val="Liste2"/>
              <w:rPr>
                <w:rStyle w:val="3Zchn"/>
                <w:b w:val="0"/>
                <w:lang w:val="de-DE"/>
              </w:rPr>
            </w:pPr>
            <w:r>
              <w:rPr>
                <w:rStyle w:val="3Zchn"/>
                <w:b w:val="0"/>
                <w:lang w:val="de-DE"/>
              </w:rPr>
              <w:t>Inzidenz nach Altersgruppe und Meldewoche: über 600 in fast allen Altersgruppen in KW5/2022 (etwas niedriger in den Altersgruppen der 65- bis 89-Jährigen), Gesamtinzidenz nur etwas erhöht im Vgl. zur Vorwoche, Anstiege bei Kindern nicht ganz so groß, Anstiege werden aber auch bei älteren Altersgruppen beobachtet</w:t>
            </w:r>
          </w:p>
          <w:p>
            <w:pPr>
              <w:pStyle w:val="Liste2"/>
              <w:rPr>
                <w:rStyle w:val="3Zchn"/>
                <w:b w:val="0"/>
                <w:lang w:val="de-DE"/>
              </w:rPr>
            </w:pPr>
            <w:r>
              <w:rPr>
                <w:rStyle w:val="3Zchn"/>
                <w:b w:val="0"/>
                <w:lang w:val="de-DE"/>
              </w:rPr>
              <w:t>COVID-19 Todesfälle nach Altersgruppe und Sterbewoche: kein Anstieg sichtbar</w:t>
            </w:r>
          </w:p>
          <w:p>
            <w:pPr>
              <w:pStyle w:val="Liste2"/>
              <w:rPr>
                <w:rStyle w:val="3Zchn"/>
                <w:b w:val="0"/>
                <w:lang w:val="de-DE"/>
              </w:rPr>
            </w:pPr>
            <w:r>
              <w:rPr>
                <w:rStyle w:val="3Zchn"/>
                <w:b w:val="0"/>
                <w:lang w:val="de-DE"/>
              </w:rPr>
              <w:t>Update zu SK Charlottenburg-Wilmersdorf: Diskrepanz zwischen Anzahl der Meldungen und übermittelter Fälle legt nahe, dass der Anstieg der Fälle nicht durch erhöhte Anzahl an Meldungen erklärbar ist. Für Dachau stimmen die erhöhte Anzahl der Meldungen und der Fälle gut überein. Das Meldedatum wird in der Regel später nicht mehr manuell geändert.</w:t>
            </w:r>
          </w:p>
          <w:p>
            <w:pPr>
              <w:pStyle w:val="Liste2"/>
              <w:numPr>
                <w:ilvl w:val="0"/>
                <w:numId w:val="0"/>
              </w:numPr>
              <w:rPr>
                <w:rStyle w:val="3Zchn"/>
                <w:b w:val="0"/>
                <w:lang w:val="de-DE"/>
              </w:rPr>
            </w:pPr>
          </w:p>
          <w:p>
            <w:pPr>
              <w:pStyle w:val="Liste2"/>
              <w:numPr>
                <w:ilvl w:val="0"/>
                <w:numId w:val="0"/>
              </w:numPr>
              <w:rPr>
                <w:rStyle w:val="TagMiZchn"/>
                <w:b w:val="0"/>
                <w:bCs/>
                <w:lang w:val="de-DE"/>
              </w:rPr>
            </w:pPr>
            <w:r>
              <w:rPr>
                <w:lang w:val="de-DE"/>
              </w:rPr>
              <w:t xml:space="preserve">ITS-Belegung und Spock </w:t>
            </w:r>
            <w:r>
              <w:rPr>
                <w:rStyle w:val="TagMiZchn"/>
                <w:bCs/>
                <w:lang w:val="de-DE"/>
              </w:rPr>
              <w:t>(nur mittwochs)</w:t>
            </w:r>
          </w:p>
          <w:p>
            <w:pPr>
              <w:pStyle w:val="Liste2"/>
            </w:pPr>
            <w:proofErr w:type="spellStart"/>
            <w:r>
              <w:t>Folien</w:t>
            </w:r>
            <w:proofErr w:type="spellEnd"/>
            <w:r>
              <w:t xml:space="preserve"> </w:t>
            </w:r>
            <w:hyperlink r:id="rId15" w:history="1">
              <w:proofErr w:type="spellStart"/>
              <w:r>
                <w:rPr>
                  <w:rStyle w:val="Hyperlink"/>
                </w:rPr>
                <w:t>hier</w:t>
              </w:r>
              <w:proofErr w:type="spellEnd"/>
            </w:hyperlink>
          </w:p>
          <w:p>
            <w:pPr>
              <w:pStyle w:val="Liste2"/>
              <w:rPr>
                <w:lang w:val="de-DE"/>
              </w:rPr>
            </w:pPr>
            <w:r>
              <w:rPr>
                <w:lang w:val="de-DE"/>
              </w:rPr>
              <w:t xml:space="preserve">Mit Stand 09.02.2022 werden </w:t>
            </w:r>
            <w:r>
              <w:rPr>
                <w:b/>
                <w:bCs/>
                <w:lang w:val="de-DE"/>
              </w:rPr>
              <w:t xml:space="preserve">2.409 </w:t>
            </w:r>
            <w:r>
              <w:rPr>
                <w:lang w:val="de-DE"/>
              </w:rPr>
              <w:t xml:space="preserve">COVID-19-Patient*innen auf Intensivstationen (der ca. 1.300 Akutkrankenhäuser) behandelt. Wendepunkt in der COVID-ITS-Belegung wird für Januar sichtbar. ITS-COVID-Neuaufnahmen mit </w:t>
            </w:r>
            <w:r>
              <w:rPr>
                <w:b/>
                <w:bCs/>
                <w:lang w:val="de-DE"/>
              </w:rPr>
              <w:t xml:space="preserve">+1.569 </w:t>
            </w:r>
            <w:r>
              <w:rPr>
                <w:lang w:val="de-DE"/>
              </w:rPr>
              <w:t xml:space="preserve">in den letzten 7 Tagen steigend, wahrscheinlich alles Omikron-Fälle </w:t>
            </w:r>
          </w:p>
          <w:p>
            <w:pPr>
              <w:pStyle w:val="Liste2"/>
              <w:rPr>
                <w:lang w:val="de-DE"/>
              </w:rPr>
            </w:pPr>
            <w:r>
              <w:rPr>
                <w:lang w:val="de-DE"/>
              </w:rPr>
              <w:t>Anteil der COVID-19-Patient an der Gesamtzahl betreibbarer ITS-Betten: Die meisten BL zeigen moderaten Anstieg (5 BL überschreiten Schwellenwert von 12% COVID-19 Patient*innen an der Gesamtzahl betreibbarer ITS-Betten)</w:t>
            </w:r>
          </w:p>
          <w:p>
            <w:pPr>
              <w:pStyle w:val="Liste2"/>
              <w:rPr>
                <w:lang w:val="de-DE"/>
              </w:rPr>
            </w:pPr>
            <w:r>
              <w:rPr>
                <w:lang w:val="de-DE"/>
              </w:rPr>
              <w:t xml:space="preserve">Behandlungsbelegung COVID-19 nach Schweregrad: invasive Beatmung steigt an (ebenso nicht-invasive Beatmung und </w:t>
            </w:r>
            <w:r>
              <w:rPr>
                <w:lang w:val="de-DE"/>
              </w:rPr>
              <w:lastRenderedPageBreak/>
              <w:t>High-Flow-Oxygen-Therapie), am stärksten steigt „unbekannte Behandlung“ an (z.B. Nebenbefunde, keine resp. Unterstützung notwendig)</w:t>
            </w:r>
          </w:p>
          <w:p>
            <w:pPr>
              <w:pStyle w:val="Liste2"/>
              <w:rPr>
                <w:lang w:val="de-DE"/>
              </w:rPr>
            </w:pPr>
            <w:r>
              <w:rPr>
                <w:lang w:val="de-DE"/>
              </w:rPr>
              <w:t>High-Care Behandlung: mehr Nichtverfügbarkeit wird gemeldet, Personalmangel als wichtigster Grund (kleiner Wendepunkt in der Dynamik zu sehen)</w:t>
            </w:r>
          </w:p>
          <w:p>
            <w:pPr>
              <w:pStyle w:val="Liste2"/>
              <w:rPr>
                <w:lang w:val="de-DE"/>
              </w:rPr>
            </w:pPr>
            <w:r>
              <w:rPr>
                <w:lang w:val="de-DE"/>
              </w:rPr>
              <w:t>Entwicklung nach Altersgruppen: Anstieg in den hohen Altersgruppen, andere in Seitwärtsbewegung, aber auch bei den 0-bis 17-Jährigen und jungen Erwachsenen Anstieg (aber auf niedrigem Niveau als andere Altersgruppen)</w:t>
            </w:r>
          </w:p>
          <w:p>
            <w:pPr>
              <w:pStyle w:val="Liste2"/>
              <w:rPr>
                <w:lang w:val="de-DE"/>
              </w:rPr>
            </w:pPr>
            <w:proofErr w:type="spellStart"/>
            <w:r>
              <w:rPr>
                <w:lang w:val="de-DE"/>
              </w:rPr>
              <w:t>SPoCK</w:t>
            </w:r>
            <w:proofErr w:type="spellEnd"/>
            <w:r>
              <w:rPr>
                <w:lang w:val="de-DE"/>
              </w:rPr>
              <w:t>-Prognose: Fortsetzung der Seitwärtsbewegung, ggf. leichter Anstieg, differenzierte Betrachtung nach Kleeblättern notwendig (regionale Muster)</w:t>
            </w:r>
          </w:p>
          <w:p>
            <w:pPr>
              <w:pStyle w:val="Liste2"/>
              <w:numPr>
                <w:ilvl w:val="0"/>
                <w:numId w:val="0"/>
              </w:numPr>
              <w:rPr>
                <w:rStyle w:val="3Zchn"/>
                <w:b w:val="0"/>
                <w:lang w:val="de-DE"/>
              </w:rPr>
            </w:pPr>
          </w:p>
          <w:p>
            <w:pPr>
              <w:pStyle w:val="Liste2"/>
              <w:numPr>
                <w:ilvl w:val="0"/>
                <w:numId w:val="0"/>
              </w:numPr>
              <w:rPr>
                <w:lang w:val="de-DE"/>
              </w:rPr>
            </w:pPr>
            <w:proofErr w:type="spellStart"/>
            <w:r>
              <w:rPr>
                <w:lang w:val="de-DE"/>
              </w:rPr>
              <w:t>Syndromische</w:t>
            </w:r>
            <w:proofErr w:type="spellEnd"/>
            <w:r>
              <w:rPr>
                <w:lang w:val="de-DE"/>
              </w:rPr>
              <w:t xml:space="preserve"> und virologische Surveillance</w:t>
            </w:r>
            <w:r>
              <w:rPr>
                <w:rStyle w:val="TagMiZchn"/>
                <w:lang w:val="de-DE"/>
              </w:rPr>
              <w:t xml:space="preserve"> (nur mittwochs)</w:t>
            </w:r>
            <w:r>
              <w:rPr>
                <w:i/>
                <w:color w:val="D99594" w:themeColor="accent2" w:themeTint="99"/>
                <w:sz w:val="20"/>
                <w:szCs w:val="20"/>
                <w:lang w:val="de-DE"/>
              </w:rPr>
              <w:t xml:space="preserve"> </w:t>
            </w:r>
          </w:p>
          <w:p>
            <w:pPr>
              <w:pStyle w:val="Liste2"/>
            </w:pPr>
            <w:proofErr w:type="spellStart"/>
            <w:r>
              <w:t>Folien</w:t>
            </w:r>
            <w:proofErr w:type="spellEnd"/>
            <w:r>
              <w:t xml:space="preserve"> </w:t>
            </w:r>
            <w:hyperlink r:id="rId16" w:history="1">
              <w:proofErr w:type="spellStart"/>
              <w:r>
                <w:rPr>
                  <w:rStyle w:val="Hyperlink"/>
                </w:rPr>
                <w:t>hier</w:t>
              </w:r>
              <w:proofErr w:type="spellEnd"/>
            </w:hyperlink>
          </w:p>
          <w:p>
            <w:pPr>
              <w:pStyle w:val="Liste2"/>
              <w:rPr>
                <w:lang w:val="de-DE"/>
              </w:rPr>
            </w:pPr>
            <w:r>
              <w:rPr>
                <w:lang w:val="de-DE"/>
              </w:rPr>
              <w:t xml:space="preserve">Grippe Web: ARE-Raten nicht erhöht, leichter Rückgang besonders durch Erwachsene, bei Kindern stabil geblieben; 4.400 ARE pro 100.000 Einwohner in KW5, was einer Gesamtzahl von </w:t>
            </w:r>
            <w:r>
              <w:rPr>
                <w:b/>
                <w:bCs/>
                <w:lang w:val="de-DE"/>
              </w:rPr>
              <w:t>ca. 3,7 Mio. ARE in Deutschland, unabhängig von einem Arztbesuch</w:t>
            </w:r>
            <w:r>
              <w:rPr>
                <w:lang w:val="de-DE"/>
              </w:rPr>
              <w:t xml:space="preserve">, </w:t>
            </w:r>
            <w:r>
              <w:rPr>
                <w:b/>
                <w:bCs/>
                <w:lang w:val="de-DE"/>
              </w:rPr>
              <w:br/>
            </w:r>
            <w:r>
              <w:rPr>
                <w:lang w:val="de-DE"/>
              </w:rPr>
              <w:t xml:space="preserve">(4. KW: ca. 4 Millionen) entspricht; </w:t>
            </w:r>
          </w:p>
          <w:p>
            <w:pPr>
              <w:pStyle w:val="Liste2"/>
              <w:rPr>
                <w:lang w:val="de-DE"/>
              </w:rPr>
            </w:pPr>
            <w:r>
              <w:rPr>
                <w:lang w:val="de-DE"/>
              </w:rPr>
              <w:t xml:space="preserve">ARE-Konsultationen: In der 5. KW 2022 zeigt sich ein leichter Anstieg; höher als im Vorjahr, ähnlich zu vorpandemischen Saisons, rund 1.760 Arztkonsultationen wegen ARE pro 100.000 EW (=ca. 1,5 Mio. Arztbesuche wegen ARE in Deutschland). Es zeigt sich ein regional unterschiedliches Bild (in BY Anstieg in allen Altersgruppen, in HH/SH eher Rückgang). </w:t>
            </w:r>
          </w:p>
          <w:p>
            <w:pPr>
              <w:pStyle w:val="Liste2"/>
              <w:rPr>
                <w:lang w:val="de-DE"/>
              </w:rPr>
            </w:pPr>
            <w:r>
              <w:rPr>
                <w:lang w:val="de-DE"/>
              </w:rPr>
              <w:t>ARE-Konsultationen mit COVID-Diagnose / 100.000 Einwohner: bei den Schulkindern und jungen Erwachsenen hoch, aber auch Anstieg bei älteren Personen, viele Nachkodierungen.</w:t>
            </w:r>
          </w:p>
          <w:p>
            <w:pPr>
              <w:pStyle w:val="Liste2"/>
              <w:rPr>
                <w:lang w:val="de-DE"/>
              </w:rPr>
            </w:pPr>
            <w:r>
              <w:rPr>
                <w:lang w:val="de-DE"/>
              </w:rPr>
              <w:t>ICOSARI-KH-Surveillance: SARI-Fallzahlen sind insgesamt stabil geblieben, s</w:t>
            </w:r>
            <w:r>
              <w:rPr>
                <w:sz w:val="24"/>
                <w:szCs w:val="24"/>
                <w:lang w:val="de-DE"/>
              </w:rPr>
              <w:t xml:space="preserve">eit </w:t>
            </w:r>
            <w:r>
              <w:rPr>
                <w:lang w:val="de-DE"/>
              </w:rPr>
              <w:t>KW 52/2021 unter vor-pandemischen Niveau; Anstieg bei den 5-14-jährigen auch auf niedrigem Niveau.</w:t>
            </w:r>
          </w:p>
          <w:p>
            <w:pPr>
              <w:pStyle w:val="Liste2"/>
              <w:rPr>
                <w:lang w:val="de-DE"/>
              </w:rPr>
            </w:pPr>
            <w:r>
              <w:rPr>
                <w:lang w:val="de-DE"/>
              </w:rPr>
              <w:t>Hospitalisierungsinzidenz COVID-SARI zeigt einen leichten Anstieg in den letzten Wochen</w:t>
            </w:r>
          </w:p>
          <w:p>
            <w:pPr>
              <w:pStyle w:val="Liste2"/>
              <w:rPr>
                <w:lang w:val="de-DE"/>
              </w:rPr>
            </w:pPr>
            <w:r>
              <w:rPr>
                <w:lang w:val="de-DE"/>
              </w:rPr>
              <w:t xml:space="preserve">Intensivbehandlung SARI-Fälle bis zur 5. KW 2022: Niveau eher niedriger als in früheren Grippewellen, </w:t>
            </w:r>
          </w:p>
          <w:p>
            <w:pPr>
              <w:pStyle w:val="Liste2"/>
              <w:rPr>
                <w:lang w:val="de-DE"/>
              </w:rPr>
            </w:pPr>
            <w:r>
              <w:rPr>
                <w:lang w:val="de-DE"/>
              </w:rPr>
              <w:t xml:space="preserve">Vgl. zur Vorjahressaison: Seitwärtsbewegung, kein so steiler Anstieg </w:t>
            </w:r>
          </w:p>
          <w:p>
            <w:pPr>
              <w:pStyle w:val="Liste2"/>
              <w:rPr>
                <w:lang w:val="de-DE"/>
              </w:rPr>
            </w:pPr>
            <w:r>
              <w:rPr>
                <w:lang w:val="de-DE"/>
              </w:rPr>
              <w:t>Ausbrüche in Kindergärten/Horte haben neue Höchststände erreicht, während Ausbrüche in den Schulen Niveau der Deltawelle erreicht haben. Fälle betreffen v.a. Kinder (nicht Betreuende)</w:t>
            </w:r>
          </w:p>
          <w:p>
            <w:pPr>
              <w:pStyle w:val="Liste2"/>
              <w:numPr>
                <w:ilvl w:val="0"/>
                <w:numId w:val="0"/>
              </w:numPr>
              <w:ind w:left="473"/>
              <w:rPr>
                <w:lang w:val="de-DE"/>
              </w:rPr>
            </w:pPr>
          </w:p>
          <w:p>
            <w:pPr>
              <w:pStyle w:val="Liste2"/>
              <w:rPr>
                <w:lang w:val="de-DE"/>
              </w:rPr>
            </w:pPr>
            <w:r>
              <w:rPr>
                <w:lang w:val="de-DE"/>
              </w:rPr>
              <w:t xml:space="preserve">KW 5/22:  </w:t>
            </w:r>
            <w:r>
              <w:rPr>
                <w:highlight w:val="yellow"/>
                <w:lang w:val="de-DE"/>
              </w:rPr>
              <w:t xml:space="preserve">531 </w:t>
            </w:r>
            <w:r>
              <w:rPr>
                <w:lang w:val="de-DE"/>
              </w:rPr>
              <w:t xml:space="preserve">Einsendungen, SARS-CoV-2 stärkstes Virus im Sentinel, bleibt </w:t>
            </w:r>
            <w:proofErr w:type="gramStart"/>
            <w:r>
              <w:rPr>
                <w:lang w:val="de-DE"/>
              </w:rPr>
              <w:t>auf hohen Niveau</w:t>
            </w:r>
            <w:proofErr w:type="gramEnd"/>
            <w:r>
              <w:rPr>
                <w:lang w:val="de-DE"/>
              </w:rPr>
              <w:t xml:space="preserve">. Anteil von SARS-CoV-2 ist in der </w:t>
            </w:r>
            <w:proofErr w:type="spellStart"/>
            <w:r>
              <w:rPr>
                <w:lang w:val="de-DE"/>
              </w:rPr>
              <w:t>Altergruppse</w:t>
            </w:r>
            <w:proofErr w:type="spellEnd"/>
            <w:r>
              <w:rPr>
                <w:lang w:val="de-DE"/>
              </w:rPr>
              <w:t xml:space="preserve"> der 0- bis 4-Jährigen am kleinsten, bei allen anderen zwischen 20 und 30 %. </w:t>
            </w:r>
          </w:p>
          <w:p>
            <w:pPr>
              <w:pStyle w:val="Liste2"/>
              <w:rPr>
                <w:lang w:val="de-DE"/>
              </w:rPr>
            </w:pPr>
            <w:r>
              <w:rPr>
                <w:lang w:val="de-DE"/>
              </w:rPr>
              <w:t>Der Omikron-Anteil bis KW 5/2022 liegt bei fast 100%.</w:t>
            </w:r>
          </w:p>
          <w:p>
            <w:pPr>
              <w:pStyle w:val="Liste2"/>
              <w:numPr>
                <w:ilvl w:val="0"/>
                <w:numId w:val="0"/>
              </w:numPr>
              <w:rPr>
                <w:lang w:val="de-DE"/>
              </w:rPr>
            </w:pPr>
          </w:p>
          <w:p>
            <w:pPr>
              <w:pStyle w:val="Liste2"/>
              <w:rPr>
                <w:lang w:val="de-DE"/>
              </w:rPr>
            </w:pPr>
            <w:r>
              <w:rPr>
                <w:lang w:val="de-DE"/>
              </w:rPr>
              <w:t xml:space="preserve">Influenzaviren weisen in KW5 einen leichten Anstieg </w:t>
            </w:r>
            <w:proofErr w:type="gramStart"/>
            <w:r>
              <w:rPr>
                <w:lang w:val="de-DE"/>
              </w:rPr>
              <w:t>auf  5</w:t>
            </w:r>
            <w:proofErr w:type="gramEnd"/>
            <w:r>
              <w:rPr>
                <w:lang w:val="de-DE"/>
              </w:rPr>
              <w:t xml:space="preserve">% auf, werden aber nur in den jüngeren Altersgruppen nachgewiesen. A/H3N2-Viren dominiert weiter. </w:t>
            </w:r>
          </w:p>
          <w:p>
            <w:pPr>
              <w:pStyle w:val="Liste2"/>
              <w:rPr>
                <w:lang w:val="de-DE"/>
              </w:rPr>
            </w:pPr>
            <w:r>
              <w:rPr>
                <w:lang w:val="de-DE"/>
              </w:rPr>
              <w:t xml:space="preserve">Bei den ß-Coronaviren gehen OC43 und 229E zurück, NL63 steigt an, SARS-CoV-2 wird am stärksten im Sentinel nachgewiesen. </w:t>
            </w:r>
          </w:p>
          <w:p>
            <w:pPr>
              <w:pStyle w:val="Liste2"/>
              <w:rPr>
                <w:lang w:val="de-DE"/>
              </w:rPr>
            </w:pPr>
            <w:r>
              <w:rPr>
                <w:lang w:val="de-DE"/>
              </w:rPr>
              <w:t>Bei den sonstigen Atemwegsviren zeigt HMPV einen Anstieg auf 16%, RSV und Parainfluenzaviren sind rückläufig.</w:t>
            </w:r>
          </w:p>
          <w:p>
            <w:pPr>
              <w:pStyle w:val="Liste2"/>
              <w:numPr>
                <w:ilvl w:val="0"/>
                <w:numId w:val="0"/>
              </w:numPr>
              <w:rPr>
                <w:rStyle w:val="3Zchn"/>
                <w:b w:val="0"/>
                <w:lang w:val="de-DE"/>
              </w:rPr>
            </w:pPr>
          </w:p>
          <w:p>
            <w:pPr>
              <w:pStyle w:val="Liste2"/>
              <w:numPr>
                <w:ilvl w:val="0"/>
                <w:numId w:val="0"/>
              </w:numPr>
              <w:rPr>
                <w:rStyle w:val="TagMiZchn"/>
                <w:b w:val="0"/>
                <w:bCs/>
                <w:lang w:val="de-DE"/>
              </w:rPr>
            </w:pPr>
            <w:r>
              <w:rPr>
                <w:rStyle w:val="3Zchn"/>
                <w:b w:val="0"/>
                <w:lang w:val="de-DE"/>
              </w:rPr>
              <w:t>Testkapazität, Testungen, ARS-Daten</w:t>
            </w:r>
            <w:r>
              <w:rPr>
                <w:lang w:val="de-DE"/>
              </w:rPr>
              <w:t xml:space="preserve"> </w:t>
            </w:r>
            <w:r>
              <w:rPr>
                <w:rStyle w:val="TagMiZchn"/>
                <w:bCs/>
                <w:lang w:val="de-DE"/>
              </w:rPr>
              <w:t xml:space="preserve">(nur mittwochs) </w:t>
            </w:r>
          </w:p>
          <w:p>
            <w:pPr>
              <w:pStyle w:val="Liste2"/>
            </w:pPr>
            <w:proofErr w:type="spellStart"/>
            <w:r>
              <w:t>Folien</w:t>
            </w:r>
            <w:proofErr w:type="spellEnd"/>
            <w:r>
              <w:t xml:space="preserve"> </w:t>
            </w:r>
            <w:hyperlink r:id="rId17" w:history="1">
              <w:proofErr w:type="spellStart"/>
              <w:r>
                <w:rPr>
                  <w:rStyle w:val="Hyperlink"/>
                </w:rPr>
                <w:t>hier</w:t>
              </w:r>
              <w:proofErr w:type="spellEnd"/>
            </w:hyperlink>
          </w:p>
          <w:p>
            <w:pPr>
              <w:pStyle w:val="Liste2"/>
              <w:rPr>
                <w:lang w:val="de-DE"/>
              </w:rPr>
            </w:pPr>
            <w:r>
              <w:rPr>
                <w:lang w:val="de-DE"/>
              </w:rPr>
              <w:t xml:space="preserve">Testanzahl und -kapazität: in KW5/2022 wurden knapp 2,6 </w:t>
            </w:r>
            <w:proofErr w:type="spellStart"/>
            <w:r>
              <w:rPr>
                <w:lang w:val="de-DE"/>
              </w:rPr>
              <w:t>Mio</w:t>
            </w:r>
            <w:proofErr w:type="spellEnd"/>
            <w:r>
              <w:rPr>
                <w:lang w:val="de-DE"/>
              </w:rPr>
              <w:t xml:space="preserve"> Tests mit einem </w:t>
            </w:r>
            <w:proofErr w:type="spellStart"/>
            <w:r>
              <w:rPr>
                <w:lang w:val="de-DE"/>
              </w:rPr>
              <w:t>Positivenanteil</w:t>
            </w:r>
            <w:proofErr w:type="spellEnd"/>
            <w:r>
              <w:rPr>
                <w:lang w:val="de-DE"/>
              </w:rPr>
              <w:t xml:space="preserve"> von 44% (höher als in Vorwoche) durchgeführt. Die Testkapazität konnte gesteigert werden, trotzdem ist die Lage angespannt.</w:t>
            </w:r>
          </w:p>
          <w:p>
            <w:pPr>
              <w:pStyle w:val="Liste2"/>
              <w:rPr>
                <w:lang w:val="de-DE"/>
              </w:rPr>
            </w:pPr>
            <w:r>
              <w:rPr>
                <w:lang w:val="de-DE"/>
              </w:rPr>
              <w:t>Auslastung: Labore in einigen BL (darunter BW, BB, HB) sind über 100% ausgelastet, aber die Tendenz ist dort inzwischen rückläufig. In SN, ST und TH steigt die Laborauslastung an.</w:t>
            </w:r>
          </w:p>
          <w:p>
            <w:pPr>
              <w:pStyle w:val="Liste2"/>
              <w:numPr>
                <w:ilvl w:val="0"/>
                <w:numId w:val="0"/>
              </w:numPr>
              <w:ind w:left="833"/>
              <w:rPr>
                <w:lang w:val="de-DE"/>
              </w:rPr>
            </w:pPr>
          </w:p>
          <w:p>
            <w:pPr>
              <w:pStyle w:val="Liste2"/>
              <w:rPr>
                <w:lang w:val="de-DE"/>
              </w:rPr>
            </w:pPr>
            <w:r>
              <w:rPr>
                <w:lang w:val="de-DE"/>
              </w:rPr>
              <w:t xml:space="preserve">SARS in ARS: Die Anzahl an Testungen geht in BW leicht und in NW deutlich zurück. Der Anteil positiver Testungen steigt in den BL, wobei unklar ist, warum dieser Anteil in den Arztpraxen höher als im davor vorgestellten Sentinel ausfällt </w:t>
            </w:r>
          </w:p>
          <w:p>
            <w:pPr>
              <w:pStyle w:val="Liste2"/>
              <w:rPr>
                <w:lang w:val="de-DE"/>
              </w:rPr>
            </w:pPr>
            <w:r>
              <w:rPr>
                <w:lang w:val="de-DE"/>
              </w:rPr>
              <w:t>Aufschlüsselung nach Testzentren aus Datenschutzgründen nicht machbar</w:t>
            </w:r>
          </w:p>
          <w:p>
            <w:pPr>
              <w:pStyle w:val="Liste2"/>
              <w:rPr>
                <w:lang w:val="de-DE"/>
              </w:rPr>
            </w:pPr>
            <w:r>
              <w:rPr>
                <w:lang w:val="de-DE"/>
              </w:rPr>
              <w:t xml:space="preserve">In NW sinkt die Anzahl an Testungen bei den 5- bis 14-Jährigen, während der </w:t>
            </w:r>
            <w:proofErr w:type="spellStart"/>
            <w:r>
              <w:rPr>
                <w:lang w:val="de-DE"/>
              </w:rPr>
              <w:t>Positivenanteil</w:t>
            </w:r>
            <w:proofErr w:type="spellEnd"/>
            <w:r>
              <w:rPr>
                <w:lang w:val="de-DE"/>
              </w:rPr>
              <w:t xml:space="preserve"> steigt (mögliche Erklärung: NW löst </w:t>
            </w:r>
            <w:proofErr w:type="gramStart"/>
            <w:r>
              <w:rPr>
                <w:lang w:val="de-DE"/>
              </w:rPr>
              <w:t>zur Zeit</w:t>
            </w:r>
            <w:proofErr w:type="gramEnd"/>
            <w:r>
              <w:rPr>
                <w:lang w:val="de-DE"/>
              </w:rPr>
              <w:t xml:space="preserve"> auch keine positiven Pools aus Schulen auf (nur mit Antigentests).</w:t>
            </w:r>
          </w:p>
          <w:p>
            <w:pPr>
              <w:pStyle w:val="Liste2"/>
              <w:rPr>
                <w:lang w:val="de-DE"/>
              </w:rPr>
            </w:pPr>
            <w:r>
              <w:rPr>
                <w:lang w:val="de-DE"/>
              </w:rPr>
              <w:t xml:space="preserve">Anzahl der Testungen, </w:t>
            </w:r>
            <w:proofErr w:type="spellStart"/>
            <w:r>
              <w:rPr>
                <w:lang w:val="de-DE"/>
              </w:rPr>
              <w:t>Positivenanteile</w:t>
            </w:r>
            <w:proofErr w:type="spellEnd"/>
            <w:r>
              <w:rPr>
                <w:lang w:val="de-DE"/>
              </w:rPr>
              <w:t xml:space="preserve"> und positive Testungen pro 100.000 nach Altersgruppen: Die Darstellung oben rechts zeigt eine relativ geringe Anzahl an Testungen in der Altersgruppe der 60- bis 79-Jährigen bei einem relativ hohen </w:t>
            </w:r>
            <w:proofErr w:type="spellStart"/>
            <w:r>
              <w:rPr>
                <w:lang w:val="de-DE"/>
              </w:rPr>
              <w:t>Positivenanteil</w:t>
            </w:r>
            <w:proofErr w:type="spellEnd"/>
            <w:r>
              <w:rPr>
                <w:lang w:val="de-DE"/>
              </w:rPr>
              <w:t xml:space="preserve"> (Abbildung links).</w:t>
            </w:r>
          </w:p>
          <w:p>
            <w:pPr>
              <w:pStyle w:val="Liste2"/>
              <w:rPr>
                <w:lang w:val="de-DE"/>
              </w:rPr>
            </w:pPr>
            <w:r>
              <w:rPr>
                <w:lang w:val="de-DE"/>
              </w:rPr>
              <w:t>Dem Monatsbericht sind weitere Darstellungen nach Altersgruppe im zeitlichen Verlauf zu entnehmen.</w:t>
            </w:r>
          </w:p>
          <w:p>
            <w:pPr>
              <w:pStyle w:val="Liste2"/>
              <w:rPr>
                <w:lang w:val="de-DE"/>
              </w:rPr>
            </w:pPr>
            <w:r>
              <w:rPr>
                <w:lang w:val="de-DE"/>
              </w:rPr>
              <w:t xml:space="preserve">Ausbrüche in medizinischen Behandlungseinrichtungen und Alten- und Pflegeheimen: viele aktive Ausbrüche in den med. Behandlungszentren (seit Wochen steigend); auch in den Alten- und Pflegeheimen ist ein weiterer Anstieg auf 373 aktive Ausbrüche zu beobachten. Ggf. ist mit einem weiteren Anstieg und höheren Todeszahlen zu rechnen. </w:t>
            </w:r>
          </w:p>
          <w:p>
            <w:pPr>
              <w:pStyle w:val="Liste2"/>
              <w:numPr>
                <w:ilvl w:val="0"/>
                <w:numId w:val="0"/>
              </w:numPr>
              <w:ind w:left="833"/>
              <w:rPr>
                <w:lang w:val="de-DE"/>
              </w:rPr>
            </w:pPr>
          </w:p>
          <w:p>
            <w:pPr>
              <w:pStyle w:val="Liste2"/>
              <w:numPr>
                <w:ilvl w:val="0"/>
                <w:numId w:val="0"/>
              </w:numPr>
              <w:tabs>
                <w:tab w:val="right" w:pos="6608"/>
              </w:tabs>
              <w:rPr>
                <w:lang w:val="de-DE"/>
              </w:rPr>
            </w:pPr>
            <w:r>
              <w:rPr>
                <w:lang w:val="de-DE"/>
              </w:rPr>
              <w:t xml:space="preserve">Molekulare Surveillance, VOC </w:t>
            </w:r>
            <w:r>
              <w:rPr>
                <w:rStyle w:val="TagMiZchn"/>
                <w:lang w:val="de-DE"/>
              </w:rPr>
              <w:t>(nur mittwochs)</w:t>
            </w:r>
            <w:r>
              <w:rPr>
                <w:rStyle w:val="TagMiZchn"/>
                <w:lang w:val="de-DE"/>
              </w:rPr>
              <w:tab/>
            </w:r>
          </w:p>
          <w:p>
            <w:pPr>
              <w:pStyle w:val="Liste2"/>
            </w:pPr>
            <w:proofErr w:type="spellStart"/>
            <w:r>
              <w:t>Folien</w:t>
            </w:r>
            <w:proofErr w:type="spellEnd"/>
            <w:r>
              <w:t xml:space="preserve"> </w:t>
            </w:r>
            <w:hyperlink r:id="rId18" w:history="1">
              <w:proofErr w:type="spellStart"/>
              <w:r>
                <w:rPr>
                  <w:rStyle w:val="Hyperlink"/>
                </w:rPr>
                <w:t>hier</w:t>
              </w:r>
              <w:proofErr w:type="spellEnd"/>
            </w:hyperlink>
          </w:p>
          <w:p>
            <w:pPr>
              <w:pStyle w:val="Liste2"/>
              <w:rPr>
                <w:lang w:val="de-DE"/>
              </w:rPr>
            </w:pPr>
            <w:r>
              <w:rPr>
                <w:lang w:val="de-DE"/>
              </w:rPr>
              <w:t>Die Omikron-Variante dominiert weiter, was sich auch in den IfSG-Daten widerspiegelt</w:t>
            </w:r>
          </w:p>
          <w:p>
            <w:pPr>
              <w:pStyle w:val="Liste2"/>
              <w:rPr>
                <w:lang w:val="de-DE"/>
              </w:rPr>
            </w:pPr>
            <w:r>
              <w:rPr>
                <w:lang w:val="de-DE"/>
              </w:rPr>
              <w:t xml:space="preserve">Anteil von BA.1 stabil bei </w:t>
            </w:r>
            <w:proofErr w:type="spellStart"/>
            <w:r>
              <w:rPr>
                <w:lang w:val="de-DE"/>
              </w:rPr>
              <w:t>ca</w:t>
            </w:r>
            <w:proofErr w:type="spellEnd"/>
            <w:r>
              <w:rPr>
                <w:lang w:val="de-DE"/>
              </w:rPr>
              <w:t xml:space="preserve"> 90% (BA.2 hat Vorteil in der Übertragung und könnte bald das Geschehen übernehmen)</w:t>
            </w:r>
          </w:p>
          <w:p>
            <w:pPr>
              <w:pStyle w:val="Liste2"/>
              <w:numPr>
                <w:ilvl w:val="0"/>
                <w:numId w:val="0"/>
              </w:numPr>
              <w:ind w:left="833" w:hanging="360"/>
              <w:rPr>
                <w:lang w:val="de-DE"/>
              </w:rPr>
            </w:pPr>
          </w:p>
          <w:p>
            <w:pPr>
              <w:pStyle w:val="Liste2"/>
              <w:numPr>
                <w:ilvl w:val="0"/>
                <w:numId w:val="0"/>
              </w:numPr>
              <w:rPr>
                <w:lang w:val="de-DE"/>
              </w:rPr>
            </w:pPr>
            <w:r>
              <w:rPr>
                <w:lang w:val="de-DE"/>
              </w:rPr>
              <w:t xml:space="preserve">Modellierungen </w:t>
            </w:r>
            <w:r>
              <w:rPr>
                <w:b/>
                <w:i/>
                <w:color w:val="95B3D7" w:themeColor="accent1" w:themeTint="99"/>
                <w:sz w:val="20"/>
                <w:lang w:val="de-DE"/>
              </w:rPr>
              <w:t>(nur freitags)</w:t>
            </w:r>
          </w:p>
          <w:p>
            <w:pPr>
              <w:pStyle w:val="Liste2"/>
            </w:pPr>
            <w:r>
              <w:t>(</w:t>
            </w:r>
            <w:proofErr w:type="spellStart"/>
            <w:r>
              <w:t>nicht</w:t>
            </w:r>
            <w:proofErr w:type="spellEnd"/>
            <w:r>
              <w:t xml:space="preserve"> </w:t>
            </w:r>
            <w:proofErr w:type="spellStart"/>
            <w:r>
              <w:t>berichtet</w:t>
            </w:r>
            <w:proofErr w:type="spellEnd"/>
            <w:r>
              <w:t>)</w:t>
            </w:r>
          </w:p>
          <w:p>
            <w:pPr>
              <w:pStyle w:val="Liste2"/>
              <w:numPr>
                <w:ilvl w:val="0"/>
                <w:numId w:val="0"/>
              </w:numPr>
              <w:ind w:left="833" w:hanging="360"/>
            </w:pPr>
          </w:p>
          <w:p>
            <w:pPr>
              <w:pStyle w:val="Liste2"/>
              <w:numPr>
                <w:ilvl w:val="0"/>
                <w:numId w:val="0"/>
              </w:numPr>
              <w:rPr>
                <w:u w:val="single"/>
              </w:rPr>
            </w:pPr>
            <w:proofErr w:type="spellStart"/>
            <w:r>
              <w:rPr>
                <w:u w:val="single"/>
              </w:rPr>
              <w:t>Diskussion</w:t>
            </w:r>
            <w:proofErr w:type="spellEnd"/>
          </w:p>
          <w:p>
            <w:pPr>
              <w:pStyle w:val="Liste2"/>
              <w:rPr>
                <w:lang w:val="de-DE"/>
              </w:rPr>
            </w:pPr>
            <w:r>
              <w:rPr>
                <w:lang w:val="de-DE"/>
              </w:rPr>
              <w:t>Die SEED</w:t>
            </w:r>
            <w:r>
              <w:rPr>
                <w:vertAlign w:val="superscript"/>
                <w:lang w:val="de-DE"/>
              </w:rPr>
              <w:t>ARE</w:t>
            </w:r>
            <w:r>
              <w:rPr>
                <w:lang w:val="de-DE"/>
              </w:rPr>
              <w:t xml:space="preserve">-Daten für Ältere sind etwa so hoch wie in der 4. Welle (Nov 2021). Es wird mit mehr COVID-19/ARE Besuchen gerechnet, es gibt Hinweise </w:t>
            </w:r>
            <w:proofErr w:type="gramStart"/>
            <w:r>
              <w:rPr>
                <w:lang w:val="de-DE"/>
              </w:rPr>
              <w:t>auf zunehmende</w:t>
            </w:r>
            <w:proofErr w:type="gramEnd"/>
            <w:r>
              <w:rPr>
                <w:lang w:val="de-DE"/>
              </w:rPr>
              <w:t xml:space="preserve"> Fälle in der älteren Bevölkerung, Peak kommt näher, ansonsten suchen ältere Personen wegen ARE eher nicht ärztliche Praxen auf. </w:t>
            </w:r>
          </w:p>
          <w:p>
            <w:pPr>
              <w:pStyle w:val="Liste2"/>
              <w:rPr>
                <w:lang w:val="de-DE"/>
              </w:rPr>
            </w:pPr>
            <w:r>
              <w:rPr>
                <w:lang w:val="de-DE"/>
              </w:rPr>
              <w:t xml:space="preserve">Die Gesamtinterpretation aus den verschiedenen Erfassungsinstrumenten stellt sich komplex dar. Es ist unklar, inwiefern die ITS-Trends aus dem DIVI-Intensivregister, die einen Belegungsanstieg in den hohen Altersgruppen zeigen und mehr Todesfälle erwarten lassen, auch in der </w:t>
            </w:r>
            <w:proofErr w:type="spellStart"/>
            <w:r>
              <w:rPr>
                <w:lang w:val="de-DE"/>
              </w:rPr>
              <w:t>syndromischen</w:t>
            </w:r>
            <w:proofErr w:type="spellEnd"/>
            <w:r>
              <w:rPr>
                <w:lang w:val="de-DE"/>
              </w:rPr>
              <w:t xml:space="preserve"> Surveillance abgebildet werden, wo die SARI und COVID-SARI Zahlen in den hohen Altersgruppen nur moderat ansteigen.</w:t>
            </w:r>
          </w:p>
          <w:p>
            <w:pPr>
              <w:pStyle w:val="Liste2"/>
              <w:rPr>
                <w:lang w:val="de-DE"/>
              </w:rPr>
            </w:pPr>
            <w:r>
              <w:rPr>
                <w:lang w:val="de-DE"/>
              </w:rPr>
              <w:t xml:space="preserve">Wichtig ist ein Blick auf die Gesamtsituation, da viele Personen mit COVID-19 wegen anderer Diagnosen stationär oder auf der Intensivstation behandelt werden. Die Zielsetzung der Erfassungsinstrumente ist unterschiedlich und muss deutlich kommuniziert werden; ICOSARI dient der Erfassung der Krankheitslast. </w:t>
            </w:r>
          </w:p>
          <w:p>
            <w:pPr>
              <w:pStyle w:val="Liste2"/>
              <w:rPr>
                <w:lang w:val="de-DE"/>
              </w:rPr>
            </w:pPr>
            <w:r>
              <w:rPr>
                <w:lang w:val="de-DE"/>
              </w:rPr>
              <w:t xml:space="preserve">Ggf. widersprüchliche Tendenzen in den Erfassungsinstrumenten müssten erklärt werden. </w:t>
            </w:r>
          </w:p>
          <w:p>
            <w:pPr>
              <w:pStyle w:val="Liste2"/>
              <w:rPr>
                <w:lang w:val="de-DE"/>
              </w:rPr>
            </w:pPr>
            <w:r>
              <w:rPr>
                <w:lang w:val="de-DE"/>
              </w:rPr>
              <w:t xml:space="preserve">Es wird gefragt, ob Omikron ggf. eine geringere Atemwegssymptomatik nach sich zieht als andere Varianten und dadurch weniger in SARI abgebildet wäre. Ggf. spielt der Anteil der „unbekannten Behandlung“ in den ITS-Zahlen eine Rolle. </w:t>
            </w:r>
          </w:p>
          <w:p>
            <w:pPr>
              <w:pStyle w:val="Liste2"/>
              <w:rPr>
                <w:lang w:val="de-DE"/>
              </w:rPr>
            </w:pPr>
            <w:r>
              <w:rPr>
                <w:lang w:val="de-DE"/>
              </w:rPr>
              <w:t>Es wird angeboten, die DIVI-Daten nach ICOSARI-Krankenhäusern gefiltert auszuwerten.</w:t>
            </w:r>
          </w:p>
          <w:p>
            <w:pPr>
              <w:pStyle w:val="Liste2"/>
              <w:rPr>
                <w:lang w:val="de-DE"/>
              </w:rPr>
            </w:pPr>
            <w:r>
              <w:rPr>
                <w:lang w:val="de-DE"/>
              </w:rPr>
              <w:t>Es wird angeregt, dass der Wochenbericht zukünftig die Kernaussagen aus den einzelnen Kapiteln in einer Gesamtschau der Ergebnisse mit Fokus auf aktuelle Entwicklungen stärker interpretiert. Sofern nicht bereits umgesetzt, könnten Kernaus</w:t>
            </w:r>
            <w:bookmarkStart w:id="1" w:name="_GoBack"/>
            <w:bookmarkEnd w:id="1"/>
            <w:r>
              <w:rPr>
                <w:lang w:val="de-DE"/>
              </w:rPr>
              <w:t xml:space="preserve">sagen pro Kapitel beschrieben und für die Gesamtschau über </w:t>
            </w:r>
            <w:proofErr w:type="spellStart"/>
            <w:r>
              <w:rPr>
                <w:lang w:val="de-DE"/>
              </w:rPr>
              <w:t>nCov-Lage</w:t>
            </w:r>
            <w:proofErr w:type="spellEnd"/>
            <w:r>
              <w:rPr>
                <w:lang w:val="de-DE"/>
              </w:rPr>
              <w:t xml:space="preserve"> zur Verfügung gestellt werden. Ggf. wäre eine Umstrukturierung des Wochenberichts nach Fragestellung (anstelle von Erfassungsinstrumenten) denkbar, würde aber deutlich größeren Abstimmungsbedarf hervorrufen (und damit zeitlichen Vorlauf benötigen) und deutliche Änderungen im Prozedere bedeuten.</w:t>
            </w:r>
          </w:p>
          <w:p>
            <w:pPr>
              <w:pStyle w:val="Liste2"/>
              <w:numPr>
                <w:ilvl w:val="0"/>
                <w:numId w:val="0"/>
              </w:numPr>
              <w:ind w:left="473"/>
              <w:rPr>
                <w:lang w:val="de-DE"/>
              </w:rPr>
            </w:pPr>
            <w:proofErr w:type="spellStart"/>
            <w:r>
              <w:rPr>
                <w:lang w:val="de-DE"/>
              </w:rPr>
              <w:t>ToDo</w:t>
            </w:r>
            <w:proofErr w:type="spellEnd"/>
            <w:r>
              <w:rPr>
                <w:lang w:val="de-DE"/>
              </w:rPr>
              <w:t xml:space="preserve">: FG36 wird mit Unterstützung von FG32, Matthias </w:t>
            </w:r>
            <w:proofErr w:type="gramStart"/>
            <w:r>
              <w:rPr>
                <w:lang w:val="de-DE"/>
              </w:rPr>
              <w:t>an der Heiden</w:t>
            </w:r>
            <w:proofErr w:type="gramEnd"/>
            <w:r>
              <w:rPr>
                <w:lang w:val="de-DE"/>
              </w:rPr>
              <w:t xml:space="preserve"> und MF4 in den Wochenbericht einen Zwischenabsatz zur Interpretation der Ergebnisse (Unterschiede Inzidenz/Prävalenz, Meldewoche, Limitationen, ggf. in einer Fußnote) der unterschiedlichen Erfassungsinstrumente aufnehmen.</w:t>
            </w:r>
          </w:p>
          <w:p>
            <w:pPr>
              <w:pStyle w:val="Liste2"/>
              <w:numPr>
                <w:ilvl w:val="0"/>
                <w:numId w:val="0"/>
              </w:numPr>
              <w:ind w:left="473"/>
              <w:rPr>
                <w:lang w:val="de-DE"/>
              </w:rPr>
            </w:pPr>
          </w:p>
        </w:tc>
        <w:tc>
          <w:tcPr>
            <w:tcW w:w="1463" w:type="dxa"/>
          </w:tcPr>
          <w:p>
            <w:pPr>
              <w:rPr>
                <w:sz w:val="22"/>
                <w:szCs w:val="22"/>
              </w:rPr>
            </w:pPr>
          </w:p>
          <w:p>
            <w:pPr>
              <w:rPr>
                <w:sz w:val="22"/>
                <w:szCs w:val="22"/>
              </w:rPr>
            </w:pPr>
          </w:p>
          <w:p>
            <w:pPr>
              <w:rPr>
                <w:sz w:val="22"/>
                <w:szCs w:val="22"/>
              </w:rPr>
            </w:pPr>
            <w:r>
              <w:rPr>
                <w:sz w:val="22"/>
                <w:szCs w:val="22"/>
              </w:rPr>
              <w:t xml:space="preserve">ZIG1 </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MF4 (Martina Fischer)</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(Buda)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FG17 (Dürrwald)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Abt. 3 (Hamouda)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 (Eckmanns)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 (Kröger)</w:t>
            </w:r>
          </w:p>
        </w:tc>
      </w:tr>
      <w:tr>
        <w:tc>
          <w:tcPr>
            <w:tcW w:w="684" w:type="dxa"/>
          </w:tcPr>
          <w:p>
            <w:pPr>
              <w:rPr>
                <w:b/>
              </w:rPr>
            </w:pPr>
            <w:r>
              <w:rPr>
                <w:b/>
              </w:rPr>
              <w:lastRenderedPageBreak/>
              <w:t>2</w:t>
            </w:r>
          </w:p>
        </w:tc>
        <w:tc>
          <w:tcPr>
            <w:tcW w:w="6824" w:type="dxa"/>
          </w:tcPr>
          <w:p>
            <w:pPr>
              <w:spacing w:line="276" w:lineRule="auto"/>
              <w:rPr>
                <w:rStyle w:val="TagFrZchn"/>
              </w:rPr>
            </w:pPr>
            <w:r>
              <w:rPr>
                <w:rStyle w:val="1Zchn"/>
              </w:rPr>
              <w:t>Internationales</w:t>
            </w:r>
            <w:r>
              <w:rPr>
                <w:b/>
                <w:color w:val="FF0000"/>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ZIG</w:t>
            </w:r>
          </w:p>
        </w:tc>
      </w:tr>
      <w:tr>
        <w:tc>
          <w:tcPr>
            <w:tcW w:w="684" w:type="dxa"/>
          </w:tcPr>
          <w:p>
            <w:pPr>
              <w:rPr>
                <w:b/>
              </w:rPr>
            </w:pPr>
            <w:r>
              <w:rPr>
                <w:b/>
              </w:rPr>
              <w:lastRenderedPageBreak/>
              <w:t>3</w:t>
            </w:r>
          </w:p>
        </w:tc>
        <w:tc>
          <w:tcPr>
            <w:tcW w:w="6824" w:type="dxa"/>
          </w:tcPr>
          <w:p>
            <w:pPr>
              <w:spacing w:line="276" w:lineRule="auto"/>
              <w:rPr>
                <w:b/>
                <w:i/>
                <w:color w:val="C2D69B" w:themeColor="accent3" w:themeTint="99"/>
              </w:rPr>
            </w:pPr>
            <w:r>
              <w:rPr>
                <w:rStyle w:val="1Zchn"/>
              </w:rPr>
              <w:t>Update digitale Projekte</w:t>
            </w:r>
            <w:r>
              <w:rPr>
                <w:b/>
                <w:sz w:val="28"/>
              </w:rPr>
              <w:t xml:space="preserve"> </w:t>
            </w:r>
            <w:r>
              <w:rPr>
                <w:rStyle w:val="TagFrZchn"/>
              </w:rPr>
              <w:t>(nur freitags)</w:t>
            </w:r>
          </w:p>
        </w:tc>
        <w:tc>
          <w:tcPr>
            <w:tcW w:w="1463" w:type="dxa"/>
          </w:tcPr>
          <w:p>
            <w:pPr>
              <w:rPr>
                <w:sz w:val="22"/>
                <w:szCs w:val="22"/>
              </w:rPr>
            </w:pPr>
            <w:r>
              <w:rPr>
                <w:sz w:val="22"/>
                <w:szCs w:val="22"/>
              </w:rPr>
              <w:t>FG21</w:t>
            </w:r>
          </w:p>
          <w:p>
            <w:pPr>
              <w:rPr>
                <w:sz w:val="22"/>
                <w:szCs w:val="22"/>
              </w:rPr>
            </w:pPr>
          </w:p>
        </w:tc>
      </w:tr>
      <w:tr>
        <w:tc>
          <w:tcPr>
            <w:tcW w:w="684" w:type="dxa"/>
          </w:tcPr>
          <w:p>
            <w:pPr>
              <w:rPr>
                <w:b/>
              </w:rPr>
            </w:pPr>
            <w:r>
              <w:rPr>
                <w:b/>
              </w:rPr>
              <w:t>4</w:t>
            </w:r>
          </w:p>
        </w:tc>
        <w:tc>
          <w:tcPr>
            <w:tcW w:w="6824" w:type="dxa"/>
          </w:tcPr>
          <w:p>
            <w:pPr>
              <w:pStyle w:val="1"/>
            </w:pPr>
            <w:r>
              <w:t>Aktuelle Risikobewertung</w:t>
            </w:r>
          </w:p>
          <w:p>
            <w:pPr>
              <w:pStyle w:val="Liste1"/>
            </w:pPr>
            <w:hyperlink r:id="rId19" w:history="1">
              <w:r>
                <w:rPr>
                  <w:rStyle w:val="Hyperlink"/>
                </w:rPr>
                <w:t>Risikobewertung</w:t>
              </w:r>
            </w:hyperlink>
            <w:r>
              <w:t xml:space="preserve">: Der Zeitpunkt der Veröffentlichung ist abhängig von der Zustimmung des BMG, voraussichtlich nicht vor der MPK am 16.02.2022. Eine Herabstufung vorher würde möglicherweise als Deeskalationssignal interpretiert, daher politisch nicht gewünscht. Inhaltliche Überarbeitung und Diskussion werden auf nächste Woche vertagt.  </w:t>
            </w:r>
          </w:p>
          <w:p>
            <w:pPr>
              <w:pStyle w:val="Liste1"/>
              <w:numPr>
                <w:ilvl w:val="0"/>
                <w:numId w:val="0"/>
              </w:numPr>
            </w:pPr>
          </w:p>
        </w:tc>
        <w:tc>
          <w:tcPr>
            <w:tcW w:w="1463" w:type="dxa"/>
          </w:tcPr>
          <w:p>
            <w:pPr>
              <w:rPr>
                <w:sz w:val="22"/>
                <w:szCs w:val="22"/>
              </w:rPr>
            </w:pPr>
          </w:p>
          <w:p>
            <w:pPr>
              <w:rPr>
                <w:sz w:val="22"/>
                <w:szCs w:val="22"/>
              </w:rPr>
            </w:pPr>
            <w:r>
              <w:rPr>
                <w:sz w:val="22"/>
                <w:szCs w:val="22"/>
              </w:rPr>
              <w:t>Abt. 3</w:t>
            </w:r>
            <w:r>
              <w:rPr>
                <w:sz w:val="22"/>
                <w:szCs w:val="22"/>
              </w:rPr>
              <w:br/>
            </w:r>
          </w:p>
          <w:p>
            <w:pPr>
              <w:rPr>
                <w:sz w:val="22"/>
                <w:szCs w:val="22"/>
              </w:rPr>
            </w:pPr>
          </w:p>
        </w:tc>
      </w:tr>
      <w:tr>
        <w:tc>
          <w:tcPr>
            <w:tcW w:w="684" w:type="dxa"/>
          </w:tcPr>
          <w:p>
            <w:pPr>
              <w:rPr>
                <w:b/>
              </w:rPr>
            </w:pPr>
            <w:r>
              <w:rPr>
                <w:b/>
              </w:rPr>
              <w:t>5</w:t>
            </w:r>
          </w:p>
        </w:tc>
        <w:tc>
          <w:tcPr>
            <w:tcW w:w="6824" w:type="dxa"/>
          </w:tcPr>
          <w:p>
            <w:pPr>
              <w:pStyle w:val="1"/>
            </w:pPr>
            <w:r>
              <w:t xml:space="preserve">Expertenbeirat </w:t>
            </w:r>
            <w:r>
              <w:rPr>
                <w:i/>
                <w:color w:val="95B3D7" w:themeColor="accent1" w:themeTint="99"/>
                <w:sz w:val="20"/>
              </w:rPr>
              <w:t>(</w:t>
            </w:r>
            <w:proofErr w:type="spellStart"/>
            <w:r>
              <w:rPr>
                <w:i/>
                <w:color w:val="95B3D7" w:themeColor="accent1" w:themeTint="99"/>
                <w:sz w:val="20"/>
              </w:rPr>
              <w:t>mont</w:t>
            </w:r>
            <w:proofErr w:type="spellEnd"/>
            <w:r>
              <w:rPr>
                <w:i/>
                <w:color w:val="95B3D7" w:themeColor="accent1" w:themeTint="99"/>
                <w:sz w:val="20"/>
              </w:rPr>
              <w:t xml:space="preserve">. Vorbereitung, </w:t>
            </w:r>
            <w:proofErr w:type="spellStart"/>
            <w:r>
              <w:rPr>
                <w:i/>
                <w:color w:val="95B3D7" w:themeColor="accent1" w:themeTint="99"/>
                <w:sz w:val="20"/>
              </w:rPr>
              <w:t>mittw</w:t>
            </w:r>
            <w:proofErr w:type="spellEnd"/>
            <w:r>
              <w:rPr>
                <w:i/>
                <w:color w:val="95B3D7" w:themeColor="accent1" w:themeTint="99"/>
                <w:sz w:val="20"/>
              </w:rPr>
              <w:t>. Nachbereitung)</w:t>
            </w:r>
          </w:p>
          <w:p>
            <w:pPr>
              <w:pStyle w:val="Liste1"/>
              <w:ind w:hanging="416"/>
            </w:pPr>
            <w:r>
              <w:t xml:space="preserve"> Nicht besprochen</w:t>
            </w:r>
          </w:p>
          <w:p>
            <w:pPr>
              <w:pStyle w:val="Liste1"/>
              <w:numPr>
                <w:ilvl w:val="0"/>
                <w:numId w:val="0"/>
              </w:numPr>
            </w:pPr>
          </w:p>
        </w:tc>
        <w:tc>
          <w:tcPr>
            <w:tcW w:w="1463" w:type="dxa"/>
          </w:tcPr>
          <w:p>
            <w:pPr>
              <w:rPr>
                <w:sz w:val="22"/>
                <w:szCs w:val="22"/>
              </w:rPr>
            </w:pPr>
            <w:r>
              <w:rPr>
                <w:sz w:val="22"/>
                <w:szCs w:val="22"/>
              </w:rPr>
              <w:t>Schaade/ Wieler</w:t>
            </w:r>
          </w:p>
        </w:tc>
      </w:tr>
      <w:tr>
        <w:trPr>
          <w:trHeight w:val="518"/>
        </w:trPr>
        <w:tc>
          <w:tcPr>
            <w:tcW w:w="684" w:type="dxa"/>
          </w:tcPr>
          <w:p>
            <w:pPr>
              <w:rPr>
                <w:b/>
              </w:rPr>
            </w:pPr>
            <w:r>
              <w:rPr>
                <w:b/>
              </w:rPr>
              <w:t>6</w:t>
            </w:r>
          </w:p>
        </w:tc>
        <w:tc>
          <w:tcPr>
            <w:tcW w:w="6824" w:type="dxa"/>
          </w:tcPr>
          <w:p>
            <w:pPr>
              <w:pStyle w:val="1"/>
            </w:pPr>
            <w:r>
              <w:t>Kommunikation</w:t>
            </w:r>
          </w:p>
          <w:p>
            <w:pPr>
              <w:pStyle w:val="2"/>
            </w:pPr>
            <w:r>
              <w:t>BZgA</w:t>
            </w:r>
          </w:p>
          <w:p>
            <w:pPr>
              <w:pStyle w:val="Liste1"/>
            </w:pPr>
            <w:r>
              <w:t>Am kommenden Montag soll über die Kultusministerien den Schulen ein Materialpaket zu Impfungen von Kindern zur Verfügung gestellt werden (mit Fremdsprachenangeboten und Angeboten in leichter Sprache). Dies wird von der Pressestelle begleitet werden.</w:t>
            </w:r>
          </w:p>
          <w:p>
            <w:pPr>
              <w:pStyle w:val="2"/>
            </w:pPr>
            <w:r>
              <w:t>Presse</w:t>
            </w:r>
          </w:p>
          <w:p>
            <w:pPr>
              <w:pStyle w:val="Liste1"/>
            </w:pPr>
            <w:r>
              <w:t>Die RKI-Webseite zu COVID-19 könnte an einigen Stellen gekürzt werden. Entsprechende Vorschläge werden an den Krisenstab-Verteiler gesandt.</w:t>
            </w:r>
          </w:p>
          <w:p>
            <w:pPr>
              <w:pStyle w:val="Liste1"/>
            </w:pPr>
            <w:r>
              <w:t xml:space="preserve">Für die morgige </w:t>
            </w:r>
            <w:proofErr w:type="spellStart"/>
            <w:r>
              <w:t>Twitterbotschaft</w:t>
            </w:r>
            <w:proofErr w:type="spellEnd"/>
            <w:r>
              <w:t xml:space="preserve"> ist die Auffrischimpfung als Schutz vor Krankenhausaufenthalten vorgesehen.</w:t>
            </w:r>
          </w:p>
          <w:p>
            <w:pPr>
              <w:pStyle w:val="2"/>
            </w:pPr>
            <w:r>
              <w:t>P1</w:t>
            </w:r>
          </w:p>
          <w:p>
            <w:pPr>
              <w:pStyle w:val="Liste1"/>
              <w:rPr>
                <w:i/>
              </w:rPr>
            </w:pPr>
            <w:r>
              <w:t xml:space="preserve"> keine Neuigkeiten </w:t>
            </w:r>
            <w:r>
              <w:br/>
            </w:r>
          </w:p>
        </w:tc>
        <w:tc>
          <w:tcPr>
            <w:tcW w:w="1463" w:type="dxa"/>
          </w:tcPr>
          <w:p>
            <w:pPr>
              <w:rPr>
                <w:sz w:val="22"/>
                <w:szCs w:val="22"/>
              </w:rPr>
            </w:pPr>
          </w:p>
          <w:p>
            <w:pPr>
              <w:rPr>
                <w:sz w:val="22"/>
                <w:szCs w:val="22"/>
              </w:rPr>
            </w:pPr>
          </w:p>
          <w:p>
            <w:pPr>
              <w:rPr>
                <w:sz w:val="22"/>
                <w:szCs w:val="22"/>
              </w:rPr>
            </w:pPr>
            <w:r>
              <w:rPr>
                <w:sz w:val="22"/>
                <w:szCs w:val="22"/>
              </w:rPr>
              <w:t>BZgA</w:t>
            </w:r>
            <w:r>
              <w:rPr>
                <w:sz w:val="22"/>
                <w:szCs w:val="22"/>
              </w:rPr>
              <w:br/>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r>
              <w:rPr>
                <w:sz w:val="22"/>
                <w:szCs w:val="22"/>
              </w:rPr>
              <w:br/>
            </w:r>
          </w:p>
          <w:p>
            <w:pPr>
              <w:rPr>
                <w:sz w:val="22"/>
                <w:szCs w:val="22"/>
              </w:rPr>
            </w:pPr>
          </w:p>
          <w:p>
            <w:pPr>
              <w:rPr>
                <w:sz w:val="22"/>
                <w:szCs w:val="22"/>
              </w:rPr>
            </w:pPr>
          </w:p>
          <w:p>
            <w:pPr>
              <w:rPr>
                <w:sz w:val="22"/>
                <w:szCs w:val="22"/>
              </w:rPr>
            </w:pPr>
          </w:p>
          <w:p>
            <w:pPr>
              <w:rPr>
                <w:sz w:val="22"/>
                <w:szCs w:val="22"/>
              </w:rPr>
            </w:pPr>
            <w:r>
              <w:rPr>
                <w:sz w:val="22"/>
                <w:szCs w:val="22"/>
              </w:rPr>
              <w:t>P1</w:t>
            </w:r>
            <w:r>
              <w:rPr>
                <w:sz w:val="22"/>
                <w:szCs w:val="22"/>
              </w:rPr>
              <w:br/>
            </w:r>
          </w:p>
        </w:tc>
      </w:tr>
      <w:tr>
        <w:tc>
          <w:tcPr>
            <w:tcW w:w="684" w:type="dxa"/>
          </w:tcPr>
          <w:p>
            <w:pPr>
              <w:rPr>
                <w:b/>
              </w:rPr>
            </w:pPr>
            <w:r>
              <w:rPr>
                <w:b/>
              </w:rPr>
              <w:t>7</w:t>
            </w:r>
          </w:p>
        </w:tc>
        <w:tc>
          <w:tcPr>
            <w:tcW w:w="6824" w:type="dxa"/>
          </w:tcPr>
          <w:p>
            <w:pPr>
              <w:pStyle w:val="1"/>
            </w:pPr>
            <w:r>
              <w:t>RKI-Strategie Fragen</w:t>
            </w:r>
          </w:p>
          <w:p>
            <w:pPr>
              <w:pStyle w:val="2"/>
            </w:pPr>
            <w:r>
              <w:t>Allgemein</w:t>
            </w:r>
          </w:p>
          <w:p>
            <w:pPr>
              <w:pStyle w:val="Liste1"/>
            </w:pPr>
            <w:hyperlink r:id="rId20" w:history="1">
              <w:r>
                <w:rPr>
                  <w:rStyle w:val="Hyperlink"/>
                </w:rPr>
                <w:t>Deeskalation</w:t>
              </w:r>
            </w:hyperlink>
            <w:r>
              <w:t>: Erster Vorschlag eines Deeskalationspapier liegt vor, darin zunächst einleitende Beschreibung der Lage und der Voraussetzungen für die Deeskalation, dann Darstellung allgemeiner Maßnahmen, gefolgt von Maßnahmen zur Steigerung des Impfschutzes, der Notwendigkeit einer Begleitkommunikation und der Beibehaltung verschiedener Maßnahmen zur Stärkung des Gesundheitssystems</w:t>
            </w:r>
          </w:p>
          <w:p>
            <w:pPr>
              <w:pStyle w:val="Liste1"/>
              <w:numPr>
                <w:ilvl w:val="0"/>
                <w:numId w:val="0"/>
              </w:numPr>
              <w:ind w:left="473"/>
            </w:pPr>
          </w:p>
          <w:p>
            <w:pPr>
              <w:pStyle w:val="Liste1"/>
              <w:numPr>
                <w:ilvl w:val="0"/>
                <w:numId w:val="0"/>
              </w:numPr>
              <w:ind w:left="473"/>
              <w:rPr>
                <w:u w:val="single"/>
              </w:rPr>
            </w:pPr>
            <w:r>
              <w:rPr>
                <w:u w:val="single"/>
              </w:rPr>
              <w:t>Diskussion</w:t>
            </w:r>
          </w:p>
          <w:p>
            <w:pPr>
              <w:pStyle w:val="Liste2"/>
              <w:rPr>
                <w:lang w:val="de-DE"/>
              </w:rPr>
            </w:pPr>
            <w:r>
              <w:rPr>
                <w:lang w:val="de-DE"/>
              </w:rPr>
              <w:t xml:space="preserve">Es wird angeregt, nur konkrete Änderungen zu nennen, nicht zusätzlich Aufgaben zu stellen, die das RKI ggf. nicht im gesetzten Zeitrahmen umsetzen kann oder möchte (z. B. Überarbeitung des Pandemieplans) </w:t>
            </w:r>
          </w:p>
          <w:p>
            <w:pPr>
              <w:pStyle w:val="Liste2"/>
              <w:rPr>
                <w:lang w:val="de-DE"/>
              </w:rPr>
            </w:pPr>
            <w:r>
              <w:rPr>
                <w:lang w:val="de-DE"/>
              </w:rPr>
              <w:lastRenderedPageBreak/>
              <w:t xml:space="preserve">Die Beschränkung der Anzahl Teilnehmender in Innenräumen wird politisch schwierig. </w:t>
            </w:r>
          </w:p>
          <w:p>
            <w:pPr>
              <w:pStyle w:val="Liste2"/>
              <w:rPr>
                <w:lang w:val="de-DE"/>
              </w:rPr>
            </w:pPr>
            <w:r>
              <w:rPr>
                <w:lang w:val="de-DE"/>
              </w:rPr>
              <w:t xml:space="preserve">Wichtig wäre es sich auf Maßnahmen im Frühjahr zu beschränken und sich nicht zu weit im Voraus festzulegen. Der Zeitrahmen sollte klarer kommuniziert werden. Gleichzeitig sollte die langfristige Perspektive eines endemischen Zustands klargestellt werden (ggf. nochmals am Ende des Dokuments aufnehmen). </w:t>
            </w:r>
          </w:p>
          <w:p>
            <w:pPr>
              <w:pStyle w:val="Liste2"/>
              <w:rPr>
                <w:lang w:val="de-DE"/>
              </w:rPr>
            </w:pPr>
            <w:r>
              <w:rPr>
                <w:lang w:val="de-DE"/>
              </w:rPr>
              <w:t xml:space="preserve">Auch sollte aufgenommen werden, warum mögliche Maßnahmen während eines endemischen Zustands strenger ausfallen als in Influenza-Wellen (oder ob auch während einer Influenza-Welle ähnliche Maßnahmen erwartbar wären). Dies wird schwierig zu vermitteln sein. </w:t>
            </w:r>
          </w:p>
          <w:p>
            <w:pPr>
              <w:pStyle w:val="Liste2"/>
              <w:rPr>
                <w:lang w:val="de-DE"/>
              </w:rPr>
            </w:pPr>
            <w:r>
              <w:rPr>
                <w:lang w:val="de-DE"/>
              </w:rPr>
              <w:t xml:space="preserve">Der Titel erscheint noch nicht eingängig: statt Überwindung der akuten Phase ggf. eher Übergang? Titel ist an ECDC Paper angelehnt, andere Vorschläge sind willkommen. </w:t>
            </w:r>
          </w:p>
          <w:p>
            <w:pPr>
              <w:pStyle w:val="Liste2"/>
              <w:rPr>
                <w:lang w:val="de-DE"/>
              </w:rPr>
            </w:pPr>
            <w:r>
              <w:rPr>
                <w:lang w:val="de-DE"/>
              </w:rPr>
              <w:t xml:space="preserve">Die Zielgruppe des Papiers erscheint unklar, einerseits Bevölkerung, andererseits Politik. Die Maßnahmen könnten ggf. nach Zielgruppe sortiert werden. Z.T. erscheinen die Maßnahmen kleinteilig, z.T. zielen sie auf postpandemische Aspekte ab. </w:t>
            </w:r>
          </w:p>
          <w:p>
            <w:pPr>
              <w:pStyle w:val="Liste2"/>
              <w:rPr>
                <w:lang w:val="de-DE"/>
              </w:rPr>
            </w:pPr>
            <w:r>
              <w:rPr>
                <w:lang w:val="de-DE"/>
              </w:rPr>
              <w:t xml:space="preserve">Grundsätzlich ist das Strategiepapier als fachliche Stellungnahme an das BMG gerichtet, sollte aber nach Zustimmung des BMG perspektivisch auch auf Webseite veröffentlicht werden. </w:t>
            </w:r>
          </w:p>
          <w:p>
            <w:pPr>
              <w:pStyle w:val="Liste2"/>
              <w:rPr>
                <w:lang w:val="de-DE"/>
              </w:rPr>
            </w:pPr>
            <w:r>
              <w:rPr>
                <w:lang w:val="de-DE"/>
              </w:rPr>
              <w:t xml:space="preserve">Die fachliche Deeskalationsreihenfolge weicht von der öffentlichen Wahrnehmung ab: aus fachlicher Sicht würden die aktive Fallsuche, die Kontaktpersonennachverfolgung und breite Teststrategie an Bedeutung verlieren, während AHA + L sicherlich lange beibehalten werden sollte. Auf 2G/2G+ etc. wird nur im Sinne der Aufhebung von Zugangsbeschränkungen verwiesen. </w:t>
            </w:r>
          </w:p>
          <w:p>
            <w:pPr>
              <w:pStyle w:val="Liste2"/>
              <w:numPr>
                <w:ilvl w:val="0"/>
                <w:numId w:val="0"/>
              </w:numPr>
              <w:ind w:left="473"/>
              <w:rPr>
                <w:lang w:val="de-DE"/>
              </w:rPr>
            </w:pPr>
            <w:proofErr w:type="spellStart"/>
            <w:r>
              <w:rPr>
                <w:lang w:val="de-DE"/>
              </w:rPr>
              <w:t>To</w:t>
            </w:r>
            <w:proofErr w:type="spellEnd"/>
            <w:r>
              <w:rPr>
                <w:lang w:val="de-DE"/>
              </w:rPr>
              <w:t xml:space="preserve"> Do: Tanja Jung-Sendzik überarbeitet das Dokument heute, dann Verteilung über Krisenstab-Verteiler zur zeitnahen Kommentierung</w:t>
            </w:r>
          </w:p>
          <w:p>
            <w:pPr>
              <w:pStyle w:val="Liste2"/>
              <w:numPr>
                <w:ilvl w:val="0"/>
                <w:numId w:val="0"/>
              </w:numPr>
              <w:ind w:left="833" w:hanging="360"/>
              <w:rPr>
                <w:lang w:val="de-DE"/>
              </w:rPr>
            </w:pPr>
          </w:p>
          <w:p>
            <w:pPr>
              <w:pStyle w:val="Liste1"/>
            </w:pPr>
            <w:r>
              <w:t>Beschlüsse Amtschefkonferenz (ACK)</w:t>
            </w:r>
          </w:p>
          <w:p>
            <w:pPr>
              <w:pStyle w:val="Liste3"/>
              <w:ind w:left="900"/>
            </w:pPr>
            <w:r>
              <w:t xml:space="preserve">Da seitens des RKI niemand teilgenommen hat und keine Beschlüsse vorliegen, wird angeregt, beim BMG nachzufragen, ob mit den Beschlüssen Arbeitsaufträge auf das RKI zukommen werden. Es ist bekannt geworden, dass eine Ausweisung von Antigentests wahrscheinlich nicht länger geplant ist. </w:t>
            </w:r>
          </w:p>
          <w:p>
            <w:pPr>
              <w:pStyle w:val="Liste3"/>
              <w:numPr>
                <w:ilvl w:val="0"/>
                <w:numId w:val="0"/>
              </w:numPr>
              <w:ind w:left="540"/>
            </w:pPr>
            <w:proofErr w:type="spellStart"/>
            <w:r>
              <w:t>ToDo</w:t>
            </w:r>
            <w:proofErr w:type="spellEnd"/>
            <w:r>
              <w:t>: Ute Rexroth fragt im BMG nach.</w:t>
            </w:r>
          </w:p>
          <w:p>
            <w:pPr>
              <w:pStyle w:val="2"/>
              <w:rPr>
                <w:i/>
              </w:rPr>
            </w:pPr>
            <w:r>
              <w:t>RKI-intern</w:t>
            </w:r>
          </w:p>
          <w:p>
            <w:pPr>
              <w:pStyle w:val="Liste1"/>
            </w:pPr>
            <w:r>
              <w:t>Nicht besprochen</w:t>
            </w:r>
          </w:p>
        </w:tc>
        <w:tc>
          <w:tcPr>
            <w:tcW w:w="1463" w:type="dxa"/>
          </w:tcPr>
          <w:p>
            <w:pPr>
              <w:rPr>
                <w:sz w:val="22"/>
                <w:szCs w:val="22"/>
              </w:rPr>
            </w:pPr>
          </w:p>
          <w:p>
            <w:pPr>
              <w:rPr>
                <w:sz w:val="22"/>
                <w:szCs w:val="22"/>
              </w:rPr>
            </w:pPr>
          </w:p>
          <w:p>
            <w:pPr>
              <w:rPr>
                <w:sz w:val="22"/>
                <w:szCs w:val="22"/>
              </w:rPr>
            </w:pPr>
            <w:r>
              <w:rPr>
                <w:sz w:val="22"/>
                <w:szCs w:val="22"/>
              </w:rPr>
              <w:t>Alle</w:t>
            </w:r>
          </w:p>
          <w:p>
            <w:pPr>
              <w:rPr>
                <w:sz w:val="22"/>
                <w:szCs w:val="22"/>
              </w:rPr>
            </w:pPr>
          </w:p>
          <w:p>
            <w:pPr>
              <w:rPr>
                <w:sz w:val="22"/>
                <w:szCs w:val="22"/>
              </w:rPr>
            </w:pPr>
          </w:p>
          <w:p>
            <w:pPr>
              <w:rPr>
                <w:sz w:val="22"/>
                <w:szCs w:val="22"/>
                <w:lang w:val="en-GB"/>
              </w:rPr>
            </w:pPr>
            <w:r>
              <w:rPr>
                <w:sz w:val="22"/>
                <w:szCs w:val="22"/>
                <w:lang w:val="en-GB"/>
              </w:rPr>
              <w:t>Abt. 3</w:t>
            </w:r>
            <w:r>
              <w:rPr>
                <w:sz w:val="22"/>
                <w:szCs w:val="22"/>
                <w:lang w:val="en-GB"/>
              </w:rPr>
              <w:br/>
            </w:r>
          </w:p>
        </w:tc>
      </w:tr>
      <w:tr>
        <w:tc>
          <w:tcPr>
            <w:tcW w:w="684" w:type="dxa"/>
          </w:tcPr>
          <w:p>
            <w:pPr>
              <w:rPr>
                <w:b/>
              </w:rPr>
            </w:pPr>
            <w:r>
              <w:rPr>
                <w:b/>
              </w:rPr>
              <w:t>8</w:t>
            </w:r>
          </w:p>
        </w:tc>
        <w:tc>
          <w:tcPr>
            <w:tcW w:w="6824" w:type="dxa"/>
          </w:tcPr>
          <w:p>
            <w:pPr>
              <w:spacing w:line="276" w:lineRule="auto"/>
              <w:rPr>
                <w:b/>
                <w:sz w:val="28"/>
              </w:rPr>
            </w:pPr>
            <w:r>
              <w:rPr>
                <w:b/>
                <w:sz w:val="28"/>
              </w:rPr>
              <w:t>Dokumente</w:t>
            </w:r>
          </w:p>
          <w:p>
            <w:pPr>
              <w:pStyle w:val="Liste1"/>
            </w:pPr>
            <w:r>
              <w:t>Nicht besprochen</w:t>
            </w:r>
          </w:p>
        </w:tc>
        <w:tc>
          <w:tcPr>
            <w:tcW w:w="1463" w:type="dxa"/>
          </w:tcPr>
          <w:p>
            <w:pPr>
              <w:rPr>
                <w:sz w:val="22"/>
                <w:szCs w:val="22"/>
              </w:rPr>
            </w:pPr>
          </w:p>
          <w:p>
            <w:pPr>
              <w:rPr>
                <w:sz w:val="22"/>
                <w:szCs w:val="22"/>
              </w:rPr>
            </w:pPr>
            <w:r>
              <w:rPr>
                <w:sz w:val="22"/>
                <w:szCs w:val="22"/>
              </w:rPr>
              <w:t>Haas</w:t>
            </w:r>
          </w:p>
        </w:tc>
      </w:tr>
      <w:tr>
        <w:tc>
          <w:tcPr>
            <w:tcW w:w="684" w:type="dxa"/>
          </w:tcPr>
          <w:p>
            <w:pPr>
              <w:rPr>
                <w:b/>
              </w:rPr>
            </w:pPr>
            <w:r>
              <w:rPr>
                <w:b/>
              </w:rPr>
              <w:t>9</w:t>
            </w:r>
          </w:p>
        </w:tc>
        <w:tc>
          <w:tcPr>
            <w:tcW w:w="6824" w:type="dxa"/>
          </w:tcPr>
          <w:p>
            <w:pPr>
              <w:spacing w:line="276" w:lineRule="auto"/>
              <w:rPr>
                <w:rStyle w:val="TagFrZchn"/>
              </w:rPr>
            </w:pPr>
            <w:r>
              <w:rPr>
                <w:rStyle w:val="1Zchn"/>
              </w:rPr>
              <w:t>Update Impfen</w:t>
            </w:r>
            <w:r>
              <w:rPr>
                <w:b/>
                <w:sz w:val="28"/>
              </w:rPr>
              <w:t xml:space="preserve"> </w:t>
            </w:r>
            <w:r>
              <w:rPr>
                <w:rStyle w:val="TagFrZchn"/>
              </w:rPr>
              <w:t>(nur freitags)</w:t>
            </w:r>
          </w:p>
          <w:p>
            <w:pPr>
              <w:pStyle w:val="Liste1"/>
            </w:pPr>
            <w:r>
              <w:t>(nicht berichtet)</w:t>
            </w:r>
          </w:p>
          <w:p>
            <w:pPr>
              <w:pStyle w:val="2"/>
            </w:pPr>
            <w:r>
              <w:lastRenderedPageBreak/>
              <w:t>STIKO</w:t>
            </w:r>
          </w:p>
          <w:p>
            <w:pPr>
              <w:pStyle w:val="Liste1"/>
            </w:pPr>
            <w:r>
              <w:t>(nicht berichtet)</w:t>
            </w:r>
          </w:p>
        </w:tc>
        <w:tc>
          <w:tcPr>
            <w:tcW w:w="1463" w:type="dxa"/>
          </w:tcPr>
          <w:p>
            <w:pPr>
              <w:rPr>
                <w:sz w:val="22"/>
                <w:szCs w:val="22"/>
              </w:rPr>
            </w:pPr>
          </w:p>
          <w:p>
            <w:pPr>
              <w:rPr>
                <w:sz w:val="22"/>
                <w:szCs w:val="22"/>
              </w:rPr>
            </w:pPr>
            <w:r>
              <w:rPr>
                <w:sz w:val="22"/>
                <w:szCs w:val="22"/>
              </w:rPr>
              <w:t xml:space="preserve">FG33 </w:t>
            </w:r>
          </w:p>
          <w:p>
            <w:pPr>
              <w:rPr>
                <w:sz w:val="22"/>
                <w:szCs w:val="22"/>
              </w:rPr>
            </w:pPr>
          </w:p>
          <w:p>
            <w:pPr>
              <w:rPr>
                <w:sz w:val="22"/>
                <w:szCs w:val="22"/>
              </w:rPr>
            </w:pPr>
          </w:p>
        </w:tc>
      </w:tr>
      <w:tr>
        <w:tc>
          <w:tcPr>
            <w:tcW w:w="684" w:type="dxa"/>
          </w:tcPr>
          <w:p>
            <w:pPr>
              <w:rPr>
                <w:b/>
              </w:rPr>
            </w:pPr>
            <w:r>
              <w:rPr>
                <w:b/>
              </w:rPr>
              <w:lastRenderedPageBreak/>
              <w:t>10</w:t>
            </w:r>
          </w:p>
        </w:tc>
        <w:tc>
          <w:tcPr>
            <w:tcW w:w="6824" w:type="dxa"/>
          </w:tcPr>
          <w:p>
            <w:pPr>
              <w:pStyle w:val="1"/>
            </w:pPr>
            <w:r>
              <w:t>Labordiagnostik</w:t>
            </w:r>
          </w:p>
          <w:p>
            <w:pPr>
              <w:pStyle w:val="2"/>
            </w:pPr>
            <w:r>
              <w:t>FG17</w:t>
            </w:r>
          </w:p>
          <w:p>
            <w:pPr>
              <w:pStyle w:val="Liste2"/>
            </w:pPr>
            <w:proofErr w:type="spellStart"/>
            <w:r>
              <w:t>Nicht</w:t>
            </w:r>
            <w:proofErr w:type="spellEnd"/>
            <w:r>
              <w:t xml:space="preserve"> </w:t>
            </w:r>
            <w:proofErr w:type="spellStart"/>
            <w:r>
              <w:t>besprochen</w:t>
            </w:r>
            <w:proofErr w:type="spellEnd"/>
          </w:p>
          <w:p>
            <w:pPr>
              <w:pStyle w:val="2"/>
            </w:pPr>
            <w:r>
              <w:t>ZBS1</w:t>
            </w:r>
          </w:p>
        </w:tc>
        <w:tc>
          <w:tcPr>
            <w:tcW w:w="1463"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p>
          <w:p>
            <w:pPr>
              <w:rPr>
                <w:sz w:val="22"/>
                <w:szCs w:val="22"/>
              </w:rPr>
            </w:pPr>
            <w:r>
              <w:rPr>
                <w:sz w:val="22"/>
                <w:szCs w:val="22"/>
              </w:rPr>
              <w:t>ZBS1</w:t>
            </w:r>
          </w:p>
        </w:tc>
      </w:tr>
      <w:tr>
        <w:tc>
          <w:tcPr>
            <w:tcW w:w="684" w:type="dxa"/>
          </w:tcPr>
          <w:p>
            <w:pPr>
              <w:rPr>
                <w:b/>
              </w:rPr>
            </w:pPr>
            <w:r>
              <w:rPr>
                <w:b/>
              </w:rPr>
              <w:t>11</w:t>
            </w:r>
          </w:p>
        </w:tc>
        <w:tc>
          <w:tcPr>
            <w:tcW w:w="6824" w:type="dxa"/>
          </w:tcPr>
          <w:p>
            <w:pPr>
              <w:pStyle w:val="1"/>
            </w:pPr>
            <w:r>
              <w:t>Klinisches Management/Entlassungsmanagement</w:t>
            </w:r>
          </w:p>
          <w:p>
            <w:pPr>
              <w:pStyle w:val="Liste1"/>
            </w:pPr>
            <w:r>
              <w:t>(nicht berichtet)</w:t>
            </w:r>
          </w:p>
          <w:p>
            <w:pPr>
              <w:pStyle w:val="3"/>
              <w:spacing w:before="0"/>
              <w:ind w:left="1077" w:hanging="357"/>
              <w:rPr>
                <w:b w:val="0"/>
              </w:rPr>
            </w:pPr>
          </w:p>
        </w:tc>
        <w:tc>
          <w:tcPr>
            <w:tcW w:w="1463" w:type="dxa"/>
          </w:tcPr>
          <w:p>
            <w:pPr>
              <w:rPr>
                <w:sz w:val="22"/>
                <w:szCs w:val="22"/>
              </w:rPr>
            </w:pPr>
          </w:p>
          <w:p>
            <w:pPr>
              <w:rPr>
                <w:sz w:val="22"/>
                <w:szCs w:val="22"/>
              </w:rPr>
            </w:pPr>
            <w:r>
              <w:rPr>
                <w:sz w:val="22"/>
                <w:szCs w:val="22"/>
              </w:rPr>
              <w:t>ZBS7</w:t>
            </w:r>
            <w:r>
              <w:rPr>
                <w:sz w:val="22"/>
                <w:szCs w:val="22"/>
              </w:rPr>
              <w:br/>
            </w:r>
          </w:p>
          <w:p>
            <w:pPr>
              <w:rPr>
                <w:sz w:val="22"/>
                <w:szCs w:val="22"/>
              </w:rPr>
            </w:pPr>
          </w:p>
        </w:tc>
      </w:tr>
      <w:tr>
        <w:tc>
          <w:tcPr>
            <w:tcW w:w="684" w:type="dxa"/>
          </w:tcPr>
          <w:p>
            <w:pPr>
              <w:rPr>
                <w:b/>
              </w:rPr>
            </w:pPr>
            <w:r>
              <w:rPr>
                <w:b/>
              </w:rPr>
              <w:t>12</w:t>
            </w:r>
          </w:p>
        </w:tc>
        <w:tc>
          <w:tcPr>
            <w:tcW w:w="6824" w:type="dxa"/>
          </w:tcPr>
          <w:p>
            <w:pPr>
              <w:pStyle w:val="1"/>
            </w:pPr>
            <w:r>
              <w:t>Maßnahmen zum Infektionsschutz</w:t>
            </w:r>
          </w:p>
          <w:p>
            <w:pPr>
              <w:pStyle w:val="Liste1"/>
              <w:rPr>
                <w:i/>
              </w:rPr>
            </w:pPr>
            <w:r>
              <w:t>nicht berichtet</w:t>
            </w:r>
          </w:p>
        </w:tc>
        <w:tc>
          <w:tcPr>
            <w:tcW w:w="1463" w:type="dxa"/>
          </w:tcPr>
          <w:p>
            <w:pPr>
              <w:rPr>
                <w:sz w:val="22"/>
                <w:szCs w:val="22"/>
              </w:rPr>
            </w:pPr>
          </w:p>
          <w:p>
            <w:pPr>
              <w:rPr>
                <w:sz w:val="22"/>
                <w:szCs w:val="22"/>
              </w:rPr>
            </w:pPr>
            <w:r>
              <w:rPr>
                <w:sz w:val="22"/>
                <w:szCs w:val="22"/>
              </w:rPr>
              <w:t xml:space="preserve">FG14 </w:t>
            </w:r>
          </w:p>
        </w:tc>
      </w:tr>
      <w:tr>
        <w:tc>
          <w:tcPr>
            <w:tcW w:w="684" w:type="dxa"/>
          </w:tcPr>
          <w:p>
            <w:pPr>
              <w:rPr>
                <w:b/>
              </w:rPr>
            </w:pPr>
            <w:r>
              <w:rPr>
                <w:b/>
              </w:rPr>
              <w:t>13</w:t>
            </w:r>
          </w:p>
        </w:tc>
        <w:tc>
          <w:tcPr>
            <w:tcW w:w="6824" w:type="dxa"/>
          </w:tcPr>
          <w:p>
            <w:pPr>
              <w:pStyle w:val="1"/>
              <w:rPr>
                <w:sz w:val="22"/>
              </w:rPr>
            </w:pPr>
            <w:r>
              <w:t>Surveillance</w:t>
            </w:r>
          </w:p>
          <w:p>
            <w:pPr>
              <w:pStyle w:val="Liste1"/>
            </w:pPr>
            <w:r>
              <w:t>nicht berichtet</w:t>
            </w:r>
          </w:p>
        </w:tc>
        <w:tc>
          <w:tcPr>
            <w:tcW w:w="1463" w:type="dxa"/>
          </w:tcPr>
          <w:p>
            <w:pPr>
              <w:rPr>
                <w:sz w:val="22"/>
                <w:szCs w:val="22"/>
              </w:rPr>
            </w:pPr>
          </w:p>
          <w:p>
            <w:pPr>
              <w:rPr>
                <w:sz w:val="22"/>
                <w:szCs w:val="22"/>
              </w:rPr>
            </w:pPr>
            <w:r>
              <w:rPr>
                <w:sz w:val="22"/>
                <w:szCs w:val="22"/>
              </w:rPr>
              <w:t>FG 32</w:t>
            </w:r>
          </w:p>
          <w:p>
            <w:pPr>
              <w:rPr>
                <w:sz w:val="22"/>
                <w:szCs w:val="22"/>
              </w:rPr>
            </w:pPr>
          </w:p>
        </w:tc>
      </w:tr>
      <w:tr>
        <w:tc>
          <w:tcPr>
            <w:tcW w:w="684" w:type="dxa"/>
          </w:tcPr>
          <w:p>
            <w:pPr>
              <w:rPr>
                <w:b/>
              </w:rPr>
            </w:pPr>
            <w:r>
              <w:rPr>
                <w:b/>
              </w:rPr>
              <w:t>14</w:t>
            </w:r>
          </w:p>
        </w:tc>
        <w:tc>
          <w:tcPr>
            <w:tcW w:w="6824" w:type="dxa"/>
          </w:tcPr>
          <w:p>
            <w:pPr>
              <w:spacing w:after="120" w:line="276" w:lineRule="auto"/>
              <w:rPr>
                <w:b/>
                <w:sz w:val="28"/>
              </w:rPr>
            </w:pPr>
            <w:r>
              <w:rPr>
                <w:rStyle w:val="1Zchn"/>
              </w:rPr>
              <w:t>Transport und Grenzübergangsstellen</w:t>
            </w:r>
            <w:r>
              <w:rPr>
                <w:b/>
                <w:sz w:val="28"/>
              </w:rPr>
              <w:t xml:space="preserve"> </w:t>
            </w:r>
            <w:r>
              <w:rPr>
                <w:rStyle w:val="TagFrZchn"/>
              </w:rPr>
              <w:t>(nur freitags)</w:t>
            </w:r>
          </w:p>
          <w:p>
            <w:pPr>
              <w:pStyle w:val="Liste1"/>
            </w:pPr>
            <w:r>
              <w:t>nicht berichtet</w:t>
            </w:r>
          </w:p>
        </w:tc>
        <w:tc>
          <w:tcPr>
            <w:tcW w:w="1463" w:type="dxa"/>
          </w:tcPr>
          <w:p>
            <w:pPr>
              <w:rPr>
                <w:sz w:val="22"/>
                <w:szCs w:val="22"/>
              </w:rPr>
            </w:pPr>
          </w:p>
          <w:p>
            <w:pPr>
              <w:rPr>
                <w:sz w:val="22"/>
                <w:szCs w:val="22"/>
              </w:rPr>
            </w:pPr>
            <w:r>
              <w:rPr>
                <w:sz w:val="22"/>
                <w:szCs w:val="22"/>
              </w:rPr>
              <w:t xml:space="preserve">FG38 </w:t>
            </w:r>
            <w:r>
              <w:rPr>
                <w:sz w:val="22"/>
                <w:szCs w:val="22"/>
              </w:rPr>
              <w:br/>
            </w:r>
          </w:p>
        </w:tc>
      </w:tr>
      <w:tr>
        <w:tc>
          <w:tcPr>
            <w:tcW w:w="684" w:type="dxa"/>
          </w:tcPr>
          <w:p>
            <w:pPr>
              <w:rPr>
                <w:b/>
              </w:rPr>
            </w:pPr>
            <w:r>
              <w:rPr>
                <w:b/>
              </w:rPr>
              <w:t>15</w:t>
            </w:r>
          </w:p>
        </w:tc>
        <w:tc>
          <w:tcPr>
            <w:tcW w:w="6824" w:type="dxa"/>
          </w:tcPr>
          <w:p>
            <w:pPr>
              <w:spacing w:line="276" w:lineRule="auto"/>
              <w:rPr>
                <w:rStyle w:val="TagFrZchn"/>
              </w:rPr>
            </w:pPr>
            <w:r>
              <w:rPr>
                <w:rStyle w:val="1Zchn"/>
              </w:rPr>
              <w:t>Information aus dem Lagezentrum</w:t>
            </w:r>
            <w:r>
              <w:rPr>
                <w:b/>
                <w:sz w:val="28"/>
              </w:rPr>
              <w:t xml:space="preserve"> </w:t>
            </w:r>
            <w:r>
              <w:rPr>
                <w:rStyle w:val="TagFrZchn"/>
              </w:rPr>
              <w:t>(nur freitags)</w:t>
            </w:r>
          </w:p>
          <w:p>
            <w:pPr>
              <w:pStyle w:val="Liste1"/>
            </w:pPr>
            <w:r>
              <w:t>nicht berichtet</w:t>
            </w:r>
          </w:p>
          <w:p>
            <w:pPr>
              <w:pStyle w:val="Liste1"/>
              <w:numPr>
                <w:ilvl w:val="0"/>
                <w:numId w:val="0"/>
              </w:numPr>
              <w:ind w:left="473"/>
            </w:pPr>
          </w:p>
        </w:tc>
        <w:tc>
          <w:tcPr>
            <w:tcW w:w="1463" w:type="dxa"/>
          </w:tcPr>
          <w:p>
            <w:pPr>
              <w:rPr>
                <w:sz w:val="22"/>
                <w:szCs w:val="22"/>
              </w:rPr>
            </w:pPr>
          </w:p>
          <w:p>
            <w:pPr>
              <w:rPr>
                <w:sz w:val="22"/>
                <w:szCs w:val="22"/>
              </w:rPr>
            </w:pPr>
            <w:r>
              <w:rPr>
                <w:sz w:val="22"/>
                <w:szCs w:val="22"/>
              </w:rPr>
              <w:t>FG38</w:t>
            </w:r>
            <w:r>
              <w:rPr>
                <w:sz w:val="22"/>
                <w:szCs w:val="22"/>
              </w:rPr>
              <w:br/>
            </w:r>
          </w:p>
        </w:tc>
      </w:tr>
      <w:tr>
        <w:tc>
          <w:tcPr>
            <w:tcW w:w="684" w:type="dxa"/>
          </w:tcPr>
          <w:p>
            <w:pPr>
              <w:rPr>
                <w:b/>
              </w:rPr>
            </w:pPr>
            <w:r>
              <w:rPr>
                <w:b/>
              </w:rPr>
              <w:t>16</w:t>
            </w:r>
          </w:p>
        </w:tc>
        <w:tc>
          <w:tcPr>
            <w:tcW w:w="6824" w:type="dxa"/>
          </w:tcPr>
          <w:p>
            <w:pPr>
              <w:pStyle w:val="1"/>
            </w:pPr>
            <w:r>
              <w:t>Wichtige Aufgaben und Termine</w:t>
            </w:r>
          </w:p>
          <w:p>
            <w:pPr>
              <w:pStyle w:val="Liste1"/>
            </w:pPr>
            <w:r>
              <w:rPr>
                <w:lang w:val="en-US"/>
              </w:rPr>
              <w:t>HSC meeting Mi 09.02.2022</w:t>
            </w:r>
          </w:p>
          <w:p>
            <w:pPr>
              <w:pStyle w:val="Liste1"/>
            </w:pPr>
            <w:r>
              <w:t xml:space="preserve">DCC-EU </w:t>
            </w:r>
            <w:proofErr w:type="spellStart"/>
            <w:r>
              <w:t>meeting</w:t>
            </w:r>
            <w:proofErr w:type="spellEnd"/>
            <w:r>
              <w:t xml:space="preserve"> Do 10.02.22 (für RKI J. Benzler)</w:t>
            </w:r>
          </w:p>
        </w:tc>
        <w:tc>
          <w:tcPr>
            <w:tcW w:w="1463" w:type="dxa"/>
          </w:tcPr>
          <w:p>
            <w:pPr>
              <w:rPr>
                <w:sz w:val="22"/>
                <w:szCs w:val="22"/>
              </w:rPr>
            </w:pPr>
          </w:p>
          <w:p>
            <w:pPr>
              <w:rPr>
                <w:sz w:val="22"/>
                <w:szCs w:val="22"/>
              </w:rPr>
            </w:pPr>
            <w:r>
              <w:rPr>
                <w:sz w:val="22"/>
                <w:szCs w:val="22"/>
              </w:rPr>
              <w:t>Alle</w:t>
            </w:r>
          </w:p>
          <w:p>
            <w:pPr>
              <w:rPr>
                <w:sz w:val="22"/>
                <w:szCs w:val="22"/>
              </w:rPr>
            </w:pPr>
          </w:p>
        </w:tc>
      </w:tr>
      <w:tr>
        <w:tc>
          <w:tcPr>
            <w:tcW w:w="684" w:type="dxa"/>
          </w:tcPr>
          <w:p>
            <w:pPr>
              <w:rPr>
                <w:b/>
              </w:rPr>
            </w:pPr>
            <w:r>
              <w:rPr>
                <w:b/>
              </w:rPr>
              <w:t>17</w:t>
            </w:r>
          </w:p>
        </w:tc>
        <w:tc>
          <w:tcPr>
            <w:tcW w:w="6824" w:type="dxa"/>
          </w:tcPr>
          <w:p>
            <w:pPr>
              <w:pStyle w:val="1"/>
            </w:pPr>
            <w:r>
              <w:t>Andere Themen</w:t>
            </w:r>
          </w:p>
          <w:p>
            <w:pPr>
              <w:pStyle w:val="Liste1"/>
            </w:pPr>
            <w:r>
              <w:t xml:space="preserve">Nächste Sitzung: Freitag, 11.02.202, 11:00 Uhr, via </w:t>
            </w:r>
            <w:proofErr w:type="spellStart"/>
            <w:r>
              <w:t>Webex</w:t>
            </w:r>
            <w:proofErr w:type="spellEnd"/>
            <w:r>
              <w:br/>
            </w:r>
          </w:p>
        </w:tc>
        <w:tc>
          <w:tcPr>
            <w:tcW w:w="1463" w:type="dxa"/>
          </w:tcPr>
          <w:p>
            <w:pPr>
              <w:rPr>
                <w:sz w:val="22"/>
                <w:szCs w:val="22"/>
              </w:rPr>
            </w:pPr>
          </w:p>
          <w:p>
            <w:pPr>
              <w:rPr>
                <w:sz w:val="22"/>
                <w:szCs w:val="22"/>
              </w:rPr>
            </w:pPr>
          </w:p>
          <w:p>
            <w:pPr>
              <w:rPr>
                <w:sz w:val="22"/>
                <w:szCs w:val="22"/>
              </w:rPr>
            </w:pPr>
          </w:p>
        </w:tc>
      </w:tr>
    </w:tbl>
    <w:p>
      <w:pPr>
        <w:rPr>
          <w:b/>
        </w:rPr>
      </w:pPr>
    </w:p>
    <w:p>
      <w:pPr>
        <w:rPr>
          <w:b/>
        </w:rPr>
      </w:pPr>
      <w:r>
        <w:rPr>
          <w:b/>
        </w:rPr>
        <w:t>Ende: 13:00 Uhr</w:t>
      </w:r>
    </w:p>
    <w:sectPr>
      <w:type w:val="continuous"/>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rPr>
        <w:color w:val="A6A6A6" w:themeColor="background1" w:themeShade="A6"/>
        <w:sz w:val="28"/>
      </w:rPr>
    </w:pPr>
    <w:r>
      <w:rPr>
        <w:noProof/>
        <w:color w:val="A6A6A6" w:themeColor="background1" w:themeShade="A6"/>
        <w:sz w:val="28"/>
        <w:lang w:eastAsia="de-DE"/>
      </w:rPr>
      <w:drawing>
        <wp:anchor distT="0" distB="0" distL="114300" distR="114300" simplePos="0" relativeHeight="251659264"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B31FD"/>
    <w:multiLevelType w:val="hybridMultilevel"/>
    <w:tmpl w:val="82BA95C6"/>
    <w:lvl w:ilvl="0" w:tplc="CC9044F2">
      <w:start w:val="1"/>
      <w:numFmt w:val="lowerLetter"/>
      <w:lvlText w:val="%1)"/>
      <w:lvlJc w:val="left"/>
      <w:pPr>
        <w:ind w:left="833" w:hanging="360"/>
      </w:pPr>
      <w:rPr>
        <w:rFonts w:hint="default"/>
        <w:b/>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1"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10812AE"/>
    <w:multiLevelType w:val="hybridMultilevel"/>
    <w:tmpl w:val="E9564C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CD000DBE">
      <w:start w:val="2"/>
      <w:numFmt w:val="bullet"/>
      <w:lvlText w:val="-"/>
      <w:lvlJc w:val="left"/>
      <w:pPr>
        <w:ind w:left="3600" w:hanging="360"/>
      </w:pPr>
      <w:rPr>
        <w:rFonts w:ascii="Cambria" w:eastAsiaTheme="minorHAnsi" w:hAnsi="Cambria" w:cstheme="minorBidi"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2AC5A26"/>
    <w:multiLevelType w:val="hybridMultilevel"/>
    <w:tmpl w:val="9EB4F6C8"/>
    <w:lvl w:ilvl="0" w:tplc="EB4451E8">
      <w:start w:val="1"/>
      <w:numFmt w:val="bullet"/>
      <w:pStyle w:val="Liste1"/>
      <w:lvlText w:val=""/>
      <w:lvlJc w:val="left"/>
      <w:pPr>
        <w:ind w:left="473" w:hanging="360"/>
      </w:pPr>
      <w:rPr>
        <w:rFonts w:ascii="Symbol" w:hAnsi="Symbol" w:hint="default"/>
      </w:rPr>
    </w:lvl>
    <w:lvl w:ilvl="1" w:tplc="04070003">
      <w:start w:val="1"/>
      <w:numFmt w:val="bullet"/>
      <w:pStyle w:val="Liste3"/>
      <w:lvlText w:val="o"/>
      <w:lvlJc w:val="left"/>
      <w:pPr>
        <w:ind w:left="1193" w:hanging="360"/>
      </w:pPr>
      <w:rPr>
        <w:rFonts w:ascii="Courier New" w:hAnsi="Courier New" w:cs="Courier New" w:hint="default"/>
      </w:rPr>
    </w:lvl>
    <w:lvl w:ilvl="2" w:tplc="04070005">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4" w15:restartNumberingAfterBreak="0">
    <w:nsid w:val="2B397807"/>
    <w:multiLevelType w:val="hybridMultilevel"/>
    <w:tmpl w:val="4DC03620"/>
    <w:lvl w:ilvl="0" w:tplc="D49CFACC">
      <w:start w:val="1"/>
      <w:numFmt w:val="bullet"/>
      <w:pStyle w:val="3"/>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E8C6729E">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5"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8AB08AF"/>
    <w:multiLevelType w:val="hybridMultilevel"/>
    <w:tmpl w:val="17FA2952"/>
    <w:lvl w:ilvl="0" w:tplc="1D862228">
      <w:start w:val="1"/>
      <w:numFmt w:val="bullet"/>
      <w:pStyle w:val="Liste2"/>
      <w:lvlText w:val="o"/>
      <w:lvlJc w:val="left"/>
      <w:pPr>
        <w:ind w:left="833" w:hanging="360"/>
      </w:pPr>
      <w:rPr>
        <w:rFonts w:ascii="Courier New" w:hAnsi="Courier New" w:cs="Courier New" w:hint="default"/>
        <w:color w:val="auto"/>
      </w:rPr>
    </w:lvl>
    <w:lvl w:ilvl="1" w:tplc="04070003">
      <w:start w:val="1"/>
      <w:numFmt w:val="bullet"/>
      <w:lvlText w:val="o"/>
      <w:lvlJc w:val="left"/>
      <w:pPr>
        <w:ind w:left="1553" w:hanging="360"/>
      </w:pPr>
      <w:rPr>
        <w:rFonts w:ascii="Courier New" w:hAnsi="Courier New" w:cs="Courier New" w:hint="default"/>
      </w:rPr>
    </w:lvl>
    <w:lvl w:ilvl="2" w:tplc="04070005">
      <w:start w:val="1"/>
      <w:numFmt w:val="bullet"/>
      <w:lvlText w:val=""/>
      <w:lvlJc w:val="left"/>
      <w:pPr>
        <w:ind w:left="2273" w:hanging="360"/>
      </w:pPr>
      <w:rPr>
        <w:rFonts w:ascii="Wingdings" w:hAnsi="Wingdings" w:hint="default"/>
      </w:rPr>
    </w:lvl>
    <w:lvl w:ilvl="3" w:tplc="04070001" w:tentative="1">
      <w:start w:val="1"/>
      <w:numFmt w:val="bullet"/>
      <w:lvlText w:val=""/>
      <w:lvlJc w:val="left"/>
      <w:pPr>
        <w:ind w:left="2993" w:hanging="360"/>
      </w:pPr>
      <w:rPr>
        <w:rFonts w:ascii="Symbol" w:hAnsi="Symbol" w:hint="default"/>
      </w:rPr>
    </w:lvl>
    <w:lvl w:ilvl="4" w:tplc="04070003" w:tentative="1">
      <w:start w:val="1"/>
      <w:numFmt w:val="bullet"/>
      <w:lvlText w:val="o"/>
      <w:lvlJc w:val="left"/>
      <w:pPr>
        <w:ind w:left="3713" w:hanging="360"/>
      </w:pPr>
      <w:rPr>
        <w:rFonts w:ascii="Courier New" w:hAnsi="Courier New" w:cs="Courier New" w:hint="default"/>
      </w:rPr>
    </w:lvl>
    <w:lvl w:ilvl="5" w:tplc="04070005" w:tentative="1">
      <w:start w:val="1"/>
      <w:numFmt w:val="bullet"/>
      <w:lvlText w:val=""/>
      <w:lvlJc w:val="left"/>
      <w:pPr>
        <w:ind w:left="4433" w:hanging="360"/>
      </w:pPr>
      <w:rPr>
        <w:rFonts w:ascii="Wingdings" w:hAnsi="Wingdings" w:hint="default"/>
      </w:rPr>
    </w:lvl>
    <w:lvl w:ilvl="6" w:tplc="04070001" w:tentative="1">
      <w:start w:val="1"/>
      <w:numFmt w:val="bullet"/>
      <w:lvlText w:val=""/>
      <w:lvlJc w:val="left"/>
      <w:pPr>
        <w:ind w:left="5153" w:hanging="360"/>
      </w:pPr>
      <w:rPr>
        <w:rFonts w:ascii="Symbol" w:hAnsi="Symbol" w:hint="default"/>
      </w:rPr>
    </w:lvl>
    <w:lvl w:ilvl="7" w:tplc="04070003" w:tentative="1">
      <w:start w:val="1"/>
      <w:numFmt w:val="bullet"/>
      <w:lvlText w:val="o"/>
      <w:lvlJc w:val="left"/>
      <w:pPr>
        <w:ind w:left="5873" w:hanging="360"/>
      </w:pPr>
      <w:rPr>
        <w:rFonts w:ascii="Courier New" w:hAnsi="Courier New" w:cs="Courier New" w:hint="default"/>
      </w:rPr>
    </w:lvl>
    <w:lvl w:ilvl="8" w:tplc="04070005" w:tentative="1">
      <w:start w:val="1"/>
      <w:numFmt w:val="bullet"/>
      <w:lvlText w:val=""/>
      <w:lvlJc w:val="left"/>
      <w:pPr>
        <w:ind w:left="6593" w:hanging="360"/>
      </w:pPr>
      <w:rPr>
        <w:rFonts w:ascii="Wingdings" w:hAnsi="Wingdings" w:hint="default"/>
      </w:rPr>
    </w:lvl>
  </w:abstractNum>
  <w:abstractNum w:abstractNumId="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4"/>
  </w:num>
  <w:num w:numId="6">
    <w:abstractNumId w:val="3"/>
  </w:num>
  <w:num w:numId="7">
    <w:abstractNumId w:val="6"/>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5:docId w15:val="{C649FD13-83AA-4C86-A9F1-550F242CE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customStyle="1" w:styleId="highlight">
    <w:name w:val="highlight"/>
    <w:basedOn w:val="Absatz-Standardschriftart"/>
  </w:style>
  <w:style w:type="character" w:styleId="NichtaufgelsteErwhnung">
    <w:name w:val="Unresolved Mention"/>
    <w:basedOn w:val="Absatz-Standardschriftart"/>
    <w:uiPriority w:val="99"/>
    <w:semiHidden/>
    <w:unhideWhenUsed/>
    <w:rPr>
      <w:color w:val="605E5C"/>
      <w:shd w:val="clear" w:color="auto" w:fill="E1DFDD"/>
    </w:rPr>
  </w:style>
  <w:style w:type="paragraph" w:customStyle="1" w:styleId="1">
    <w:name w:val="Ü1"/>
    <w:basedOn w:val="Standard"/>
    <w:link w:val="1Zchn"/>
    <w:qFormat/>
    <w:pPr>
      <w:spacing w:after="120" w:line="276" w:lineRule="auto"/>
    </w:pPr>
    <w:rPr>
      <w:b/>
      <w:sz w:val="28"/>
    </w:rPr>
  </w:style>
  <w:style w:type="paragraph" w:customStyle="1" w:styleId="2">
    <w:name w:val="Ü2"/>
    <w:basedOn w:val="Standard"/>
    <w:link w:val="2Zchn"/>
    <w:qFormat/>
    <w:pPr>
      <w:spacing w:before="120" w:after="120" w:line="276" w:lineRule="auto"/>
    </w:pPr>
    <w:rPr>
      <w:b/>
    </w:rPr>
  </w:style>
  <w:style w:type="character" w:customStyle="1" w:styleId="1Zchn">
    <w:name w:val="Ü1 Zchn"/>
    <w:basedOn w:val="Absatz-Standardschriftart"/>
    <w:link w:val="1"/>
    <w:rPr>
      <w:b/>
      <w:sz w:val="28"/>
    </w:rPr>
  </w:style>
  <w:style w:type="paragraph" w:customStyle="1" w:styleId="3">
    <w:name w:val="Ü3"/>
    <w:basedOn w:val="Listenabsatz"/>
    <w:link w:val="3Zchn"/>
    <w:qFormat/>
    <w:pPr>
      <w:numPr>
        <w:numId w:val="5"/>
      </w:numPr>
      <w:spacing w:before="120" w:after="0"/>
    </w:pPr>
    <w:rPr>
      <w:b/>
      <w:sz w:val="22"/>
      <w:szCs w:val="22"/>
    </w:rPr>
  </w:style>
  <w:style w:type="character" w:customStyle="1" w:styleId="2Zchn">
    <w:name w:val="Ü2 Zchn"/>
    <w:basedOn w:val="Absatz-Standardschriftart"/>
    <w:link w:val="2"/>
    <w:rPr>
      <w:b/>
    </w:rPr>
  </w:style>
  <w:style w:type="paragraph" w:customStyle="1" w:styleId="Liste1">
    <w:name w:val="Liste1"/>
    <w:basedOn w:val="Listenabsatz"/>
    <w:link w:val="Liste1Zchn"/>
    <w:qFormat/>
    <w:pPr>
      <w:numPr>
        <w:numId w:val="6"/>
      </w:numPr>
      <w:spacing w:after="0"/>
    </w:pPr>
    <w:rPr>
      <w:sz w:val="22"/>
      <w:szCs w:val="22"/>
    </w:rPr>
  </w:style>
  <w:style w:type="character" w:customStyle="1" w:styleId="3Zchn">
    <w:name w:val="Ü3 Zchn"/>
    <w:basedOn w:val="Absatz-Standardschriftart"/>
    <w:link w:val="3"/>
    <w:rPr>
      <w:b/>
      <w:sz w:val="22"/>
      <w:szCs w:val="22"/>
    </w:rPr>
  </w:style>
  <w:style w:type="paragraph" w:customStyle="1" w:styleId="Liste2">
    <w:name w:val="Liste2"/>
    <w:basedOn w:val="Listenabsatz"/>
    <w:link w:val="Liste2Zchn"/>
    <w:qFormat/>
    <w:pPr>
      <w:numPr>
        <w:numId w:val="7"/>
      </w:numPr>
      <w:spacing w:after="0"/>
    </w:pPr>
    <w:rPr>
      <w:sz w:val="22"/>
      <w:szCs w:val="22"/>
      <w:lang w:val="en-GB"/>
    </w:rPr>
  </w:style>
  <w:style w:type="character" w:customStyle="1" w:styleId="Liste1Zchn">
    <w:name w:val="Liste1 Zchn"/>
    <w:basedOn w:val="ListenabsatzZchn"/>
    <w:link w:val="Liste1"/>
    <w:rPr>
      <w:sz w:val="22"/>
      <w:szCs w:val="22"/>
    </w:rPr>
  </w:style>
  <w:style w:type="paragraph" w:customStyle="1" w:styleId="Liste3">
    <w:name w:val="Liste3"/>
    <w:basedOn w:val="Listenabsatz"/>
    <w:link w:val="Liste3Zchn"/>
    <w:qFormat/>
    <w:pPr>
      <w:numPr>
        <w:ilvl w:val="1"/>
        <w:numId w:val="6"/>
      </w:numPr>
      <w:spacing w:after="0"/>
    </w:pPr>
    <w:rPr>
      <w:sz w:val="22"/>
      <w:szCs w:val="22"/>
    </w:rPr>
  </w:style>
  <w:style w:type="character" w:customStyle="1" w:styleId="Liste2Zchn">
    <w:name w:val="Liste2 Zchn"/>
    <w:basedOn w:val="ListenabsatzZchn"/>
    <w:link w:val="Liste2"/>
    <w:rPr>
      <w:sz w:val="22"/>
      <w:szCs w:val="22"/>
      <w:lang w:val="en-GB"/>
    </w:rPr>
  </w:style>
  <w:style w:type="paragraph" w:customStyle="1" w:styleId="TagFr">
    <w:name w:val="Tag_Fr"/>
    <w:basedOn w:val="Standard"/>
    <w:link w:val="TagFrZchn"/>
    <w:qFormat/>
    <w:pPr>
      <w:spacing w:after="120" w:line="276" w:lineRule="auto"/>
    </w:pPr>
    <w:rPr>
      <w:b/>
      <w:i/>
      <w:color w:val="8DB3E2" w:themeColor="text2" w:themeTint="66"/>
      <w:sz w:val="22"/>
      <w:szCs w:val="22"/>
    </w:rPr>
  </w:style>
  <w:style w:type="character" w:customStyle="1" w:styleId="Liste3Zchn">
    <w:name w:val="Liste3 Zchn"/>
    <w:basedOn w:val="ListenabsatzZchn"/>
    <w:link w:val="Liste3"/>
    <w:rPr>
      <w:sz w:val="22"/>
      <w:szCs w:val="22"/>
    </w:rPr>
  </w:style>
  <w:style w:type="paragraph" w:customStyle="1" w:styleId="TagMi">
    <w:name w:val="Tag_Mi"/>
    <w:basedOn w:val="Standard"/>
    <w:link w:val="TagMiZchn"/>
    <w:qFormat/>
    <w:pPr>
      <w:spacing w:after="0"/>
      <w:ind w:left="113"/>
    </w:pPr>
    <w:rPr>
      <w:b/>
      <w:i/>
      <w:color w:val="D99594" w:themeColor="accent2" w:themeTint="99"/>
    </w:rPr>
  </w:style>
  <w:style w:type="character" w:customStyle="1" w:styleId="TagFrZchn">
    <w:name w:val="Tag_Fr Zchn"/>
    <w:basedOn w:val="Absatz-Standardschriftart"/>
    <w:link w:val="TagFr"/>
    <w:rPr>
      <w:b/>
      <w:i/>
      <w:color w:val="8DB3E2" w:themeColor="text2" w:themeTint="66"/>
      <w:sz w:val="22"/>
      <w:szCs w:val="22"/>
    </w:rPr>
  </w:style>
  <w:style w:type="paragraph" w:customStyle="1" w:styleId="TagMo">
    <w:name w:val="Tag_Mo"/>
    <w:basedOn w:val="Standard"/>
    <w:link w:val="TagMoZchn"/>
    <w:qFormat/>
    <w:pPr>
      <w:spacing w:after="0" w:line="276" w:lineRule="auto"/>
    </w:pPr>
    <w:rPr>
      <w:b/>
      <w:i/>
      <w:color w:val="C2D69B" w:themeColor="accent3" w:themeTint="99"/>
    </w:rPr>
  </w:style>
  <w:style w:type="character" w:customStyle="1" w:styleId="TagMiZchn">
    <w:name w:val="Tag_Mi Zchn"/>
    <w:basedOn w:val="ListenabsatzZchn"/>
    <w:link w:val="TagMi"/>
    <w:rPr>
      <w:b/>
      <w:i/>
      <w:color w:val="D99594" w:themeColor="accent2" w:themeTint="99"/>
    </w:rPr>
  </w:style>
  <w:style w:type="paragraph" w:customStyle="1" w:styleId="ToDo">
    <w:name w:val="ToDo"/>
    <w:basedOn w:val="Standard"/>
    <w:link w:val="ToDoZchn"/>
    <w:qFormat/>
    <w:pPr>
      <w:spacing w:before="120" w:after="120"/>
    </w:pPr>
    <w:rPr>
      <w:i/>
      <w:sz w:val="22"/>
      <w:szCs w:val="22"/>
    </w:rPr>
  </w:style>
  <w:style w:type="character" w:customStyle="1" w:styleId="TagMoZchn">
    <w:name w:val="Tag_Mo Zchn"/>
    <w:basedOn w:val="Absatz-Standardschriftart"/>
    <w:link w:val="TagMo"/>
    <w:rPr>
      <w:b/>
      <w:i/>
      <w:color w:val="C2D69B" w:themeColor="accent3" w:themeTint="99"/>
    </w:rPr>
  </w:style>
  <w:style w:type="character" w:customStyle="1" w:styleId="ToDoZchn">
    <w:name w:val="ToDo Zchn"/>
    <w:basedOn w:val="Absatz-Standardschriftart"/>
    <w:link w:val="ToDo"/>
    <w:rPr>
      <w:i/>
      <w:sz w:val="22"/>
      <w:szCs w:val="22"/>
    </w:rPr>
  </w:style>
  <w:style w:type="paragraph" w:styleId="StandardWeb">
    <w:name w:val="Normal (Web)"/>
    <w:basedOn w:val="Standard"/>
    <w:uiPriority w:val="99"/>
    <w:semiHidden/>
    <w:unhideWhenUsed/>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211531">
      <w:bodyDiv w:val="1"/>
      <w:marLeft w:val="0"/>
      <w:marRight w:val="0"/>
      <w:marTop w:val="0"/>
      <w:marBottom w:val="0"/>
      <w:divBdr>
        <w:top w:val="none" w:sz="0" w:space="0" w:color="auto"/>
        <w:left w:val="none" w:sz="0" w:space="0" w:color="auto"/>
        <w:bottom w:val="none" w:sz="0" w:space="0" w:color="auto"/>
        <w:right w:val="none" w:sz="0" w:space="0" w:color="auto"/>
      </w:divBdr>
    </w:div>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426848352">
      <w:bodyDiv w:val="1"/>
      <w:marLeft w:val="0"/>
      <w:marRight w:val="0"/>
      <w:marTop w:val="0"/>
      <w:marBottom w:val="0"/>
      <w:divBdr>
        <w:top w:val="none" w:sz="0" w:space="0" w:color="auto"/>
        <w:left w:val="none" w:sz="0" w:space="0" w:color="auto"/>
        <w:bottom w:val="none" w:sz="0" w:space="0" w:color="auto"/>
        <w:right w:val="none" w:sz="0" w:space="0" w:color="auto"/>
      </w:divBdr>
      <w:divsChild>
        <w:div w:id="559906721">
          <w:marLeft w:val="360"/>
          <w:marRight w:val="0"/>
          <w:marTop w:val="120"/>
          <w:marBottom w:val="0"/>
          <w:divBdr>
            <w:top w:val="none" w:sz="0" w:space="0" w:color="auto"/>
            <w:left w:val="none" w:sz="0" w:space="0" w:color="auto"/>
            <w:bottom w:val="none" w:sz="0" w:space="0" w:color="auto"/>
            <w:right w:val="none" w:sz="0" w:space="0" w:color="auto"/>
          </w:divBdr>
        </w:div>
        <w:div w:id="1940941507">
          <w:marLeft w:val="360"/>
          <w:marRight w:val="0"/>
          <w:marTop w:val="120"/>
          <w:marBottom w:val="0"/>
          <w:divBdr>
            <w:top w:val="none" w:sz="0" w:space="0" w:color="auto"/>
            <w:left w:val="none" w:sz="0" w:space="0" w:color="auto"/>
            <w:bottom w:val="none" w:sz="0" w:space="0" w:color="auto"/>
            <w:right w:val="none" w:sz="0" w:space="0" w:color="auto"/>
          </w:divBdr>
        </w:div>
        <w:div w:id="1676105728">
          <w:marLeft w:val="360"/>
          <w:marRight w:val="0"/>
          <w:marTop w:val="120"/>
          <w:marBottom w:val="0"/>
          <w:divBdr>
            <w:top w:val="none" w:sz="0" w:space="0" w:color="auto"/>
            <w:left w:val="none" w:sz="0" w:space="0" w:color="auto"/>
            <w:bottom w:val="none" w:sz="0" w:space="0" w:color="auto"/>
            <w:right w:val="none" w:sz="0" w:space="0" w:color="auto"/>
          </w:divBdr>
        </w:div>
      </w:divsChild>
    </w:div>
    <w:div w:id="461774802">
      <w:bodyDiv w:val="1"/>
      <w:marLeft w:val="0"/>
      <w:marRight w:val="0"/>
      <w:marTop w:val="0"/>
      <w:marBottom w:val="0"/>
      <w:divBdr>
        <w:top w:val="none" w:sz="0" w:space="0" w:color="auto"/>
        <w:left w:val="none" w:sz="0" w:space="0" w:color="auto"/>
        <w:bottom w:val="none" w:sz="0" w:space="0" w:color="auto"/>
        <w:right w:val="none" w:sz="0" w:space="0" w:color="auto"/>
      </w:divBdr>
    </w:div>
    <w:div w:id="550120662">
      <w:bodyDiv w:val="1"/>
      <w:marLeft w:val="0"/>
      <w:marRight w:val="0"/>
      <w:marTop w:val="0"/>
      <w:marBottom w:val="0"/>
      <w:divBdr>
        <w:top w:val="none" w:sz="0" w:space="0" w:color="auto"/>
        <w:left w:val="none" w:sz="0" w:space="0" w:color="auto"/>
        <w:bottom w:val="none" w:sz="0" w:space="0" w:color="auto"/>
        <w:right w:val="none" w:sz="0" w:space="0" w:color="auto"/>
      </w:divBdr>
    </w:div>
    <w:div w:id="609168675">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45946530">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2443319">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033925607">
      <w:bodyDiv w:val="1"/>
      <w:marLeft w:val="0"/>
      <w:marRight w:val="0"/>
      <w:marTop w:val="0"/>
      <w:marBottom w:val="0"/>
      <w:divBdr>
        <w:top w:val="none" w:sz="0" w:space="0" w:color="auto"/>
        <w:left w:val="none" w:sz="0" w:space="0" w:color="auto"/>
        <w:bottom w:val="none" w:sz="0" w:space="0" w:color="auto"/>
        <w:right w:val="none" w:sz="0" w:space="0" w:color="auto"/>
      </w:divBdr>
    </w:div>
    <w:div w:id="1064986588">
      <w:bodyDiv w:val="1"/>
      <w:marLeft w:val="0"/>
      <w:marRight w:val="0"/>
      <w:marTop w:val="0"/>
      <w:marBottom w:val="0"/>
      <w:divBdr>
        <w:top w:val="none" w:sz="0" w:space="0" w:color="auto"/>
        <w:left w:val="none" w:sz="0" w:space="0" w:color="auto"/>
        <w:bottom w:val="none" w:sz="0" w:space="0" w:color="auto"/>
        <w:right w:val="none" w:sz="0" w:space="0" w:color="auto"/>
      </w:divBdr>
    </w:div>
    <w:div w:id="1089737047">
      <w:bodyDiv w:val="1"/>
      <w:marLeft w:val="0"/>
      <w:marRight w:val="0"/>
      <w:marTop w:val="0"/>
      <w:marBottom w:val="0"/>
      <w:divBdr>
        <w:top w:val="none" w:sz="0" w:space="0" w:color="auto"/>
        <w:left w:val="none" w:sz="0" w:space="0" w:color="auto"/>
        <w:bottom w:val="none" w:sz="0" w:space="0" w:color="auto"/>
        <w:right w:val="none" w:sz="0" w:space="0" w:color="auto"/>
      </w:divBdr>
    </w:div>
    <w:div w:id="1168449682">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22180725">
      <w:bodyDiv w:val="1"/>
      <w:marLeft w:val="0"/>
      <w:marRight w:val="0"/>
      <w:marTop w:val="0"/>
      <w:marBottom w:val="0"/>
      <w:divBdr>
        <w:top w:val="none" w:sz="0" w:space="0" w:color="auto"/>
        <w:left w:val="none" w:sz="0" w:space="0" w:color="auto"/>
        <w:bottom w:val="none" w:sz="0" w:space="0" w:color="auto"/>
        <w:right w:val="none" w:sz="0" w:space="0" w:color="auto"/>
      </w:divBdr>
    </w:div>
    <w:div w:id="205889008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rki.local\daten\Wissdaten\RKI_nCoV-Lage\1.Lagemanagement\1.3.Besprechungen_TKs\1.Lage_AG\2022-02-02_Lage-AG\VOC20220202_LageAG_sk.ppt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rki.local\daten\Wissdaten\RKI_nCoV-Lage\1.Lagemanagement\1.3.Besprechungen_TKs\1.Lage_AG\2022-02-09_Lage-AG\Testzahlerfassung%20am%20RKI_2022_02-09.pptx" TargetMode="External"/><Relationship Id="rId2" Type="http://schemas.openxmlformats.org/officeDocument/2006/relationships/numbering" Target="numbering.xml"/><Relationship Id="rId16" Type="http://schemas.openxmlformats.org/officeDocument/2006/relationships/hyperlink" Target="file:///\\rki.local\daten\Wissdaten\RKI_nCoV-Lage\1.Lagemanagement\1.3.Besprechungen_TKs\1.Lage_AG\2022-02-09_Lage-AG\syndrom-ARE-SARI-COVID_bis_KW05_2021_f&#252;r-Krisenstab.pptx" TargetMode="External"/><Relationship Id="rId20" Type="http://schemas.openxmlformats.org/officeDocument/2006/relationships/hyperlink" Target="file:///\\rki.local\daten\Wissdaten\RKI_nCoV-Lage\1.Lagemanagement\1.3.Besprechungen_TKs\1.Lage_AG\2022-02-09_Lage-AG\ControlCOVID-2022-02-09_Kommentare_clea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file:///\\rki.local\daten\Wissdaten\RKI_nCoV-Lage\1.Lagemanagement\1.3.Besprechungen_TKs\1.Lage_AG\2022-02-09_Lage-AG\2022-02-09_Intensivregister_SPoCK.pptx"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file:///\\rki.local\daten\Wissdaten\RKI_nCoV-Lage\1.Lagemanagement\1.3.Besprechungen_TKs\1.Lage_AG\2022-02-09_Lage-AG\Risikobewertung%20zu%20COVID-2022-02-07_&#220;berarbeitungsvorschlag_&#196;a.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rki.local\daten\Wissdaten\RKI_nCoV-Lage\1.Lagemanagement\1.3.Besprechungen_TKs\1.Lage_AG\2022-02-09_Lage-AG\LageNational_2022-02-09.pptx"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F72CFD-9C90-4B8B-AAAD-26944B92C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2227</Words>
  <Characters>14035</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Schöll, Meike</cp:lastModifiedBy>
  <cp:revision>5</cp:revision>
  <cp:lastPrinted>2020-05-06T16:43:00Z</cp:lastPrinted>
  <dcterms:created xsi:type="dcterms:W3CDTF">2022-02-09T20:16:00Z</dcterms:created>
  <dcterms:modified xsi:type="dcterms:W3CDTF">2022-02-09T20:35:00Z</dcterms:modified>
</cp:coreProperties>
</file>