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Wochentag, 11.02.2022,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Lars Schaade / Osamah Hamouda</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Esther-Maria Antão</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20"/>
        </w:numPr>
        <w:spacing w:after="0"/>
        <w:rPr>
          <w:sz w:val="22"/>
          <w:szCs w:val="22"/>
        </w:rPr>
      </w:pPr>
      <w:r>
        <w:rPr>
          <w:sz w:val="22"/>
          <w:szCs w:val="22"/>
        </w:rPr>
        <w:t xml:space="preserve">FG 16 </w:t>
      </w:r>
    </w:p>
    <w:p>
      <w:pPr>
        <w:pStyle w:val="Listenabsatz"/>
        <w:numPr>
          <w:ilvl w:val="1"/>
          <w:numId w:val="20"/>
        </w:numPr>
        <w:spacing w:after="0"/>
        <w:rPr>
          <w:sz w:val="22"/>
          <w:szCs w:val="22"/>
          <w:highlight w:val="yellow"/>
        </w:rPr>
      </w:pPr>
      <w:r>
        <w:rPr>
          <w:sz w:val="22"/>
          <w:szCs w:val="22"/>
          <w:highlight w:val="yellow"/>
        </w:rPr>
        <w:t>?</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Hauer Barbara</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Silke Buda</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Maria an der Heiden</w:t>
      </w:r>
    </w:p>
    <w:p>
      <w:pPr>
        <w:pStyle w:val="Listenabsatz"/>
        <w:numPr>
          <w:ilvl w:val="1"/>
          <w:numId w:val="2"/>
        </w:numPr>
        <w:spacing w:after="0"/>
        <w:contextualSpacing w:val="0"/>
        <w:rPr>
          <w:sz w:val="22"/>
          <w:szCs w:val="22"/>
        </w:rPr>
      </w:pPr>
      <w:r>
        <w:rPr>
          <w:sz w:val="22"/>
          <w:szCs w:val="22"/>
        </w:rPr>
        <w:t>Petra v. Berenberg (Protokoll)</w:t>
      </w:r>
    </w:p>
    <w:p>
      <w:pPr>
        <w:pStyle w:val="Listenabsatz"/>
        <w:numPr>
          <w:ilvl w:val="1"/>
          <w:numId w:val="2"/>
        </w:numPr>
        <w:spacing w:after="0"/>
        <w:contextualSpacing w:val="0"/>
        <w:rPr>
          <w:sz w:val="22"/>
          <w:szCs w:val="22"/>
        </w:rPr>
      </w:pPr>
      <w:r>
        <w:rPr>
          <w:sz w:val="22"/>
          <w:szCs w:val="22"/>
        </w:rPr>
        <w:t>Amrei Wolter</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rPr>
          <w:sz w:val="22"/>
        </w:rPr>
      </w:pPr>
      <w:r>
        <w:rPr>
          <w:sz w:val="22"/>
        </w:rPr>
        <w:t xml:space="preserve">Susanne Gottwald </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Mikheil</w:t>
      </w:r>
      <w:bookmarkStart w:id="0" w:name="_GoBack"/>
      <w:bookmarkEnd w:id="0"/>
      <w:r>
        <w:rPr>
          <w:sz w:val="22"/>
          <w:szCs w:val="22"/>
        </w:rPr>
        <w:t xml:space="preserve"> Popkhadze</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Regina Singer</w:t>
      </w:r>
    </w:p>
    <w:p>
      <w:pPr>
        <w:pStyle w:val="Listenabsatz"/>
        <w:numPr>
          <w:ilvl w:val="1"/>
          <w:numId w:val="2"/>
        </w:numPr>
        <w:spacing w:after="0"/>
        <w:contextualSpacing w:val="0"/>
        <w:rPr>
          <w:rStyle w:val="highlight"/>
          <w:sz w:val="22"/>
          <w:szCs w:val="22"/>
        </w:rPr>
      </w:pPr>
      <w:r>
        <w:rPr>
          <w:rStyle w:val="highlight"/>
          <w:sz w:val="22"/>
          <w:szCs w:val="22"/>
        </w:rPr>
        <w:t>Carlos Correa-Martinez</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Martin Dietrich</w:t>
      </w:r>
    </w:p>
    <w:p>
      <w:pPr>
        <w:spacing w:after="0"/>
        <w:rPr>
          <w:sz w:val="22"/>
        </w:rPr>
        <w:sectPr>
          <w:headerReference w:type="even" r:id="rId14"/>
          <w:headerReference w:type="default" r:id="rId15"/>
          <w:footerReference w:type="even" r:id="rId16"/>
          <w:footerReference w:type="default" r:id="rId17"/>
          <w:headerReference w:type="first" r:id="rId18"/>
          <w:footerReference w:type="first" r:id="rId19"/>
          <w:type w:val="continuous"/>
          <w:pgSz w:w="11900" w:h="16840"/>
          <w:pgMar w:top="1440" w:right="1800" w:bottom="1440" w:left="1800" w:header="708" w:footer="708" w:gutter="0"/>
          <w:cols w:num="2" w:space="560"/>
        </w:sectPr>
      </w:pPr>
      <w:r>
        <w:rPr>
          <w:sz w:val="22"/>
        </w:rPr>
        <w:t xml:space="preserve">   </w:t>
      </w: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b/>
                <w:i/>
                <w:color w:val="8DB3E2" w:themeColor="text2" w:themeTint="66"/>
                <w:sz w:val="22"/>
                <w:szCs w:val="22"/>
              </w:rPr>
            </w:pPr>
            <w:r>
              <w:rPr>
                <w:rStyle w:val="2Zchn"/>
                <w:sz w:val="22"/>
                <w:szCs w:val="22"/>
              </w:rPr>
              <w:t>International</w:t>
            </w:r>
            <w:r>
              <w:rPr>
                <w:b/>
                <w:sz w:val="22"/>
                <w:szCs w:val="22"/>
              </w:rPr>
              <w:t xml:space="preserve"> </w:t>
            </w:r>
            <w:r>
              <w:rPr>
                <w:rStyle w:val="TagFrZchn"/>
              </w:rPr>
              <w:t>(nur freitags)</w:t>
            </w:r>
          </w:p>
          <w:p>
            <w:pPr>
              <w:pStyle w:val="Liste2"/>
            </w:pPr>
            <w:proofErr w:type="spellStart"/>
            <w:r>
              <w:t>Weltweit</w:t>
            </w:r>
            <w:proofErr w:type="spellEnd"/>
            <w:r>
              <w:t xml:space="preserve">: </w:t>
            </w:r>
            <w:proofErr w:type="spellStart"/>
            <w:r>
              <w:t>Folien</w:t>
            </w:r>
            <w:proofErr w:type="spellEnd"/>
            <w:r>
              <w:t xml:space="preserve"> </w:t>
            </w:r>
            <w:hyperlink r:id="rId20" w:history="1">
              <w:proofErr w:type="spellStart"/>
              <w:r>
                <w:rPr>
                  <w:rStyle w:val="Hyperlink"/>
                </w:rPr>
                <w:t>hier</w:t>
              </w:r>
              <w:proofErr w:type="spellEnd"/>
            </w:hyperlink>
            <w:r>
              <w:t xml:space="preserve"> </w:t>
            </w:r>
          </w:p>
          <w:p>
            <w:pPr>
              <w:pStyle w:val="Liste2"/>
            </w:pPr>
            <w:proofErr w:type="spellStart"/>
            <w:r>
              <w:t>Datenstand</w:t>
            </w:r>
            <w:proofErr w:type="spellEnd"/>
            <w:r>
              <w:t xml:space="preserve">: WHO, </w:t>
            </w:r>
            <w:r>
              <w:rPr>
                <w:i/>
                <w:iCs/>
                <w:lang w:val="de-DE"/>
              </w:rPr>
              <w:t>06.02.2022</w:t>
            </w:r>
          </w:p>
          <w:p>
            <w:pPr>
              <w:pStyle w:val="Liste2"/>
              <w:rPr>
                <w:lang w:val="de-DE"/>
              </w:rPr>
            </w:pPr>
            <w:r>
              <w:rPr>
                <w:lang w:val="de-DE"/>
              </w:rPr>
              <w:lastRenderedPageBreak/>
              <w:t>Auf globaler Ebene Fallzahlabnahme um 17.6% im Vgl. zur Vorwoche, Abnahme v.a. in Nordamerika, Afrika, Südostasien, Westeuropa</w:t>
            </w:r>
          </w:p>
          <w:p>
            <w:pPr>
              <w:pStyle w:val="Liste2"/>
              <w:rPr>
                <w:lang w:val="de-DE"/>
              </w:rPr>
            </w:pPr>
            <w:r>
              <w:rPr>
                <w:lang w:val="de-DE"/>
              </w:rPr>
              <w:t>Starke Zunahme in EMRO, v.a. Iran, Jordanien, Palästinensische Gebiete</w:t>
            </w:r>
          </w:p>
          <w:p>
            <w:pPr>
              <w:pStyle w:val="Liste2"/>
              <w:rPr>
                <w:lang w:val="de-DE"/>
              </w:rPr>
            </w:pPr>
            <w:r>
              <w:rPr>
                <w:lang w:val="de-DE"/>
              </w:rPr>
              <w:t xml:space="preserve">Anstieg der Anzahl Verstorbener global um 7% </w:t>
            </w:r>
          </w:p>
          <w:p>
            <w:pPr>
              <w:pStyle w:val="Liste2"/>
              <w:rPr>
                <w:lang w:val="de-DE"/>
              </w:rPr>
            </w:pPr>
            <w:r>
              <w:rPr>
                <w:lang w:val="de-DE"/>
              </w:rPr>
              <w:t>Maßnahmen in DK, DE und UK</w:t>
            </w:r>
          </w:p>
          <w:p>
            <w:pPr>
              <w:pStyle w:val="Liste3"/>
            </w:pPr>
            <w:r>
              <w:t>Dänemark:  Lockerungen seit 01.02.2022, BA.2 85%</w:t>
            </w:r>
          </w:p>
          <w:p>
            <w:pPr>
              <w:pStyle w:val="Liste3"/>
            </w:pPr>
            <w:r>
              <w:t>UK seit 27.01.2022, BA.2 7%</w:t>
            </w:r>
          </w:p>
          <w:p>
            <w:pPr>
              <w:pStyle w:val="Liste3"/>
              <w:rPr>
                <w:lang w:val="en-US"/>
              </w:rPr>
            </w:pPr>
            <w:r>
              <w:rPr>
                <w:lang w:val="en-US"/>
              </w:rPr>
              <w:t xml:space="preserve">COVID-19 Stringency-Index: DE 87,96 Punkte, DK 16,67, UK 42,13  </w:t>
            </w:r>
          </w:p>
          <w:p>
            <w:pPr>
              <w:pStyle w:val="Liste2"/>
              <w:rPr>
                <w:lang w:val="de-DE"/>
              </w:rPr>
            </w:pPr>
            <w:r>
              <w:rPr>
                <w:lang w:val="de-DE"/>
              </w:rPr>
              <w:t>COVID-19 Fälle, Krankenhaus-, ITS-Belegung und Todesfälle in DE, DK und UK</w:t>
            </w:r>
          </w:p>
          <w:p>
            <w:pPr>
              <w:pStyle w:val="Liste3"/>
            </w:pPr>
            <w:r>
              <w:t>Fallzahlen: Plateau in DK, Abnahme in UK</w:t>
            </w:r>
          </w:p>
          <w:p>
            <w:pPr>
              <w:pStyle w:val="Liste3"/>
            </w:pPr>
            <w:r>
              <w:t>KH-Aufnahmen: Anstieg in DK und DE, Abnahme in UK</w:t>
            </w:r>
          </w:p>
          <w:p>
            <w:pPr>
              <w:pStyle w:val="Liste3"/>
            </w:pPr>
            <w:r>
              <w:t>Intensiv-Behandlung: Abnahme in DK und UK, Anstieg DE</w:t>
            </w:r>
          </w:p>
          <w:p>
            <w:pPr>
              <w:pStyle w:val="Liste3"/>
            </w:pPr>
            <w:r>
              <w:t>Todesfälle: Keine großen Unterschiede zwischen den Ländern</w:t>
            </w:r>
          </w:p>
          <w:p>
            <w:pPr>
              <w:pStyle w:val="Liste3"/>
            </w:pPr>
            <w:r>
              <w:t>Cave: Daten zur Krankheitsschwere aus UK und DE nur bedingt vergleichbar (s. Zusammenfassung)</w:t>
            </w:r>
          </w:p>
          <w:p>
            <w:pPr>
              <w:pStyle w:val="Liste2"/>
              <w:rPr>
                <w:lang w:val="de-DE"/>
              </w:rPr>
            </w:pPr>
            <w:r>
              <w:rPr>
                <w:lang w:val="de-DE"/>
              </w:rPr>
              <w:t>Maßnahmen DK</w:t>
            </w:r>
          </w:p>
          <w:p>
            <w:pPr>
              <w:pStyle w:val="Liste3"/>
            </w:pPr>
            <w:r>
              <w:t>Fokus auf Personen mit erhöhtem Risiko für schweren Verlauf und med. Personal</w:t>
            </w:r>
          </w:p>
          <w:p>
            <w:pPr>
              <w:pStyle w:val="Liste3"/>
            </w:pPr>
            <w:r>
              <w:t>MNS und COVID-Pass im Krankenhaus und Pflegeheime sowie MNS in Flughafen (vorher auch im ÖPNV, Geschäften und Restaurants)</w:t>
            </w:r>
          </w:p>
          <w:p>
            <w:pPr>
              <w:pStyle w:val="Liste3"/>
            </w:pPr>
            <w:r>
              <w:t>MNS und COVID-Pass freiwillig für Veranstaltungen, Hotels, Bars etc.</w:t>
            </w:r>
          </w:p>
          <w:p>
            <w:pPr>
              <w:pStyle w:val="Liste3"/>
            </w:pPr>
            <w:r>
              <w:t>Weiterhin Empfohlen AHA-L empfohlen</w:t>
            </w:r>
          </w:p>
          <w:p>
            <w:pPr>
              <w:pStyle w:val="Liste3"/>
            </w:pPr>
            <w:r>
              <w:t>Krankenhauseinweisungen steigen auch psychiatrische Einweisungen)</w:t>
            </w:r>
          </w:p>
          <w:p>
            <w:pPr>
              <w:pStyle w:val="Liste3"/>
            </w:pPr>
            <w:r>
              <w:t>Anteil der Aufnahmen wegen COVID-19 sinkt, Anteil Aufnahmen wegen anderer Diagnosen nimmt zu</w:t>
            </w:r>
          </w:p>
          <w:p>
            <w:pPr>
              <w:pStyle w:val="Liste2"/>
              <w:rPr>
                <w:lang w:val="de-DE"/>
              </w:rPr>
            </w:pPr>
            <w:r>
              <w:rPr>
                <w:lang w:val="de-DE"/>
              </w:rPr>
              <w:t>Maßnahmen UK</w:t>
            </w:r>
          </w:p>
          <w:p>
            <w:pPr>
              <w:pStyle w:val="Liste3"/>
            </w:pPr>
            <w:r>
              <w:t>NHS COVID Pass nicht mehr verpflichtend</w:t>
            </w:r>
          </w:p>
          <w:p>
            <w:pPr>
              <w:pStyle w:val="Liste3"/>
            </w:pPr>
            <w:r>
              <w:t>Masken: nicht mehr verpflichtend in Innenräumen, empfohlen bei Ansammlungen, erforderlich in Gesundheitseinrichtungen und Apotheken</w:t>
            </w:r>
          </w:p>
          <w:p>
            <w:pPr>
              <w:pStyle w:val="Liste3"/>
            </w:pPr>
            <w:r>
              <w:t xml:space="preserve">Isolation (seit 17.01.22): 10 Tage ohne neg. Test </w:t>
            </w:r>
            <w:r>
              <w:rPr>
                <w:b/>
                <w:bCs/>
                <w:i/>
                <w:iCs/>
              </w:rPr>
              <w:t>oder</w:t>
            </w:r>
            <w:r>
              <w:t xml:space="preserve"> 5 Tage bei neg. Schnelltest an Tag 5 und 6</w:t>
            </w:r>
          </w:p>
          <w:p>
            <w:pPr>
              <w:pStyle w:val="Liste3"/>
            </w:pPr>
            <w:r>
              <w:t>Aktuelle Diskussion, alle Maßnahmen einen Monat früher aufzuheben (24.2. statt 24.3.), inkl. Isolation bei pos. Test</w:t>
            </w:r>
          </w:p>
          <w:p>
            <w:pPr>
              <w:pStyle w:val="Liste2"/>
            </w:pPr>
            <w:r>
              <w:t>Zusammenfassung</w:t>
            </w:r>
          </w:p>
          <w:p>
            <w:pPr>
              <w:pStyle w:val="Liste3"/>
            </w:pPr>
            <w:r>
              <w:t>Änderungen in Teststrategie bzw. Falldefinition in UK und DK – möglicher Effekt auf Fallzahlentwicklung</w:t>
            </w:r>
          </w:p>
          <w:p>
            <w:pPr>
              <w:pStyle w:val="Liste3"/>
            </w:pPr>
            <w:r>
              <w:t>UK: Maßnahmenlockerung + niedriger BA.2 Anteil -&gt; leichter Rückgang der Fallzahlen seit 27.1.</w:t>
            </w:r>
          </w:p>
          <w:p>
            <w:pPr>
              <w:pStyle w:val="Liste3"/>
            </w:pPr>
            <w:r>
              <w:t>Dänemark: Maßnahmenlockerung + hoher BA.2 Anteil -&gt; Plateau der Fallzahlen</w:t>
            </w:r>
          </w:p>
          <w:p>
            <w:pPr>
              <w:pStyle w:val="Liste3"/>
            </w:pPr>
            <w:r>
              <w:t>In Dänemark trotz steigender Hospitalisierungsrate niedrige ITS-Belegung</w:t>
            </w:r>
          </w:p>
          <w:p>
            <w:pPr>
              <w:pStyle w:val="Liste3"/>
            </w:pPr>
            <w:r>
              <w:t>Höhere Rate bei Auffrischimpfungen in DK (62% vs. 55% in UK u. DE)</w:t>
            </w:r>
          </w:p>
          <w:p>
            <w:pPr>
              <w:pStyle w:val="Liste3"/>
            </w:pPr>
            <w:r>
              <w:lastRenderedPageBreak/>
              <w:t>Unterschiedliche Definitionen Krankenhaus-/ITS Belegung (MIT oder WEGEN COVID)</w:t>
            </w:r>
          </w:p>
          <w:p>
            <w:pPr>
              <w:pStyle w:val="Liste3"/>
              <w:numPr>
                <w:ilvl w:val="0"/>
                <w:numId w:val="0"/>
              </w:numPr>
              <w:rPr>
                <w:b/>
              </w:rPr>
            </w:pPr>
            <w:r>
              <w:rPr>
                <w:b/>
              </w:rPr>
              <w:t>Diskussion</w:t>
            </w:r>
          </w:p>
          <w:p>
            <w:pPr>
              <w:pStyle w:val="Liste2"/>
              <w:rPr>
                <w:lang w:val="de-DE"/>
              </w:rPr>
            </w:pPr>
            <w:r>
              <w:rPr>
                <w:lang w:val="de-DE"/>
              </w:rPr>
              <w:t xml:space="preserve">Frage: Steigt die Anzahl der Todesfälle in DK? Ja, aber bisher keine </w:t>
            </w:r>
            <w:proofErr w:type="spellStart"/>
            <w:r>
              <w:rPr>
                <w:lang w:val="de-DE"/>
              </w:rPr>
              <w:t>Excess</w:t>
            </w:r>
            <w:proofErr w:type="spellEnd"/>
            <w:r>
              <w:rPr>
                <w:lang w:val="de-DE"/>
              </w:rPr>
              <w:t>-Mortalität laut EUROMOMO</w:t>
            </w:r>
          </w:p>
          <w:p>
            <w:pPr>
              <w:pStyle w:val="Liste2"/>
              <w:rPr>
                <w:lang w:val="de-DE"/>
              </w:rPr>
            </w:pPr>
            <w:r>
              <w:rPr>
                <w:lang w:val="de-DE"/>
              </w:rPr>
              <w:t>Todesfälle für DK sehr hoch, hatte bisher sehr niedrige Todesfallzahlen</w:t>
            </w:r>
          </w:p>
          <w:p>
            <w:pPr>
              <w:pStyle w:val="Liste2"/>
              <w:rPr>
                <w:lang w:val="de-DE"/>
              </w:rPr>
            </w:pPr>
            <w:r>
              <w:rPr>
                <w:lang w:val="de-DE"/>
              </w:rPr>
              <w:t>Eingeschränkte Vergleichbarkeit ist immer zu beachten</w:t>
            </w:r>
          </w:p>
          <w:p>
            <w:pPr>
              <w:pStyle w:val="Liste2"/>
              <w:rPr>
                <w:lang w:val="de-DE"/>
              </w:rPr>
            </w:pPr>
            <w:proofErr w:type="spellStart"/>
            <w:r>
              <w:rPr>
                <w:lang w:val="de-DE"/>
              </w:rPr>
              <w:t>Stringency</w:t>
            </w:r>
            <w:proofErr w:type="spellEnd"/>
            <w:r>
              <w:rPr>
                <w:lang w:val="de-DE"/>
              </w:rPr>
              <w:t>-Index: Wie kommt die hohe Punktzahl für DE zustande, Maßnahmen waren schon wesentlich strenger hier, wo läge China dann? Einstufung wahrscheinlich im Vergleich zum Durchschnitt aller Länder?</w:t>
            </w:r>
          </w:p>
          <w:p>
            <w:pPr>
              <w:pStyle w:val="Liste2"/>
              <w:numPr>
                <w:ilvl w:val="0"/>
                <w:numId w:val="0"/>
              </w:numPr>
              <w:ind w:left="833"/>
              <w:rPr>
                <w:lang w:val="de-DE"/>
              </w:rPr>
            </w:pPr>
            <w:hyperlink r:id="rId21" w:history="1">
              <w:r>
                <w:rPr>
                  <w:rStyle w:val="Hyperlink"/>
                  <w:lang w:val="de-DE"/>
                </w:rPr>
                <w:t>https://ourworldindata.org/metrics-explained-covid19-stringency-index</w:t>
              </w:r>
            </w:hyperlink>
            <w:r>
              <w:rPr>
                <w:lang w:val="de-DE"/>
              </w:rPr>
              <w:t xml:space="preserve"> </w:t>
            </w:r>
          </w:p>
          <w:p>
            <w:pPr>
              <w:pStyle w:val="Liste2"/>
              <w:rPr>
                <w:lang w:val="de-DE"/>
              </w:rPr>
            </w:pPr>
            <w:r>
              <w:rPr>
                <w:lang w:val="de-DE"/>
              </w:rPr>
              <w:t>Hinweis: Hoher Fallzahlanstieg geht zwangsläufig mit höherer Zahl an Todesfällen einher, zudem ist die Hälfte der Todesfälle &gt;80 Jahre und andere Erreger, die ggf. ursächlich sind, werden nicht getestet</w:t>
            </w:r>
          </w:p>
          <w:p>
            <w:pPr>
              <w:pStyle w:val="Liste2"/>
              <w:rPr>
                <w:lang w:val="de-DE"/>
              </w:rPr>
            </w:pPr>
            <w:r>
              <w:rPr>
                <w:lang w:val="de-DE"/>
              </w:rPr>
              <w:t>Hinweis: Definition von Intensivbetten unterscheidet sich zwischen den Ländern stark</w:t>
            </w:r>
          </w:p>
          <w:p>
            <w:pPr>
              <w:pStyle w:val="Liste2"/>
              <w:rPr>
                <w:lang w:val="de-DE"/>
              </w:rPr>
            </w:pPr>
            <w:r>
              <w:rPr>
                <w:lang w:val="de-DE"/>
              </w:rPr>
              <w:t>Frage: Könnte auch die Daten von Kindern für DK und UK präsentiert werden? In Südafrika verläuft Omikron-Infektion bei Erwachsenen weniger schwer, bei sehr kleinen Kindern jedoch kein Unterschied zu Delta</w:t>
            </w:r>
          </w:p>
          <w:p>
            <w:pPr>
              <w:pStyle w:val="Liste2"/>
              <w:rPr>
                <w:lang w:val="de-DE"/>
              </w:rPr>
            </w:pPr>
            <w:r>
              <w:rPr>
                <w:lang w:val="de-DE"/>
              </w:rPr>
              <w:t>Weitere Folie: KH Aufnahmen in DK liegen bei 0-2Jährigen fast so hoch, wie bei &gt;80Jährigen, Cave: Auch KH-Aufnahmen &lt;12h gehen in DK in die Statistik ein</w:t>
            </w:r>
          </w:p>
          <w:p>
            <w:pPr>
              <w:pStyle w:val="Liste2"/>
              <w:rPr>
                <w:lang w:val="de-DE"/>
              </w:rPr>
            </w:pPr>
            <w:r>
              <w:rPr>
                <w:lang w:val="de-DE"/>
              </w:rPr>
              <w:t xml:space="preserve">Hinweis: Dieser Indikator erlaubt Aussagen zu Kapazität, Auslastung und Bedarf, die Krankheitsschwere ist jedoch getrennt zu betrachten, mit Hilfe von Surveillance Daten zu schweren Erkrankungen </w:t>
            </w:r>
          </w:p>
          <w:p>
            <w:pPr>
              <w:pStyle w:val="Liste2"/>
              <w:numPr>
                <w:ilvl w:val="0"/>
                <w:numId w:val="0"/>
              </w:numPr>
              <w:rPr>
                <w:lang w:val="de-DE"/>
              </w:rPr>
            </w:pPr>
          </w:p>
          <w:p>
            <w:pPr>
              <w:pStyle w:val="2"/>
            </w:pPr>
            <w:r>
              <w:t xml:space="preserve">National </w:t>
            </w:r>
          </w:p>
          <w:p>
            <w:pPr>
              <w:pStyle w:val="Liste2"/>
            </w:pPr>
            <w:proofErr w:type="spellStart"/>
            <w:r>
              <w:t>Fallzahlen</w:t>
            </w:r>
            <w:proofErr w:type="spellEnd"/>
            <w:r>
              <w:t xml:space="preserve">, Todesfälle, Trend, </w:t>
            </w:r>
            <w:proofErr w:type="spellStart"/>
            <w:r>
              <w:t>Folien</w:t>
            </w:r>
            <w:proofErr w:type="spellEnd"/>
            <w:r>
              <w:t xml:space="preserve"> </w:t>
            </w:r>
            <w:hyperlink r:id="rId22" w:history="1">
              <w:proofErr w:type="spellStart"/>
              <w:r>
                <w:rPr>
                  <w:rStyle w:val="Hyperlink"/>
                </w:rPr>
                <w:t>hier</w:t>
              </w:r>
              <w:proofErr w:type="spellEnd"/>
            </w:hyperlink>
          </w:p>
          <w:p>
            <w:pPr>
              <w:pStyle w:val="Liste2"/>
            </w:pPr>
            <w:r>
              <w:t xml:space="preserve">SurvNet übermittelt: 12.009.712 (+240.172), davon 119.679 (+226) Todesfälle </w:t>
            </w:r>
          </w:p>
          <w:p>
            <w:pPr>
              <w:pStyle w:val="Liste2"/>
              <w:rPr>
                <w:lang w:val="de-DE"/>
              </w:rPr>
            </w:pPr>
            <w:r>
              <w:rPr>
                <w:lang w:val="de-DE"/>
              </w:rPr>
              <w:t>7-Tage-Inzidenz: 1.472,2/100.000 EW Hospitalisierungsinzidenz: 6,5/ 100.000 EW</w:t>
            </w:r>
          </w:p>
          <w:p>
            <w:pPr>
              <w:pStyle w:val="Liste2"/>
            </w:pPr>
            <w:r>
              <w:t>DIVI Intensivregister 2.396 (-2) in Behandlung</w:t>
            </w:r>
          </w:p>
          <w:p>
            <w:pPr>
              <w:pStyle w:val="Liste2"/>
              <w:rPr>
                <w:lang w:val="de-DE"/>
              </w:rPr>
            </w:pPr>
            <w:r>
              <w:rPr>
                <w:lang w:val="de-DE"/>
              </w:rPr>
              <w:t>Impfmonitoring: Geimpfte mit 1. Dosis 63.257.882 (76,1%), mit vollständiger Impfung 74,7%, Auffrischimpfungen 55,2%</w:t>
            </w:r>
          </w:p>
          <w:p>
            <w:pPr>
              <w:pStyle w:val="Liste2"/>
              <w:rPr>
                <w:lang w:val="de-DE"/>
              </w:rPr>
            </w:pPr>
            <w:r>
              <w:rPr>
                <w:lang w:val="de-DE"/>
              </w:rPr>
              <w:t>Inzidenz auf hohem Niveau stabil</w:t>
            </w:r>
          </w:p>
          <w:p>
            <w:pPr>
              <w:pStyle w:val="Liste2"/>
              <w:rPr>
                <w:lang w:val="de-DE"/>
              </w:rPr>
            </w:pPr>
            <w:r>
              <w:rPr>
                <w:lang w:val="de-DE"/>
              </w:rPr>
              <w:t xml:space="preserve">Anzahl DEMIS-Meldungen nach Meldedatum: Peak bei &gt; 300.000 erreicht, möglicherweise kein weiterer Anstieg, sondern Plateau </w:t>
            </w:r>
          </w:p>
          <w:p>
            <w:pPr>
              <w:pStyle w:val="Liste2"/>
              <w:rPr>
                <w:lang w:val="de-DE"/>
              </w:rPr>
            </w:pPr>
            <w:r>
              <w:rPr>
                <w:lang w:val="de-DE"/>
              </w:rPr>
              <w:t>Verlauf der 7-Tage-Inzidenz der Bundesländer: Anstieg jetzt weniger steil (auch in BY und HE), Anstieg in ST setzt sich fort, HH und BE etwas rückläufig, HB hält das Niveau</w:t>
            </w:r>
          </w:p>
          <w:p>
            <w:pPr>
              <w:pStyle w:val="Liste2"/>
              <w:rPr>
                <w:lang w:val="de-DE"/>
              </w:rPr>
            </w:pPr>
            <w:r>
              <w:rPr>
                <w:lang w:val="de-DE"/>
              </w:rPr>
              <w:t>Geografische Verteilung 7-Tage Inzidenz nach Landkreis:</w:t>
            </w:r>
          </w:p>
          <w:p>
            <w:pPr>
              <w:pStyle w:val="Liste2"/>
              <w:numPr>
                <w:ilvl w:val="0"/>
                <w:numId w:val="0"/>
              </w:numPr>
              <w:ind w:left="833"/>
              <w:rPr>
                <w:lang w:val="de-DE"/>
              </w:rPr>
            </w:pPr>
            <w:r>
              <w:rPr>
                <w:lang w:val="de-DE"/>
              </w:rPr>
              <w:t>Spitzenreiter Eichstätt (BY), Offenbach (HE) und Barnim (BB) sind weit verteilt</w:t>
            </w:r>
          </w:p>
          <w:p>
            <w:pPr>
              <w:pStyle w:val="Liste2"/>
              <w:rPr>
                <w:lang w:val="de-DE"/>
              </w:rPr>
            </w:pPr>
            <w:r>
              <w:rPr>
                <w:lang w:val="de-DE"/>
              </w:rPr>
              <w:lastRenderedPageBreak/>
              <w:t xml:space="preserve">Inzidenz nach Altersgruppe und Datum: 5-14Jährige am höchsten, gefolgt von 15-34Jährigen, leichte Anstiege bei den 60-79 und &gt;80Jährigen  </w:t>
            </w:r>
          </w:p>
          <w:p>
            <w:pPr>
              <w:pStyle w:val="Liste2"/>
              <w:rPr>
                <w:lang w:val="de-DE"/>
              </w:rPr>
            </w:pPr>
            <w:r>
              <w:rPr>
                <w:lang w:val="de-DE"/>
              </w:rPr>
              <w:t>7-Tage-Hospitalisierungsinzidenz: Anstiege in bei 0-59 und bei &gt;60Jährigen</w:t>
            </w:r>
          </w:p>
          <w:p>
            <w:pPr>
              <w:pStyle w:val="Liste2"/>
              <w:rPr>
                <w:lang w:val="de-DE"/>
              </w:rPr>
            </w:pPr>
            <w:r>
              <w:rPr>
                <w:lang w:val="de-DE"/>
              </w:rPr>
              <w:t>Sterbefallzahlen (DESTATIS): bisher keine Übersterblichkeit, Cave: in den Bezugszeitraum 2018-21 gehen mittlerweile 2 COVID-Jahre ein</w:t>
            </w:r>
          </w:p>
          <w:p>
            <w:pPr>
              <w:pStyle w:val="Liste2"/>
              <w:rPr>
                <w:lang w:val="de-DE"/>
              </w:rPr>
            </w:pPr>
            <w:r>
              <w:rPr>
                <w:lang w:val="de-DE"/>
              </w:rPr>
              <w:t xml:space="preserve">Extrafolie zur Hospitalisierung nach Meldewoche aus verschiedenen Gründen </w:t>
            </w:r>
          </w:p>
          <w:p>
            <w:pPr>
              <w:pStyle w:val="Liste3"/>
            </w:pPr>
            <w:r>
              <w:t xml:space="preserve">aufgrund der gemeldeten Krankheit </w:t>
            </w:r>
          </w:p>
          <w:p>
            <w:pPr>
              <w:pStyle w:val="Liste3"/>
            </w:pPr>
            <w:r>
              <w:t xml:space="preserve">aufgrund einer anderen Ursache: dieser Anteil ist etwas gestiegen, überwiegt aber noch nicht </w:t>
            </w:r>
          </w:p>
          <w:p>
            <w:pPr>
              <w:pStyle w:val="Liste3"/>
            </w:pPr>
            <w:r>
              <w:t xml:space="preserve">aufgrund unbekannter Ursache </w:t>
            </w:r>
          </w:p>
          <w:p>
            <w:pPr>
              <w:pStyle w:val="Liste3"/>
            </w:pPr>
            <w:r>
              <w:t>zur Isolierung: hier liegt ein Softwarefehler vor, müssen wahrscheinlich unbekannter Ursache zugeschlagen werden</w:t>
            </w:r>
          </w:p>
          <w:p>
            <w:pPr>
              <w:pStyle w:val="Liste2"/>
              <w:numPr>
                <w:ilvl w:val="0"/>
                <w:numId w:val="0"/>
              </w:numPr>
              <w:rPr>
                <w:b/>
                <w:lang w:val="de-DE"/>
              </w:rPr>
            </w:pPr>
            <w:r>
              <w:rPr>
                <w:b/>
                <w:lang w:val="de-DE"/>
              </w:rPr>
              <w:t xml:space="preserve">Diskussion: keine Fragen </w:t>
            </w:r>
          </w:p>
          <w:p>
            <w:pPr>
              <w:pStyle w:val="Liste2"/>
              <w:numPr>
                <w:ilvl w:val="0"/>
                <w:numId w:val="0"/>
              </w:numPr>
              <w:rPr>
                <w:lang w:val="de-DE"/>
              </w:rPr>
            </w:pPr>
          </w:p>
          <w:p>
            <w:pPr>
              <w:pStyle w:val="Liste2"/>
            </w:pPr>
            <w:r>
              <w:t xml:space="preserve">Modellierungen </w:t>
            </w:r>
            <w:r>
              <w:rPr>
                <w:b/>
                <w:i/>
                <w:color w:val="95B3D7" w:themeColor="accent1" w:themeTint="99"/>
                <w:sz w:val="20"/>
              </w:rPr>
              <w:t>(</w:t>
            </w:r>
            <w:proofErr w:type="spellStart"/>
            <w:r>
              <w:rPr>
                <w:b/>
                <w:i/>
                <w:color w:val="95B3D7" w:themeColor="accent1" w:themeTint="99"/>
                <w:sz w:val="20"/>
              </w:rPr>
              <w:t>nur</w:t>
            </w:r>
            <w:proofErr w:type="spellEnd"/>
            <w:r>
              <w:rPr>
                <w:b/>
                <w:i/>
                <w:color w:val="95B3D7" w:themeColor="accent1" w:themeTint="99"/>
                <w:sz w:val="20"/>
              </w:rPr>
              <w:t xml:space="preserve"> </w:t>
            </w:r>
            <w:proofErr w:type="spellStart"/>
            <w:r>
              <w:rPr>
                <w:b/>
                <w:i/>
                <w:color w:val="95B3D7" w:themeColor="accent1" w:themeTint="99"/>
                <w:sz w:val="20"/>
              </w:rPr>
              <w:t>freitags</w:t>
            </w:r>
            <w:proofErr w:type="spellEnd"/>
            <w:r>
              <w:rPr>
                <w:b/>
                <w:i/>
                <w:color w:val="95B3D7" w:themeColor="accent1" w:themeTint="99"/>
                <w:sz w:val="20"/>
              </w:rPr>
              <w:t>)</w:t>
            </w:r>
          </w:p>
          <w:p>
            <w:pPr>
              <w:pStyle w:val="Liste3"/>
            </w:pPr>
            <w:r>
              <w:t>Keine Veränderungen bei der Omikron-Modellierung</w:t>
            </w:r>
          </w:p>
          <w:p>
            <w:pPr>
              <w:pStyle w:val="Liste3"/>
            </w:pPr>
            <w:r>
              <w:t xml:space="preserve">Kooperation </w:t>
            </w:r>
            <w:r>
              <w:rPr>
                <w:highlight w:val="yellow"/>
              </w:rPr>
              <w:t>Maier/</w:t>
            </w:r>
            <w:proofErr w:type="spellStart"/>
            <w:r>
              <w:rPr>
                <w:highlight w:val="yellow"/>
              </w:rPr>
              <w:t>Abood</w:t>
            </w:r>
            <w:proofErr w:type="spellEnd"/>
            <w:r>
              <w:rPr>
                <w:highlight w:val="yellow"/>
              </w:rPr>
              <w:t xml:space="preserve"> (PHI) ist initiiert</w:t>
            </w:r>
            <w:r>
              <w:t xml:space="preserve">  </w:t>
            </w:r>
          </w:p>
          <w:p>
            <w:pPr>
              <w:pStyle w:val="Liste2"/>
              <w:numPr>
                <w:ilvl w:val="0"/>
                <w:numId w:val="0"/>
              </w:numPr>
              <w:ind w:left="833"/>
              <w:rPr>
                <w:lang w:val="de-DE"/>
              </w:rPr>
            </w:pP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t xml:space="preserve">(Singer)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32 (Diercke)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P4</w:t>
            </w:r>
          </w:p>
          <w:p>
            <w:pPr>
              <w:rPr>
                <w:sz w:val="22"/>
                <w:szCs w:val="22"/>
              </w:rPr>
            </w:pPr>
            <w:r>
              <w:rPr>
                <w:sz w:val="22"/>
                <w:szCs w:val="22"/>
              </w:rPr>
              <w:t>(Gottwald)</w:t>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rPr>
                <w:lang w:val="en-US"/>
              </w:rPr>
            </w:pPr>
            <w:r>
              <w:t xml:space="preserve">Nicht berichtet </w:t>
            </w:r>
          </w:p>
          <w:p>
            <w:pPr>
              <w:pStyle w:val="Liste3"/>
              <w:numPr>
                <w:ilvl w:val="0"/>
                <w:numId w:val="0"/>
              </w:numPr>
              <w:rPr>
                <w:lang w:val="en-US"/>
              </w:rPr>
            </w:pPr>
          </w:p>
        </w:tc>
        <w:tc>
          <w:tcPr>
            <w:tcW w:w="1463" w:type="dxa"/>
          </w:tcPr>
          <w:p>
            <w:pPr>
              <w:rPr>
                <w:sz w:val="22"/>
                <w:szCs w:val="22"/>
                <w:lang w:val="en-US"/>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FrZchn"/>
              </w:rPr>
            </w:pPr>
            <w:r>
              <w:rPr>
                <w:rStyle w:val="1Zchn"/>
              </w:rPr>
              <w:t>Update digitale Projekte</w:t>
            </w:r>
            <w:r>
              <w:rPr>
                <w:b/>
                <w:sz w:val="28"/>
              </w:rPr>
              <w:t xml:space="preserve"> </w:t>
            </w:r>
            <w:r>
              <w:rPr>
                <w:rStyle w:val="TagFrZchn"/>
              </w:rPr>
              <w:t>(nur freitags)</w:t>
            </w:r>
          </w:p>
          <w:p>
            <w:pPr>
              <w:pStyle w:val="Liste1"/>
            </w:pPr>
            <w:r>
              <w:t>Nicht berichtet</w:t>
            </w:r>
          </w:p>
          <w:p>
            <w:pPr>
              <w:spacing w:line="276" w:lineRule="auto"/>
              <w:rPr>
                <w:b/>
                <w:i/>
                <w:color w:val="C2D69B" w:themeColor="accent3" w:themeTint="99"/>
              </w:rPr>
            </w:pP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Aktualisierung ist bereits zirkuliert</w:t>
            </w:r>
          </w:p>
          <w:p>
            <w:pPr>
              <w:pStyle w:val="Liste1"/>
              <w:numPr>
                <w:ilvl w:val="0"/>
                <w:numId w:val="0"/>
              </w:numPr>
              <w:ind w:left="473" w:hanging="360"/>
            </w:pPr>
          </w:p>
          <w:p>
            <w:pPr>
              <w:pStyle w:val="Liste1"/>
              <w:numPr>
                <w:ilvl w:val="0"/>
                <w:numId w:val="0"/>
              </w:numPr>
              <w:rPr>
                <w:i/>
              </w:rPr>
            </w:pPr>
            <w:proofErr w:type="spellStart"/>
            <w:r>
              <w:rPr>
                <w:i/>
              </w:rPr>
              <w:t>ToDo</w:t>
            </w:r>
            <w:proofErr w:type="spellEnd"/>
            <w:r>
              <w:rPr>
                <w:i/>
              </w:rPr>
              <w:t>: Abstimmung und Finalisierung bitte auf die Agenda des Krisenstabs für Montag 14.02.2022 setzen</w:t>
            </w:r>
          </w:p>
          <w:p>
            <w:pPr>
              <w:pStyle w:val="Liste1"/>
              <w:numPr>
                <w:ilvl w:val="0"/>
                <w:numId w:val="0"/>
              </w:numPr>
              <w:rPr>
                <w:i/>
              </w:rPr>
            </w:pPr>
            <w:r>
              <w:rPr>
                <w:i/>
              </w:rPr>
              <w:t xml:space="preserve"> </w:t>
            </w:r>
          </w:p>
        </w:tc>
        <w:tc>
          <w:tcPr>
            <w:tcW w:w="1463" w:type="dxa"/>
          </w:tcPr>
          <w:p>
            <w:pPr>
              <w:rPr>
                <w:sz w:val="22"/>
                <w:szCs w:val="22"/>
              </w:rPr>
            </w:pPr>
            <w:r>
              <w:rPr>
                <w:sz w:val="22"/>
                <w:szCs w:val="22"/>
              </w:rPr>
              <w:t>Abt 3</w:t>
            </w:r>
          </w:p>
          <w:p>
            <w:pPr>
              <w:rPr>
                <w:sz w:val="22"/>
                <w:szCs w:val="22"/>
              </w:rPr>
            </w:pPr>
            <w:r>
              <w:rPr>
                <w:sz w:val="22"/>
                <w:szCs w:val="22"/>
              </w:rPr>
              <w:t xml:space="preserve">FG38 (Rexroth) </w:t>
            </w:r>
            <w:r>
              <w:rPr>
                <w:sz w:val="22"/>
                <w:szCs w:val="22"/>
              </w:rPr>
              <w:br/>
            </w:r>
          </w:p>
          <w:p>
            <w:pPr>
              <w:rPr>
                <w:i/>
                <w:sz w:val="22"/>
                <w:szCs w:val="22"/>
              </w:rPr>
            </w:pPr>
            <w:r>
              <w:rPr>
                <w:i/>
                <w:sz w:val="22"/>
                <w:szCs w:val="22"/>
              </w:rPr>
              <w:t>LZ</w:t>
            </w:r>
          </w:p>
        </w:tc>
      </w:tr>
      <w:t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w:t>
            </w:r>
            <w:proofErr w:type="spellStart"/>
            <w:r>
              <w:rPr>
                <w:i/>
                <w:color w:val="95B3D7" w:themeColor="accent1" w:themeTint="99"/>
                <w:sz w:val="20"/>
              </w:rPr>
              <w:t>mont</w:t>
            </w:r>
            <w:proofErr w:type="spellEnd"/>
            <w:r>
              <w:rPr>
                <w:i/>
                <w:color w:val="95B3D7" w:themeColor="accent1" w:themeTint="99"/>
                <w:sz w:val="20"/>
              </w:rPr>
              <w:t xml:space="preserve">. Vorbereitung, </w:t>
            </w:r>
            <w:proofErr w:type="spellStart"/>
            <w:r>
              <w:rPr>
                <w:i/>
                <w:color w:val="95B3D7" w:themeColor="accent1" w:themeTint="99"/>
                <w:sz w:val="20"/>
              </w:rPr>
              <w:t>mittw</w:t>
            </w:r>
            <w:proofErr w:type="spellEnd"/>
            <w:r>
              <w:rPr>
                <w:i/>
                <w:color w:val="95B3D7" w:themeColor="accent1" w:themeTint="99"/>
                <w:sz w:val="20"/>
              </w:rPr>
              <w:t>. Nachbereitung)</w:t>
            </w:r>
          </w:p>
          <w:p>
            <w:pPr>
              <w:pStyle w:val="Liste1"/>
            </w:pPr>
            <w:r>
              <w:t xml:space="preserve"> Nicht besprochen </w:t>
            </w:r>
          </w:p>
          <w:p>
            <w:pPr>
              <w:pStyle w:val="Liste1"/>
              <w:numPr>
                <w:ilvl w:val="0"/>
                <w:numId w:val="0"/>
              </w:numPr>
              <w:ind w:left="473"/>
            </w:pPr>
          </w:p>
        </w:tc>
        <w:tc>
          <w:tcPr>
            <w:tcW w:w="1463" w:type="dxa"/>
          </w:tcPr>
          <w:p>
            <w:pPr>
              <w:rPr>
                <w:sz w:val="22"/>
                <w:szCs w:val="22"/>
              </w:rPr>
            </w:pPr>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numPr>
                <w:ilvl w:val="0"/>
                <w:numId w:val="9"/>
              </w:numPr>
            </w:pPr>
            <w:r>
              <w:t xml:space="preserve">Merkblatt für Pflegeheime zur Impfung </w:t>
            </w:r>
            <w:proofErr w:type="spellStart"/>
            <w:r>
              <w:t>incl</w:t>
            </w:r>
            <w:proofErr w:type="spellEnd"/>
            <w:r>
              <w:t xml:space="preserve"> </w:t>
            </w:r>
            <w:proofErr w:type="spellStart"/>
            <w:r>
              <w:t>Novavax</w:t>
            </w:r>
            <w:proofErr w:type="spellEnd"/>
            <w:r>
              <w:t xml:space="preserve"> (in Abstimmung mit dem Deutschen Pflegerat) wird veröffentlicht, wird auch in Fremdsprachen und in einfacher Sprache vorliegen</w:t>
            </w:r>
          </w:p>
          <w:p>
            <w:pPr>
              <w:pStyle w:val="Liste1"/>
              <w:numPr>
                <w:ilvl w:val="0"/>
                <w:numId w:val="0"/>
              </w:numPr>
              <w:ind w:left="720"/>
            </w:pPr>
          </w:p>
          <w:p>
            <w:pPr>
              <w:pStyle w:val="Liste1"/>
              <w:numPr>
                <w:ilvl w:val="0"/>
                <w:numId w:val="0"/>
              </w:numPr>
              <w:rPr>
                <w:i/>
              </w:rPr>
            </w:pPr>
            <w:proofErr w:type="spellStart"/>
            <w:r>
              <w:rPr>
                <w:i/>
              </w:rPr>
              <w:t>ToDo</w:t>
            </w:r>
            <w:proofErr w:type="spellEnd"/>
            <w:r>
              <w:rPr>
                <w:i/>
              </w:rPr>
              <w:t>: Finalisiertes Merkblatt bitte auch an FG 14 und FG 37 verteilen</w:t>
            </w:r>
          </w:p>
          <w:p>
            <w:pPr>
              <w:pStyle w:val="Liste1"/>
              <w:numPr>
                <w:ilvl w:val="0"/>
                <w:numId w:val="0"/>
              </w:numPr>
            </w:pPr>
            <w:r>
              <w:t xml:space="preserve">  </w:t>
            </w:r>
          </w:p>
          <w:p>
            <w:pPr>
              <w:pStyle w:val="Liste1"/>
              <w:numPr>
                <w:ilvl w:val="0"/>
                <w:numId w:val="9"/>
              </w:numPr>
            </w:pPr>
            <w:r>
              <w:lastRenderedPageBreak/>
              <w:t>Infopaket für Schulen in Planung</w:t>
            </w:r>
          </w:p>
          <w:p>
            <w:pPr>
              <w:pStyle w:val="Liste1"/>
              <w:numPr>
                <w:ilvl w:val="0"/>
                <w:numId w:val="9"/>
              </w:numPr>
            </w:pPr>
            <w:r>
              <w:t xml:space="preserve">Info-/Merkblatt zu </w:t>
            </w:r>
            <w:proofErr w:type="spellStart"/>
            <w:r>
              <w:t>Novavax</w:t>
            </w:r>
            <w:proofErr w:type="spellEnd"/>
            <w:r>
              <w:t xml:space="preserve"> und allen bisher vorliegenden Impfstoffen sowie zu Impfreihenfolgen in Arbeit (in enger Abstimmung mit RKI) </w:t>
            </w:r>
          </w:p>
          <w:p>
            <w:pPr>
              <w:pStyle w:val="Liste1"/>
              <w:numPr>
                <w:ilvl w:val="0"/>
                <w:numId w:val="9"/>
              </w:numPr>
            </w:pPr>
            <w:r>
              <w:t xml:space="preserve">Internetseite (Mikroseite) zu Long Covid wird erarbeitet, RKI ist eingebunden </w:t>
            </w:r>
          </w:p>
          <w:p>
            <w:pPr>
              <w:pStyle w:val="2"/>
            </w:pPr>
            <w:r>
              <w:t>Presse</w:t>
            </w:r>
          </w:p>
          <w:p>
            <w:pPr>
              <w:pStyle w:val="Liste1"/>
            </w:pPr>
            <w:proofErr w:type="spellStart"/>
            <w:r>
              <w:t>Social</w:t>
            </w:r>
            <w:proofErr w:type="spellEnd"/>
            <w:r>
              <w:t xml:space="preserve"> Media Gruppe ist kommende Woche dünn besetzt, Bedarfe bitte frühzeitig anmelden </w:t>
            </w:r>
          </w:p>
          <w:p>
            <w:pPr>
              <w:pStyle w:val="2"/>
            </w:pPr>
            <w:r>
              <w:t>P1</w:t>
            </w:r>
          </w:p>
          <w:p>
            <w:pPr>
              <w:pStyle w:val="Liste1"/>
            </w:pPr>
            <w:r>
              <w:t xml:space="preserve">COIVID-19 Internetseite wird derzeit von R. Wenchel „aufgeräumt“ </w:t>
            </w:r>
          </w:p>
          <w:p>
            <w:pPr>
              <w:pStyle w:val="Liste1"/>
            </w:pPr>
            <w:r>
              <w:t>Veraltete Flyer mit Verhaltensempfehlungen werden entfernt, Flyer mit Empfehlungen zum Winter bleibt, wird demnächst durch Frühjahrsempfehlungen ersetzt, Flyer zu 2G/3G wird aktualisiert</w:t>
            </w:r>
          </w:p>
          <w:p>
            <w:pPr>
              <w:pStyle w:val="Liste1"/>
            </w:pPr>
            <w:r>
              <w:t>Frage: Wie kann „Dunkelziffer“ quantifiziert werden, es ist geplant, die Wahrscheinlichkeit einer infektiösen Begegnung zu berechnen, auf das zusätzliche Risiko durch Dunkelziffer soll hingewiesen werden</w:t>
            </w:r>
          </w:p>
          <w:p>
            <w:pPr>
              <w:pStyle w:val="Liste2"/>
              <w:rPr>
                <w:lang w:val="de-DE"/>
              </w:rPr>
            </w:pPr>
            <w:r>
              <w:rPr>
                <w:lang w:val="de-DE"/>
              </w:rPr>
              <w:t>Hinweise: Bitte Vorsicht mit Zahlen und Formulierung, Definition Dunkelziffer ist nicht festgelegt, besser den Begriff „Untererfassung“ verwenden</w:t>
            </w:r>
          </w:p>
          <w:p>
            <w:pPr>
              <w:pStyle w:val="Liste2"/>
              <w:rPr>
                <w:lang w:val="de-DE"/>
              </w:rPr>
            </w:pPr>
            <w:r>
              <w:rPr>
                <w:lang w:val="de-DE"/>
              </w:rPr>
              <w:t>Das Risiko einer infizierten Person hängt stark vom eigenen Verhalten und auch vom Infektionsgeschehen aus, es ist nicht von einer gleichmäßigen Durchmischung der Bevölkerung auszugehen</w:t>
            </w:r>
          </w:p>
          <w:p>
            <w:pPr>
              <w:pStyle w:val="Liste2"/>
              <w:rPr>
                <w:lang w:val="de-DE"/>
              </w:rPr>
            </w:pPr>
            <w:r>
              <w:rPr>
                <w:lang w:val="de-DE"/>
              </w:rPr>
              <w:t>Die Aussage, dass das Risiko mit der hohen Inzidenz steigt und in Wirklichkeit durch Untererfassung noch höher ist, ist richtig, konkrete Zahlen wären falsch</w:t>
            </w:r>
          </w:p>
          <w:p>
            <w:pPr>
              <w:pStyle w:val="Liste1"/>
              <w:numPr>
                <w:ilvl w:val="0"/>
                <w:numId w:val="0"/>
              </w:numPr>
              <w:rPr>
                <w:i/>
              </w:rPr>
            </w:pPr>
          </w:p>
        </w:tc>
        <w:tc>
          <w:tcPr>
            <w:tcW w:w="1463" w:type="dxa"/>
          </w:tcPr>
          <w:p>
            <w:pPr>
              <w:rPr>
                <w:sz w:val="22"/>
                <w:szCs w:val="22"/>
              </w:rPr>
            </w:pPr>
          </w:p>
          <w:p>
            <w:pPr>
              <w:rPr>
                <w:sz w:val="22"/>
                <w:szCs w:val="22"/>
              </w:rPr>
            </w:pPr>
            <w:r>
              <w:rPr>
                <w:sz w:val="22"/>
                <w:szCs w:val="22"/>
              </w:rPr>
              <w:t xml:space="preserve">BZgA (Dietrich) </w:t>
            </w:r>
            <w:r>
              <w:rPr>
                <w:sz w:val="22"/>
                <w:szCs w:val="22"/>
              </w:rPr>
              <w:br/>
            </w:r>
          </w:p>
          <w:p>
            <w:pPr>
              <w:rPr>
                <w:sz w:val="22"/>
                <w:szCs w:val="22"/>
              </w:rPr>
            </w:pPr>
          </w:p>
          <w:p>
            <w:pPr>
              <w:rPr>
                <w:sz w:val="22"/>
                <w:szCs w:val="22"/>
              </w:rPr>
            </w:pPr>
          </w:p>
          <w:p>
            <w:pPr>
              <w:rPr>
                <w:sz w:val="22"/>
                <w:szCs w:val="22"/>
              </w:rPr>
            </w:pPr>
          </w:p>
          <w:p>
            <w:pPr>
              <w:rPr>
                <w:sz w:val="22"/>
                <w:szCs w:val="22"/>
              </w:rPr>
            </w:pPr>
          </w:p>
          <w:p>
            <w:pPr>
              <w:rPr>
                <w:i/>
                <w:sz w:val="22"/>
                <w:szCs w:val="22"/>
              </w:rPr>
            </w:pPr>
          </w:p>
          <w:p>
            <w:pPr>
              <w:rPr>
                <w:i/>
                <w:sz w:val="22"/>
                <w:szCs w:val="22"/>
              </w:rPr>
            </w:pPr>
            <w:proofErr w:type="spellStart"/>
            <w:r>
              <w:rPr>
                <w:i/>
                <w:sz w:val="22"/>
                <w:szCs w:val="22"/>
              </w:rPr>
              <w:t>BzgA</w:t>
            </w:r>
            <w:proofErr w:type="spellEnd"/>
          </w:p>
          <w:p>
            <w:pPr>
              <w:rPr>
                <w:sz w:val="22"/>
                <w:szCs w:val="22"/>
              </w:rPr>
            </w:pPr>
          </w:p>
          <w:p>
            <w:pPr>
              <w:rPr>
                <w:sz w:val="22"/>
                <w:szCs w:val="22"/>
              </w:rPr>
            </w:pPr>
            <w:r>
              <w:rPr>
                <w:sz w:val="22"/>
                <w:szCs w:val="22"/>
              </w:rPr>
              <w:lastRenderedPageBreak/>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(Wenchel)</w:t>
            </w:r>
          </w:p>
          <w:p>
            <w:pPr>
              <w:rPr>
                <w:sz w:val="22"/>
                <w:szCs w:val="22"/>
              </w:rPr>
            </w:pPr>
          </w:p>
          <w:p>
            <w:pPr>
              <w:rPr>
                <w:sz w:val="22"/>
                <w:szCs w:val="22"/>
              </w:rPr>
            </w:pPr>
          </w:p>
          <w:p>
            <w:pPr>
              <w:rPr>
                <w:sz w:val="22"/>
                <w:szCs w:val="22"/>
              </w:rPr>
            </w:pPr>
            <w:r>
              <w:rPr>
                <w:sz w:val="22"/>
                <w:szCs w:val="22"/>
              </w:rPr>
              <w:t xml:space="preserve">P1 (Leuker) </w:t>
            </w:r>
            <w:r>
              <w:rPr>
                <w:sz w:val="22"/>
                <w:szCs w:val="22"/>
              </w:rPr>
              <w:br/>
            </w:r>
          </w:p>
        </w:tc>
      </w:tr>
      <w:tr>
        <w:tc>
          <w:tcPr>
            <w:tcW w:w="684" w:type="dxa"/>
          </w:tcPr>
          <w:p>
            <w:pPr>
              <w:rPr>
                <w:b/>
              </w:rPr>
            </w:pPr>
            <w:r>
              <w:rPr>
                <w:b/>
              </w:rPr>
              <w:lastRenderedPageBreak/>
              <w:t>7</w:t>
            </w:r>
          </w:p>
        </w:tc>
        <w:tc>
          <w:tcPr>
            <w:tcW w:w="6824" w:type="dxa"/>
          </w:tcPr>
          <w:p>
            <w:pPr>
              <w:pStyle w:val="1"/>
            </w:pPr>
            <w:r>
              <w:t>RKI-Strategie Fragen</w:t>
            </w:r>
          </w:p>
          <w:p>
            <w:pPr>
              <w:pStyle w:val="2"/>
            </w:pPr>
            <w:r>
              <w:t>Allgemein</w:t>
            </w:r>
          </w:p>
          <w:p>
            <w:pPr>
              <w:pStyle w:val="Liste1"/>
            </w:pPr>
            <w:r>
              <w:t xml:space="preserve">Deeskalationspapier </w:t>
            </w:r>
          </w:p>
          <w:p>
            <w:pPr>
              <w:pStyle w:val="Liste2"/>
            </w:pPr>
            <w:proofErr w:type="spellStart"/>
            <w:r>
              <w:t>Dokument</w:t>
            </w:r>
            <w:proofErr w:type="spellEnd"/>
            <w:r>
              <w:t xml:space="preserve"> </w:t>
            </w:r>
            <w:hyperlink r:id="rId23" w:history="1">
              <w:proofErr w:type="spellStart"/>
              <w:r>
                <w:rPr>
                  <w:rStyle w:val="Hyperlink"/>
                </w:rPr>
                <w:t>hier</w:t>
              </w:r>
              <w:proofErr w:type="spellEnd"/>
            </w:hyperlink>
            <w:r>
              <w:t xml:space="preserve"> </w:t>
            </w:r>
          </w:p>
          <w:p>
            <w:pPr>
              <w:pStyle w:val="Liste2"/>
            </w:pPr>
            <w:r>
              <w:t xml:space="preserve">Dank an </w:t>
            </w:r>
            <w:proofErr w:type="spellStart"/>
            <w:r>
              <w:t>alle</w:t>
            </w:r>
            <w:proofErr w:type="spellEnd"/>
            <w:r>
              <w:t xml:space="preserve"> </w:t>
            </w:r>
            <w:proofErr w:type="spellStart"/>
            <w:r>
              <w:t>Beitragenden</w:t>
            </w:r>
            <w:proofErr w:type="spellEnd"/>
          </w:p>
          <w:p>
            <w:pPr>
              <w:pStyle w:val="Liste2"/>
              <w:numPr>
                <w:ilvl w:val="0"/>
                <w:numId w:val="0"/>
              </w:numPr>
            </w:pPr>
          </w:p>
          <w:p>
            <w:pPr>
              <w:pStyle w:val="Liste2"/>
              <w:numPr>
                <w:ilvl w:val="0"/>
                <w:numId w:val="0"/>
              </w:numPr>
              <w:rPr>
                <w:i/>
                <w:lang w:val="de-DE"/>
              </w:rPr>
            </w:pPr>
            <w:proofErr w:type="spellStart"/>
            <w:r>
              <w:rPr>
                <w:i/>
                <w:lang w:val="de-DE"/>
              </w:rPr>
              <w:t>ToDo</w:t>
            </w:r>
            <w:proofErr w:type="spellEnd"/>
            <w:r>
              <w:rPr>
                <w:i/>
                <w:lang w:val="de-DE"/>
              </w:rPr>
              <w:t>: Bitte (nur notwendigste) finale Kommentare und Ergänzungen bis heute, 11.02.2022 Dienstschluss einreichen, Papier wird am Montag Präs vorgelegt, damit es ggf. noch vor der MPK an das BMG gehen kann</w:t>
            </w:r>
          </w:p>
          <w:p>
            <w:pPr>
              <w:pStyle w:val="Liste2"/>
              <w:numPr>
                <w:ilvl w:val="0"/>
                <w:numId w:val="0"/>
              </w:numPr>
              <w:rPr>
                <w:lang w:val="de-DE"/>
              </w:rPr>
            </w:pPr>
          </w:p>
          <w:p>
            <w:pPr>
              <w:pStyle w:val="Liste2"/>
              <w:rPr>
                <w:lang w:val="de-DE"/>
              </w:rPr>
            </w:pPr>
            <w:r>
              <w:rPr>
                <w:lang w:val="de-DE"/>
              </w:rPr>
              <w:t xml:space="preserve">Gliederung in </w:t>
            </w:r>
          </w:p>
          <w:p>
            <w:pPr>
              <w:pStyle w:val="Liste3"/>
            </w:pPr>
            <w:r>
              <w:t xml:space="preserve">Einleitung, </w:t>
            </w:r>
          </w:p>
          <w:p>
            <w:pPr>
              <w:pStyle w:val="Liste3"/>
            </w:pPr>
            <w:r>
              <w:t xml:space="preserve">a) 1-5: Maßnahmen, die die schrittweise zurückgenommen werden sollten, </w:t>
            </w:r>
          </w:p>
          <w:p>
            <w:pPr>
              <w:pStyle w:val="Liste3"/>
            </w:pPr>
            <w:r>
              <w:t>b) 1-11: Maßnahmen, die beibehalten werden sollten</w:t>
            </w:r>
          </w:p>
          <w:p>
            <w:pPr>
              <w:pStyle w:val="Liste3"/>
            </w:pPr>
            <w:r>
              <w:t>c) 1-5: Maßnahmen zur Steigerung des Impfschutzes</w:t>
            </w:r>
          </w:p>
          <w:p>
            <w:pPr>
              <w:pStyle w:val="Liste3"/>
            </w:pPr>
            <w:r>
              <w:t>d) Ausblick Endemie</w:t>
            </w:r>
          </w:p>
          <w:p>
            <w:pPr>
              <w:pStyle w:val="Liste2"/>
              <w:rPr>
                <w:lang w:val="de-DE"/>
              </w:rPr>
            </w:pPr>
            <w:r>
              <w:rPr>
                <w:lang w:val="de-DE"/>
              </w:rPr>
              <w:lastRenderedPageBreak/>
              <w:t xml:space="preserve"> Zu b 3: Testung von symptomatischen Personen „nach medizinischer Notwendigkeit“ sollte dazugefügt werden</w:t>
            </w:r>
          </w:p>
          <w:p>
            <w:pPr>
              <w:pStyle w:val="Liste2"/>
              <w:rPr>
                <w:lang w:val="de-DE"/>
              </w:rPr>
            </w:pPr>
            <w:r>
              <w:rPr>
                <w:lang w:val="de-DE"/>
              </w:rPr>
              <w:t>Alle Unterscheidungen nach Status (nach Zertifikaten geimpft/genesen) sollten vermieden werden</w:t>
            </w:r>
          </w:p>
          <w:p>
            <w:pPr>
              <w:pStyle w:val="Liste2"/>
              <w:rPr>
                <w:lang w:val="de-DE"/>
              </w:rPr>
            </w:pPr>
            <w:r>
              <w:rPr>
                <w:lang w:val="de-DE"/>
              </w:rPr>
              <w:t>Sollen symptomatische Personen nicht mehr auf behördliche Anordnung isoliert werden?  Quarantäne ist in a)2. Explizit erwähnt</w:t>
            </w:r>
          </w:p>
          <w:p>
            <w:pPr>
              <w:pStyle w:val="Liste2"/>
              <w:rPr>
                <w:lang w:val="de-DE"/>
              </w:rPr>
            </w:pPr>
            <w:r>
              <w:rPr>
                <w:lang w:val="de-DE"/>
              </w:rPr>
              <w:t>Isolierung könnte unter Maßnahmen, die beibehalten werden sollen aufgeführt werden</w:t>
            </w:r>
          </w:p>
          <w:p>
            <w:pPr>
              <w:pStyle w:val="Liste2"/>
              <w:rPr>
                <w:lang w:val="de-DE"/>
              </w:rPr>
            </w:pPr>
            <w:r>
              <w:rPr>
                <w:lang w:val="de-DE"/>
              </w:rPr>
              <w:t xml:space="preserve">Isolierung könnte auch unter Maßnahmen, die schrittweise zurückgenommen werden sollen, aufgeführt werden </w:t>
            </w:r>
          </w:p>
          <w:p>
            <w:pPr>
              <w:pStyle w:val="Liste2"/>
              <w:rPr>
                <w:lang w:val="de-DE"/>
              </w:rPr>
            </w:pPr>
            <w:r>
              <w:rPr>
                <w:lang w:val="de-DE"/>
              </w:rPr>
              <w:t>Ist vielleicht in dem Text zu Test (…nicht mehr vorrangig der Anordnung individueller Infektionsschutzmaßnahmen dienen…) schon impliziert?</w:t>
            </w:r>
          </w:p>
          <w:p>
            <w:pPr>
              <w:pStyle w:val="Liste2"/>
              <w:rPr>
                <w:lang w:val="de-DE"/>
              </w:rPr>
            </w:pPr>
            <w:r>
              <w:rPr>
                <w:lang w:val="de-DE"/>
              </w:rPr>
              <w:t>Vielleicht zu subtil, besser explizit: b)1. symptomatische Personen sollen sich selbst isolieren und nicht zur Arbeit gehen, Betretungsverbote in besonderen Einrichtungen</w:t>
            </w:r>
          </w:p>
          <w:p>
            <w:pPr>
              <w:pStyle w:val="Liste2"/>
              <w:rPr>
                <w:lang w:val="de-DE"/>
              </w:rPr>
            </w:pPr>
            <w:r>
              <w:rPr>
                <w:lang w:val="de-DE"/>
              </w:rPr>
              <w:t>Hinweis: Hohe Fallzahlen nach den Modellen etwa noch 5-6 Wochen</w:t>
            </w:r>
          </w:p>
          <w:p>
            <w:pPr>
              <w:pStyle w:val="Liste2"/>
              <w:rPr>
                <w:lang w:val="de-DE"/>
              </w:rPr>
            </w:pPr>
            <w:r>
              <w:rPr>
                <w:lang w:val="de-DE"/>
              </w:rPr>
              <w:t>Es ist effizient, auf Selbstisolierung hinzuweisen, Vorschlag Fußnote: Es gibt Infektionskrankheiten, für die weiterhin behördliche Schutzmaßnahmen angeordnet werden, dies sollte ausdrücklich erwähnt werden</w:t>
            </w:r>
          </w:p>
          <w:p>
            <w:pPr>
              <w:pStyle w:val="Liste2"/>
              <w:rPr>
                <w:lang w:val="de-DE"/>
              </w:rPr>
            </w:pPr>
            <w:r>
              <w:rPr>
                <w:lang w:val="de-DE"/>
              </w:rPr>
              <w:t>Generell: Quarantäne und Isolierung als behördliche Anordnung sollte auf ein Mindestmaß beschränkt werden (KH, Pflegeeinrichtungen), Selbstisolierung soll in den Vordergrund treten</w:t>
            </w:r>
          </w:p>
          <w:p>
            <w:pPr>
              <w:pStyle w:val="Liste2"/>
              <w:rPr>
                <w:lang w:val="de-DE"/>
              </w:rPr>
            </w:pPr>
            <w:r>
              <w:rPr>
                <w:lang w:val="de-DE"/>
              </w:rPr>
              <w:t>Frage: wer wenig Geld hat, wird auch symptomatisch weiter zur Arbeit gehen, wenn keine behördlichen Maßnahmen angeordnet werden? In diesen Fällen kann eine Krankschreibung erfolgen</w:t>
            </w:r>
          </w:p>
          <w:p>
            <w:pPr>
              <w:pStyle w:val="Liste2"/>
              <w:rPr>
                <w:lang w:val="de-DE"/>
              </w:rPr>
            </w:pPr>
            <w:r>
              <w:rPr>
                <w:lang w:val="de-DE"/>
              </w:rPr>
              <w:t>Es geht um eine Zielvision: Wo wird SARS-CoV-2 im Erregerspektrum eingeordnet werden- das wird in Richtung Influenza sein</w:t>
            </w:r>
          </w:p>
          <w:p>
            <w:pPr>
              <w:pStyle w:val="Liste2"/>
              <w:rPr>
                <w:lang w:val="de-DE"/>
              </w:rPr>
            </w:pPr>
            <w:r>
              <w:rPr>
                <w:lang w:val="de-DE"/>
              </w:rPr>
              <w:t>Könnte es auch wie Polio sein? Einige wenige werden sehr krank? Bisher keine Hinweise darauf, zudem sind diese Empfehlungen für einen kürzeren Zeitrahmen/für die Phase der abklingenden Welle/bis zum Erreichen eines niedrigeren Levels  gedacht und können jederzeit angepasst werden, längerfristige Pläne wie Sommermaßnahmen /Wintermaßnahmen (Konzept nach Streeck) können zu einem späteren Zeitpunkt diskutiert werden</w:t>
            </w:r>
          </w:p>
          <w:p>
            <w:pPr>
              <w:pStyle w:val="Liste2"/>
              <w:rPr>
                <w:lang w:val="de-DE"/>
              </w:rPr>
            </w:pPr>
            <w:r>
              <w:rPr>
                <w:lang w:val="de-DE"/>
              </w:rPr>
              <w:t xml:space="preserve">Die Lockerungsdiskussion findet in der Politik in jedem Fall (bereits) statt, mit und ohne Kommentar des RKI, deshalb ist ein inhaltlicher Beitrag auf fachlicher Basis wichtig, er sollte konkret ausformuliert werden, aber ohne Details, die der weiteren Entwicklung schnell nicht angemessen sein können  </w:t>
            </w:r>
          </w:p>
          <w:p>
            <w:pPr>
              <w:pStyle w:val="Liste2"/>
              <w:rPr>
                <w:lang w:val="de-DE"/>
              </w:rPr>
            </w:pPr>
            <w:r>
              <w:rPr>
                <w:lang w:val="de-DE"/>
              </w:rPr>
              <w:t xml:space="preserve">Wurde das Thema CWA bewusst weggelassen? </w:t>
            </w:r>
          </w:p>
          <w:p>
            <w:pPr>
              <w:pStyle w:val="Liste2"/>
              <w:numPr>
                <w:ilvl w:val="0"/>
                <w:numId w:val="0"/>
              </w:numPr>
              <w:ind w:left="833"/>
              <w:rPr>
                <w:lang w:val="de-DE"/>
              </w:rPr>
            </w:pPr>
            <w:r>
              <w:rPr>
                <w:lang w:val="de-DE"/>
              </w:rPr>
              <w:t xml:space="preserve">Ja, eventueller Wegfall der CWA soll zum jetzigen Zeitpunkt nicht konkretisiert werden, sie könnte eventuell auch angepasst werden etc. … </w:t>
            </w:r>
          </w:p>
          <w:p>
            <w:pPr>
              <w:pStyle w:val="Liste2"/>
              <w:rPr>
                <w:lang w:val="de-DE"/>
              </w:rPr>
            </w:pPr>
            <w:r>
              <w:rPr>
                <w:lang w:val="de-DE"/>
              </w:rPr>
              <w:t xml:space="preserve">RKI sollte als oberste Instanz des Infektionsschutzes sehr sorgfältig abwägen, es wird neue, möglicherweise virulentere </w:t>
            </w:r>
            <w:r>
              <w:rPr>
                <w:lang w:val="de-DE"/>
              </w:rPr>
              <w:lastRenderedPageBreak/>
              <w:t>Varianten geben, COVID_19 führt zu chronischen Erkrankungen, wir werden daran gemessen werden</w:t>
            </w:r>
          </w:p>
          <w:p>
            <w:pPr>
              <w:pStyle w:val="Liste2"/>
              <w:rPr>
                <w:lang w:val="de-DE"/>
              </w:rPr>
            </w:pPr>
            <w:r>
              <w:rPr>
                <w:lang w:val="de-DE"/>
              </w:rPr>
              <w:t>RKI ist auch PH-Institut, Vermeidung jeglicher Infektion kann nicht oberstes Ziel sein</w:t>
            </w:r>
          </w:p>
          <w:p>
            <w:pPr>
              <w:pStyle w:val="Liste2"/>
              <w:rPr>
                <w:lang w:val="de-DE"/>
              </w:rPr>
            </w:pPr>
            <w:r>
              <w:rPr>
                <w:lang w:val="de-DE"/>
              </w:rPr>
              <w:t xml:space="preserve">Das Papier kann nur die die aktuelle Entwicklung festschreiben „unter den Prämissen der aktuellen Entwicklung“ </w:t>
            </w:r>
          </w:p>
          <w:p>
            <w:pPr>
              <w:pStyle w:val="Liste2"/>
              <w:rPr>
                <w:lang w:val="de-DE"/>
              </w:rPr>
            </w:pPr>
            <w:r>
              <w:rPr>
                <w:lang w:val="de-DE"/>
              </w:rPr>
              <w:t>Es kann darauf hingewiesen werden, dass der Zusammenhang zwischen akuter und chronischer Erkrankung mehr in den Blick genommen werden muss</w:t>
            </w:r>
          </w:p>
          <w:p>
            <w:pPr>
              <w:pStyle w:val="Liste2"/>
              <w:rPr>
                <w:lang w:val="de-DE"/>
              </w:rPr>
            </w:pPr>
            <w:r>
              <w:rPr>
                <w:lang w:val="de-DE"/>
              </w:rPr>
              <w:t>Das Papier soll perspektivisch gefasst sein: In welche Richtung könnte es gehen</w:t>
            </w:r>
          </w:p>
          <w:p>
            <w:pPr>
              <w:pStyle w:val="Liste2"/>
              <w:rPr>
                <w:lang w:val="de-DE"/>
              </w:rPr>
            </w:pPr>
            <w:r>
              <w:rPr>
                <w:lang w:val="de-DE"/>
              </w:rPr>
              <w:t>Hinweis an die Politik, dass viel Zeit und Energie in die technische und rechtliche Gestaltung von Zertifikaten und in die Ausgestaltung rechtlicher Verordnungen investiert wird, die in absehbarer Zeit nicht mehr notwendig sind</w:t>
            </w:r>
          </w:p>
          <w:p>
            <w:pPr>
              <w:pStyle w:val="Liste2"/>
              <w:rPr>
                <w:lang w:val="de-DE"/>
              </w:rPr>
            </w:pPr>
            <w:r>
              <w:rPr>
                <w:lang w:val="de-DE"/>
              </w:rPr>
              <w:t xml:space="preserve">Ausblick: Übergang in den „endemischer Zustand“ klingt wie eine stabile und Lage, wird der Situation nicht gerecht? </w:t>
            </w:r>
          </w:p>
          <w:p>
            <w:pPr>
              <w:pStyle w:val="Liste2"/>
              <w:numPr>
                <w:ilvl w:val="0"/>
                <w:numId w:val="0"/>
              </w:numPr>
              <w:ind w:left="833"/>
              <w:rPr>
                <w:lang w:val="de-DE"/>
              </w:rPr>
            </w:pPr>
            <w:r>
              <w:rPr>
                <w:lang w:val="de-DE"/>
              </w:rPr>
              <w:t xml:space="preserve">Der schwierige Prozess wird in dem Absatz noch ausführlicher beschrieben  </w:t>
            </w:r>
          </w:p>
          <w:p>
            <w:pPr>
              <w:pStyle w:val="Liste2"/>
              <w:numPr>
                <w:ilvl w:val="0"/>
                <w:numId w:val="0"/>
              </w:numPr>
              <w:rPr>
                <w:lang w:val="de-DE"/>
              </w:rPr>
            </w:pPr>
            <w:r>
              <w:rPr>
                <w:lang w:val="de-DE"/>
              </w:rPr>
              <w:t xml:space="preserve"> </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 xml:space="preserve">Abt 3 </w:t>
            </w:r>
          </w:p>
          <w:p>
            <w:pPr>
              <w:rPr>
                <w:sz w:val="22"/>
                <w:szCs w:val="22"/>
              </w:rPr>
            </w:pPr>
            <w:r>
              <w:rPr>
                <w:sz w:val="22"/>
                <w:szCs w:val="22"/>
                <w:lang w:val="en-GB"/>
              </w:rPr>
              <w:br/>
            </w:r>
            <w:r>
              <w:rPr>
                <w:sz w:val="22"/>
                <w:szCs w:val="22"/>
              </w:rPr>
              <w:t xml:space="preserve">(Jung-Sendzik) </w:t>
            </w:r>
          </w:p>
          <w:p>
            <w:pPr>
              <w:rPr>
                <w:sz w:val="22"/>
                <w:szCs w:val="22"/>
                <w:lang w:val="en-GB"/>
              </w:rPr>
            </w:pPr>
          </w:p>
          <w:p>
            <w:pPr>
              <w:rPr>
                <w:sz w:val="22"/>
                <w:szCs w:val="22"/>
                <w:lang w:val="en-GB"/>
              </w:rPr>
            </w:pPr>
          </w:p>
          <w:p>
            <w:pPr>
              <w:rPr>
                <w:i/>
                <w:sz w:val="22"/>
                <w:szCs w:val="22"/>
                <w:lang w:val="en-GB"/>
              </w:rPr>
            </w:pPr>
            <w:proofErr w:type="spellStart"/>
            <w:r>
              <w:rPr>
                <w:i/>
                <w:sz w:val="22"/>
                <w:szCs w:val="22"/>
                <w:lang w:val="en-GB"/>
              </w:rPr>
              <w:t>Alle</w:t>
            </w:r>
            <w:proofErr w:type="spellEnd"/>
          </w:p>
          <w:p>
            <w:pPr>
              <w:rPr>
                <w:i/>
                <w:sz w:val="22"/>
                <w:szCs w:val="22"/>
                <w:lang w:val="en-GB"/>
              </w:rPr>
            </w:pPr>
          </w:p>
          <w:p>
            <w:pPr>
              <w:rPr>
                <w:i/>
                <w:sz w:val="22"/>
                <w:szCs w:val="22"/>
                <w:lang w:val="en-GB"/>
              </w:rPr>
            </w:pPr>
          </w:p>
          <w:p>
            <w:pPr>
              <w:rPr>
                <w:sz w:val="22"/>
                <w:szCs w:val="22"/>
                <w:lang w:val="en-GB"/>
              </w:rPr>
            </w:pPr>
          </w:p>
          <w:p>
            <w:pPr>
              <w:rPr>
                <w:sz w:val="22"/>
                <w:szCs w:val="22"/>
                <w:lang w:val="en-GB"/>
              </w:rPr>
            </w:pPr>
            <w:proofErr w:type="spellStart"/>
            <w:r>
              <w:rPr>
                <w:sz w:val="22"/>
                <w:szCs w:val="22"/>
                <w:lang w:val="en-GB"/>
              </w:rPr>
              <w:t>Alle</w:t>
            </w:r>
            <w:proofErr w:type="spellEnd"/>
          </w:p>
        </w:tc>
      </w:tr>
      <w:tr>
        <w:tc>
          <w:tcPr>
            <w:tcW w:w="684" w:type="dxa"/>
          </w:tcPr>
          <w:p>
            <w:pPr>
              <w:rPr>
                <w:b/>
              </w:rPr>
            </w:pPr>
            <w:r>
              <w:rPr>
                <w:b/>
              </w:rPr>
              <w:lastRenderedPageBreak/>
              <w:t>8</w:t>
            </w:r>
          </w:p>
        </w:tc>
        <w:tc>
          <w:tcPr>
            <w:tcW w:w="6824" w:type="dxa"/>
          </w:tcPr>
          <w:p>
            <w:pPr>
              <w:spacing w:line="276" w:lineRule="auto"/>
              <w:rPr>
                <w:b/>
                <w:sz w:val="28"/>
              </w:rPr>
            </w:pPr>
            <w:r>
              <w:rPr>
                <w:b/>
                <w:sz w:val="28"/>
              </w:rPr>
              <w:t>Dokumente</w:t>
            </w:r>
          </w:p>
          <w:p>
            <w:pPr>
              <w:pStyle w:val="Liste1"/>
              <w:numPr>
                <w:ilvl w:val="0"/>
                <w:numId w:val="0"/>
              </w:numPr>
              <w:ind w:left="473"/>
              <w:rPr>
                <w:i/>
              </w:rPr>
            </w:pPr>
            <w:r>
              <w:rPr>
                <w:i/>
              </w:rPr>
              <w:t xml:space="preserve"> </w:t>
            </w:r>
          </w:p>
          <w:p>
            <w:pPr>
              <w:pStyle w:val="Liste1"/>
            </w:pPr>
            <w:r>
              <w:t xml:space="preserve">Disclaimer zum Erregersteckbrief  </w:t>
            </w:r>
          </w:p>
          <w:p>
            <w:pPr>
              <w:pStyle w:val="Liste2"/>
              <w:rPr>
                <w:lang w:val="de-DE"/>
              </w:rPr>
            </w:pPr>
            <w:proofErr w:type="spellStart"/>
            <w:r>
              <w:t>Dokument</w:t>
            </w:r>
            <w:proofErr w:type="spellEnd"/>
            <w:r>
              <w:t xml:space="preserve"> </w:t>
            </w:r>
            <w:hyperlink r:id="rId24" w:history="1">
              <w:proofErr w:type="spellStart"/>
              <w:r>
                <w:rPr>
                  <w:rStyle w:val="Hyperlink"/>
                </w:rPr>
                <w:t>hier</w:t>
              </w:r>
              <w:proofErr w:type="spellEnd"/>
            </w:hyperlink>
          </w:p>
          <w:p>
            <w:pPr>
              <w:pStyle w:val="Liste2"/>
              <w:rPr>
                <w:lang w:val="de-DE"/>
              </w:rPr>
            </w:pPr>
            <w:r>
              <w:rPr>
                <w:lang w:val="de-DE"/>
              </w:rPr>
              <w:t>Dank an alle, die bisher dazu beigetragen haben</w:t>
            </w:r>
          </w:p>
          <w:p>
            <w:pPr>
              <w:pStyle w:val="Liste2"/>
              <w:rPr>
                <w:lang w:val="de-DE"/>
              </w:rPr>
            </w:pPr>
            <w:r>
              <w:rPr>
                <w:lang w:val="de-DE"/>
              </w:rPr>
              <w:t>Soll dem Steckbrief als „Gebrauchsanweisung“ vorangestellt werden</w:t>
            </w:r>
          </w:p>
          <w:p>
            <w:pPr>
              <w:pStyle w:val="Liste2"/>
              <w:rPr>
                <w:lang w:val="de-DE"/>
              </w:rPr>
            </w:pPr>
            <w:r>
              <w:rPr>
                <w:lang w:val="de-DE"/>
              </w:rPr>
              <w:t>Alle Abschnitte des Steckbriefs sind abgebildet und sollen mit Links und Hinweisen zu weiteren aktuellen Informationen zum jeweiligen Thema versehen werden versehen</w:t>
            </w:r>
          </w:p>
          <w:p>
            <w:pPr>
              <w:pStyle w:val="Liste2"/>
              <w:numPr>
                <w:ilvl w:val="0"/>
                <w:numId w:val="0"/>
              </w:numPr>
              <w:rPr>
                <w:lang w:val="de-DE"/>
              </w:rPr>
            </w:pPr>
          </w:p>
          <w:p>
            <w:pPr>
              <w:pStyle w:val="Liste2"/>
              <w:numPr>
                <w:ilvl w:val="0"/>
                <w:numId w:val="0"/>
              </w:numPr>
              <w:rPr>
                <w:lang w:val="de-DE"/>
              </w:rPr>
            </w:pPr>
          </w:p>
          <w:p>
            <w:pPr>
              <w:pStyle w:val="Liste2"/>
              <w:numPr>
                <w:ilvl w:val="0"/>
                <w:numId w:val="0"/>
              </w:numPr>
              <w:rPr>
                <w:i/>
                <w:lang w:val="de-DE"/>
              </w:rPr>
            </w:pPr>
            <w:proofErr w:type="spellStart"/>
            <w:r>
              <w:rPr>
                <w:i/>
                <w:lang w:val="de-DE"/>
              </w:rPr>
              <w:t>ToDo</w:t>
            </w:r>
            <w:proofErr w:type="spellEnd"/>
            <w:r>
              <w:rPr>
                <w:i/>
                <w:lang w:val="de-DE"/>
              </w:rPr>
              <w:t xml:space="preserve">: Papier wird zirkuliert, Rückmeldungen, Kommentare, </w:t>
            </w:r>
            <w:proofErr w:type="gramStart"/>
            <w:r>
              <w:rPr>
                <w:i/>
                <w:lang w:val="de-DE"/>
              </w:rPr>
              <w:t>Ergänzungen  bitte</w:t>
            </w:r>
            <w:proofErr w:type="gramEnd"/>
            <w:r>
              <w:rPr>
                <w:i/>
                <w:lang w:val="de-DE"/>
              </w:rPr>
              <w:t xml:space="preserve"> bis Montag 14,02.2022 Dienstschluss einarbeiten, am Dienstag soll der Disclaimer finalisiert und veröffentlicht werden </w:t>
            </w:r>
          </w:p>
          <w:p>
            <w:pPr>
              <w:pStyle w:val="Liste2"/>
              <w:numPr>
                <w:ilvl w:val="0"/>
                <w:numId w:val="0"/>
              </w:numPr>
              <w:rPr>
                <w:lang w:val="de-DE"/>
              </w:rPr>
            </w:pPr>
          </w:p>
          <w:p>
            <w:pPr>
              <w:pStyle w:val="Liste2"/>
              <w:numPr>
                <w:ilvl w:val="0"/>
                <w:numId w:val="0"/>
              </w:numPr>
              <w:rPr>
                <w:lang w:val="de-DE"/>
              </w:rPr>
            </w:pPr>
            <w:r>
              <w:rPr>
                <w:lang w:val="de-DE"/>
              </w:rPr>
              <w:t xml:space="preserve"> </w:t>
            </w:r>
          </w:p>
          <w:p>
            <w:pPr>
              <w:pStyle w:val="Liste1"/>
            </w:pPr>
            <w:r>
              <w:t>FAQ: Test-</w:t>
            </w:r>
            <w:proofErr w:type="spellStart"/>
            <w:r>
              <w:t>to</w:t>
            </w:r>
            <w:proofErr w:type="spellEnd"/>
            <w:r>
              <w:t>-</w:t>
            </w:r>
            <w:proofErr w:type="spellStart"/>
            <w:r>
              <w:t>stay</w:t>
            </w:r>
            <w:proofErr w:type="spellEnd"/>
            <w:r>
              <w:t xml:space="preserve"> </w:t>
            </w:r>
          </w:p>
          <w:p>
            <w:pPr>
              <w:pStyle w:val="Liste2"/>
              <w:rPr>
                <w:lang w:val="de-DE"/>
              </w:rPr>
            </w:pPr>
            <w:r>
              <w:rPr>
                <w:lang w:val="de-DE"/>
              </w:rPr>
              <w:t xml:space="preserve">Dokument </w:t>
            </w:r>
            <w:hyperlink r:id="rId25" w:history="1">
              <w:r>
                <w:rPr>
                  <w:rStyle w:val="Hyperlink"/>
                  <w:lang w:val="de-DE"/>
                </w:rPr>
                <w:t>hier</w:t>
              </w:r>
            </w:hyperlink>
            <w:r>
              <w:rPr>
                <w:lang w:val="de-DE"/>
              </w:rPr>
              <w:t xml:space="preserve">, Elterninformation Berlin </w:t>
            </w:r>
            <w:hyperlink r:id="rId26" w:history="1">
              <w:r>
                <w:rPr>
                  <w:rStyle w:val="Hyperlink"/>
                  <w:lang w:val="de-DE"/>
                </w:rPr>
                <w:t>hier</w:t>
              </w:r>
            </w:hyperlink>
            <w:r>
              <w:rPr>
                <w:lang w:val="de-DE"/>
              </w:rPr>
              <w:t xml:space="preserve">, KITA-Information Berlin </w:t>
            </w:r>
            <w:hyperlink r:id="rId27" w:history="1">
              <w:r>
                <w:rPr>
                  <w:rStyle w:val="Hyperlink"/>
                  <w:lang w:val="de-DE"/>
                </w:rPr>
                <w:t>hier</w:t>
              </w:r>
            </w:hyperlink>
            <w:r>
              <w:rPr>
                <w:lang w:val="de-DE"/>
              </w:rPr>
              <w:t xml:space="preserve">  </w:t>
            </w:r>
          </w:p>
          <w:p>
            <w:pPr>
              <w:pStyle w:val="Liste2"/>
              <w:rPr>
                <w:lang w:val="de-DE"/>
              </w:rPr>
            </w:pPr>
            <w:r>
              <w:rPr>
                <w:lang w:val="de-DE"/>
              </w:rPr>
              <w:t>Dank an alle Beitragenden</w:t>
            </w:r>
          </w:p>
          <w:p>
            <w:pPr>
              <w:pStyle w:val="Liste2"/>
              <w:rPr>
                <w:lang w:val="de-DE"/>
              </w:rPr>
            </w:pPr>
            <w:r>
              <w:rPr>
                <w:lang w:val="de-DE"/>
              </w:rPr>
              <w:t>Soll es bei einer FAQ mit Erklärung des Konzepts bleiben oder sollen eigene RKI-Empfehlungen formuliert werden, mit denen ggf. individuell auf Anfragen zu der Fußnote der MPK-Beschlüsse reagiert werden kann?</w:t>
            </w:r>
          </w:p>
          <w:p>
            <w:pPr>
              <w:pStyle w:val="Liste2"/>
              <w:rPr>
                <w:lang w:val="de-DE"/>
              </w:rPr>
            </w:pPr>
            <w:r>
              <w:rPr>
                <w:lang w:val="de-DE"/>
              </w:rPr>
              <w:t xml:space="preserve">Es bleibt bei FAQ   </w:t>
            </w:r>
          </w:p>
          <w:p>
            <w:pPr>
              <w:pStyle w:val="Liste2"/>
              <w:rPr>
                <w:lang w:val="de-DE"/>
              </w:rPr>
            </w:pPr>
            <w:r>
              <w:rPr>
                <w:lang w:val="de-DE"/>
              </w:rPr>
              <w:t>In den beiden Papieren der Berliner Gesundheitsverwaltung wird nicht auf das RKI verwiesen</w:t>
            </w:r>
          </w:p>
          <w:p>
            <w:pPr>
              <w:pStyle w:val="Liste2"/>
              <w:rPr>
                <w:lang w:val="de-DE"/>
              </w:rPr>
            </w:pPr>
            <w:r>
              <w:rPr>
                <w:lang w:val="de-DE"/>
              </w:rPr>
              <w:lastRenderedPageBreak/>
              <w:t>Trennschärfe zwischen RKI und MPK-Empfehlungen ist nicht gegeben, da der MPK-Beschluss auf der RKI Homepage veröffentlicht ist</w:t>
            </w:r>
          </w:p>
          <w:p>
            <w:pPr>
              <w:pStyle w:val="Liste2"/>
              <w:rPr>
                <w:lang w:val="de-DE"/>
              </w:rPr>
            </w:pPr>
            <w:r>
              <w:rPr>
                <w:lang w:val="de-DE"/>
              </w:rPr>
              <w:t xml:space="preserve">1. Absatz: andere Formulierung für „nicht anlassbezogene Testungen“? Präventive Testungen? Tests sind nicht präventiv </w:t>
            </w:r>
          </w:p>
          <w:p>
            <w:pPr>
              <w:pStyle w:val="Liste2"/>
              <w:numPr>
                <w:ilvl w:val="0"/>
                <w:numId w:val="0"/>
              </w:numPr>
              <w:ind w:left="833"/>
              <w:rPr>
                <w:lang w:val="de-DE"/>
              </w:rPr>
            </w:pPr>
            <w:r>
              <w:rPr>
                <w:lang w:val="de-DE"/>
              </w:rPr>
              <w:t xml:space="preserve">Lösung: Kein Adjektiv, „serielle Testung“ ist gut  </w:t>
            </w:r>
          </w:p>
          <w:p>
            <w:pPr>
              <w:pStyle w:val="Liste2"/>
              <w:rPr>
                <w:lang w:val="de-DE"/>
              </w:rPr>
            </w:pPr>
            <w:r>
              <w:rPr>
                <w:lang w:val="de-DE"/>
              </w:rPr>
              <w:t xml:space="preserve">Soll der Absatz “Da der TTS-Ansatz die konsequente Umsetzung der empfohlenen infektionspräventiven Maßnahmen, inkl. durchgehendem und korrektem Tragen einer medizinischen Maske, voraussetzt, eignet er sich nur für das Schulsetting und nicht für jüngere (Kita-)Kinder“ gestrichen werden? </w:t>
            </w:r>
          </w:p>
          <w:p>
            <w:pPr>
              <w:pStyle w:val="Liste2"/>
              <w:rPr>
                <w:lang w:val="de-DE"/>
              </w:rPr>
            </w:pPr>
            <w:r>
              <w:rPr>
                <w:lang w:val="de-DE"/>
              </w:rPr>
              <w:t xml:space="preserve">Ja, kann weggelassen werden, lässt sich aus der Literatur nicht eindeutig begründen, international (Ontario-Papier) wird das unterschiedlich gehandhabt und unter Punkt 2 unserer FAQ ist das Tragen von Masken ohnehin explizit aufgeführt </w:t>
            </w:r>
          </w:p>
          <w:p>
            <w:pPr>
              <w:pStyle w:val="Liste1"/>
              <w:numPr>
                <w:ilvl w:val="0"/>
                <w:numId w:val="0"/>
              </w:numPr>
            </w:pP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 xml:space="preserve">FG36 Haas)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FG36 (Haas) </w:t>
            </w:r>
          </w:p>
        </w:tc>
      </w:tr>
      <w:tr>
        <w:tc>
          <w:tcPr>
            <w:tcW w:w="684" w:type="dxa"/>
          </w:tcPr>
          <w:p>
            <w:pPr>
              <w:rPr>
                <w:b/>
              </w:rPr>
            </w:pPr>
            <w:r>
              <w:rPr>
                <w:b/>
              </w:rPr>
              <w:t>9</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Derzeit wird umfangreiche Zuarbeit zum Thema Impfpflicht vom BMG eingefordert</w:t>
            </w:r>
          </w:p>
          <w:p>
            <w:pPr>
              <w:pStyle w:val="2"/>
            </w:pPr>
            <w:r>
              <w:t>STIKO</w:t>
            </w:r>
          </w:p>
          <w:p>
            <w:pPr>
              <w:pStyle w:val="Liste1"/>
            </w:pPr>
            <w:r>
              <w:t xml:space="preserve">Veröffentlichung der Stellungnahme zu </w:t>
            </w:r>
            <w:proofErr w:type="spellStart"/>
            <w:r>
              <w:t>Novavax</w:t>
            </w:r>
            <w:proofErr w:type="spellEnd"/>
            <w:r>
              <w:t xml:space="preserve"> und 2. Booster-Impfung verzögert sich etwas, voraussichtlich Mittwoch 16.02.2022, da wissenschaftliche Begründung für ältere AG mit Daten aus UK nachjustiert werden muss  </w:t>
            </w:r>
          </w:p>
        </w:tc>
        <w:tc>
          <w:tcPr>
            <w:tcW w:w="1463" w:type="dxa"/>
          </w:tcPr>
          <w:p>
            <w:pPr>
              <w:rPr>
                <w:sz w:val="22"/>
                <w:szCs w:val="22"/>
              </w:rPr>
            </w:pPr>
          </w:p>
          <w:p>
            <w:pPr>
              <w:rPr>
                <w:sz w:val="22"/>
                <w:szCs w:val="22"/>
              </w:rPr>
            </w:pPr>
            <w:r>
              <w:rPr>
                <w:sz w:val="22"/>
                <w:szCs w:val="22"/>
              </w:rPr>
              <w:t xml:space="preserve">FG33 (Wichmann)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Labordiagnostik</w:t>
            </w:r>
          </w:p>
          <w:p>
            <w:pPr>
              <w:pStyle w:val="2"/>
            </w:pPr>
            <w:r>
              <w:t>FG17</w:t>
            </w:r>
          </w:p>
          <w:p>
            <w:pPr>
              <w:pStyle w:val="Liste1"/>
            </w:pPr>
            <w:r>
              <w:t>Nicht berichtet</w:t>
            </w:r>
          </w:p>
          <w:p>
            <w:pPr>
              <w:pStyle w:val="2"/>
            </w:pPr>
            <w:r>
              <w:t>ZBS1</w:t>
            </w:r>
          </w:p>
          <w:p>
            <w:pPr>
              <w:pStyle w:val="Liste1"/>
            </w:pPr>
            <w:r>
              <w:t>119 Proben/64 (54%) positiv</w:t>
            </w:r>
          </w:p>
          <w:p>
            <w:pPr>
              <w:pStyle w:val="Liste1"/>
            </w:pPr>
            <w:r>
              <w:t>Darunter sind auch Studienproben hauptsächlich aus Berlin, gelegentlich auch von Extern mit der Bitte um Typisierung</w:t>
            </w:r>
          </w:p>
          <w:p>
            <w:pPr>
              <w:pStyle w:val="Liste1"/>
              <w:numPr>
                <w:ilvl w:val="0"/>
                <w:numId w:val="0"/>
              </w:numPr>
            </w:pP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 (Michel)</w:t>
            </w:r>
            <w:r>
              <w:rPr>
                <w:sz w:val="22"/>
                <w:szCs w:val="22"/>
              </w:rPr>
              <w:br/>
            </w:r>
          </w:p>
        </w:tc>
      </w:tr>
      <w:tr>
        <w:tc>
          <w:tcPr>
            <w:tcW w:w="684" w:type="dxa"/>
          </w:tcPr>
          <w:p>
            <w:pPr>
              <w:rPr>
                <w:b/>
              </w:rPr>
            </w:pPr>
            <w:r>
              <w:rPr>
                <w:b/>
              </w:rPr>
              <w:t>11</w:t>
            </w:r>
          </w:p>
        </w:tc>
        <w:tc>
          <w:tcPr>
            <w:tcW w:w="6824" w:type="dxa"/>
          </w:tcPr>
          <w:p>
            <w:pPr>
              <w:pStyle w:val="1"/>
            </w:pPr>
            <w:r>
              <w:t>Klinisches Management/Entlassungsmanagement</w:t>
            </w:r>
          </w:p>
          <w:p>
            <w:pPr>
              <w:pStyle w:val="Liste1"/>
              <w:rPr>
                <w:b/>
              </w:rPr>
            </w:pPr>
            <w:r>
              <w:t xml:space="preserve">Nicht berichtet </w:t>
            </w: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rPr>
                <w:highlight w:val="yellow"/>
              </w:rPr>
            </w:pPr>
            <w:r>
              <w:rPr>
                <w:highlight w:val="yellow"/>
              </w:rPr>
              <w:t>seit Mittwoch, 09.02.2022 können Apotheken auch positive Schnelltests an die GÄ melden (</w:t>
            </w:r>
            <w:r>
              <w:rPr>
                <w:i/>
                <w:highlight w:val="yellow"/>
              </w:rPr>
              <w:t>bitte ggf. korrigieren</w:t>
            </w:r>
            <w:r>
              <w:rPr>
                <w:highlight w:val="yellow"/>
              </w:rPr>
              <w:t>)</w:t>
            </w:r>
          </w:p>
          <w:p>
            <w:pPr>
              <w:spacing w:after="160" w:line="259" w:lineRule="auto"/>
            </w:pPr>
          </w:p>
        </w:tc>
        <w:tc>
          <w:tcPr>
            <w:tcW w:w="1463" w:type="dxa"/>
          </w:tcPr>
          <w:p>
            <w:pPr>
              <w:rPr>
                <w:sz w:val="22"/>
                <w:szCs w:val="22"/>
              </w:rPr>
            </w:pPr>
          </w:p>
          <w:p>
            <w:pPr>
              <w:rPr>
                <w:sz w:val="22"/>
                <w:szCs w:val="22"/>
              </w:rPr>
            </w:pPr>
            <w:r>
              <w:rPr>
                <w:sz w:val="22"/>
                <w:szCs w:val="22"/>
              </w:rPr>
              <w:t>FG 32 (Diercke)</w:t>
            </w:r>
          </w:p>
          <w:p>
            <w:pPr>
              <w:rPr>
                <w:sz w:val="22"/>
                <w:szCs w:val="22"/>
              </w:rPr>
            </w:pPr>
          </w:p>
        </w:tc>
      </w:tr>
      <w:tr>
        <w:tc>
          <w:tcPr>
            <w:tcW w:w="684" w:type="dxa"/>
          </w:tcPr>
          <w:p>
            <w:pPr>
              <w:rPr>
                <w:b/>
              </w:rPr>
            </w:pPr>
            <w:r>
              <w:rPr>
                <w:b/>
              </w:rPr>
              <w:lastRenderedPageBreak/>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 xml:space="preserve">nicht berichtet </w:t>
            </w:r>
          </w:p>
          <w:p>
            <w:pPr>
              <w:pStyle w:val="Liste1"/>
              <w:numPr>
                <w:ilvl w:val="0"/>
                <w:numId w:val="0"/>
              </w:numPr>
              <w:ind w:left="473" w:hanging="360"/>
            </w:pP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 xml:space="preserve">Internationale Kommunikation ist durch die hohe Anzahl an Fällen stark belastet </w:t>
            </w:r>
          </w:p>
          <w:p>
            <w:pPr>
              <w:pStyle w:val="Liste1"/>
              <w:numPr>
                <w:ilvl w:val="0"/>
                <w:numId w:val="0"/>
              </w:numPr>
              <w:ind w:left="473"/>
            </w:pPr>
          </w:p>
        </w:tc>
        <w:tc>
          <w:tcPr>
            <w:tcW w:w="1463" w:type="dxa"/>
          </w:tcPr>
          <w:p>
            <w:pPr>
              <w:rPr>
                <w:sz w:val="22"/>
                <w:szCs w:val="22"/>
              </w:rPr>
            </w:pPr>
          </w:p>
          <w:p>
            <w:pPr>
              <w:rPr>
                <w:sz w:val="22"/>
                <w:szCs w:val="22"/>
              </w:rPr>
            </w:pPr>
            <w:r>
              <w:rPr>
                <w:sz w:val="22"/>
                <w:szCs w:val="22"/>
              </w:rPr>
              <w:t>FG38 (Rexroth)</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keine </w:t>
            </w:r>
          </w:p>
          <w:p>
            <w:pPr>
              <w:pStyle w:val="Liste1"/>
              <w:numPr>
                <w:ilvl w:val="0"/>
                <w:numId w:val="0"/>
              </w:numPr>
            </w:pPr>
          </w:p>
        </w:tc>
        <w:tc>
          <w:tcPr>
            <w:tcW w:w="1463" w:type="dxa"/>
          </w:tcPr>
          <w:p>
            <w:pPr>
              <w:rPr>
                <w:sz w:val="22"/>
                <w:szCs w:val="22"/>
              </w:rPr>
            </w:pPr>
          </w:p>
        </w:tc>
      </w:tr>
      <w:tr>
        <w:tc>
          <w:tcPr>
            <w:tcW w:w="684" w:type="dxa"/>
          </w:tcPr>
          <w:p>
            <w:pPr>
              <w:rPr>
                <w:b/>
              </w:rPr>
            </w:pPr>
          </w:p>
        </w:tc>
        <w:tc>
          <w:tcPr>
            <w:tcW w:w="6824" w:type="dxa"/>
            <w:vAlign w:val="center"/>
          </w:tcPr>
          <w:p>
            <w:pPr>
              <w:pStyle w:val="Liste1"/>
            </w:pPr>
            <w:r>
              <w:t xml:space="preserve">Nächste Sitzung: Montag, 14.02.2022, 13:00 Uhr, via </w:t>
            </w:r>
            <w:proofErr w:type="spellStart"/>
            <w:r>
              <w:t>Webex</w:t>
            </w:r>
            <w:proofErr w:type="spellEnd"/>
          </w:p>
        </w:tc>
        <w:tc>
          <w:tcPr>
            <w:tcW w:w="1463" w:type="dxa"/>
          </w:tcPr>
          <w:p>
            <w:pPr>
              <w:rPr>
                <w:sz w:val="22"/>
                <w:szCs w:val="22"/>
              </w:rPr>
            </w:pPr>
          </w:p>
        </w:tc>
      </w:tr>
    </w:tbl>
    <w:p>
      <w:pPr>
        <w:rPr>
          <w:b/>
        </w:rPr>
      </w:pPr>
    </w:p>
    <w:p>
      <w:pPr>
        <w:rPr>
          <w:b/>
        </w:rPr>
      </w:pPr>
      <w:r>
        <w:rPr>
          <w:b/>
        </w:rPr>
        <w:t>Ende: 13:10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61312"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2"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7743"/>
    <w:multiLevelType w:val="hybridMultilevel"/>
    <w:tmpl w:val="45F07B5A"/>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 w15:restartNumberingAfterBreak="0">
    <w:nsid w:val="09860137"/>
    <w:multiLevelType w:val="hybridMultilevel"/>
    <w:tmpl w:val="9AA097EE"/>
    <w:lvl w:ilvl="0" w:tplc="01380A42">
      <w:start w:val="1"/>
      <w:numFmt w:val="bullet"/>
      <w:lvlText w:val="•"/>
      <w:lvlJc w:val="left"/>
      <w:pPr>
        <w:tabs>
          <w:tab w:val="num" w:pos="720"/>
        </w:tabs>
        <w:ind w:left="720" w:hanging="360"/>
      </w:pPr>
      <w:rPr>
        <w:rFonts w:ascii="Arial" w:hAnsi="Arial" w:hint="default"/>
      </w:rPr>
    </w:lvl>
    <w:lvl w:ilvl="1" w:tplc="F2F414FC">
      <w:start w:val="1"/>
      <w:numFmt w:val="bullet"/>
      <w:lvlText w:val="•"/>
      <w:lvlJc w:val="left"/>
      <w:pPr>
        <w:tabs>
          <w:tab w:val="num" w:pos="1440"/>
        </w:tabs>
        <w:ind w:left="1440" w:hanging="360"/>
      </w:pPr>
      <w:rPr>
        <w:rFonts w:ascii="Arial" w:hAnsi="Arial" w:hint="default"/>
      </w:rPr>
    </w:lvl>
    <w:lvl w:ilvl="2" w:tplc="51B87CC6" w:tentative="1">
      <w:start w:val="1"/>
      <w:numFmt w:val="bullet"/>
      <w:lvlText w:val="•"/>
      <w:lvlJc w:val="left"/>
      <w:pPr>
        <w:tabs>
          <w:tab w:val="num" w:pos="2160"/>
        </w:tabs>
        <w:ind w:left="2160" w:hanging="360"/>
      </w:pPr>
      <w:rPr>
        <w:rFonts w:ascii="Arial" w:hAnsi="Arial" w:hint="default"/>
      </w:rPr>
    </w:lvl>
    <w:lvl w:ilvl="3" w:tplc="4922FEC8" w:tentative="1">
      <w:start w:val="1"/>
      <w:numFmt w:val="bullet"/>
      <w:lvlText w:val="•"/>
      <w:lvlJc w:val="left"/>
      <w:pPr>
        <w:tabs>
          <w:tab w:val="num" w:pos="2880"/>
        </w:tabs>
        <w:ind w:left="2880" w:hanging="360"/>
      </w:pPr>
      <w:rPr>
        <w:rFonts w:ascii="Arial" w:hAnsi="Arial" w:hint="default"/>
      </w:rPr>
    </w:lvl>
    <w:lvl w:ilvl="4" w:tplc="FF5ADC0C" w:tentative="1">
      <w:start w:val="1"/>
      <w:numFmt w:val="bullet"/>
      <w:lvlText w:val="•"/>
      <w:lvlJc w:val="left"/>
      <w:pPr>
        <w:tabs>
          <w:tab w:val="num" w:pos="3600"/>
        </w:tabs>
        <w:ind w:left="3600" w:hanging="360"/>
      </w:pPr>
      <w:rPr>
        <w:rFonts w:ascii="Arial" w:hAnsi="Arial" w:hint="default"/>
      </w:rPr>
    </w:lvl>
    <w:lvl w:ilvl="5" w:tplc="497681F0" w:tentative="1">
      <w:start w:val="1"/>
      <w:numFmt w:val="bullet"/>
      <w:lvlText w:val="•"/>
      <w:lvlJc w:val="left"/>
      <w:pPr>
        <w:tabs>
          <w:tab w:val="num" w:pos="4320"/>
        </w:tabs>
        <w:ind w:left="4320" w:hanging="360"/>
      </w:pPr>
      <w:rPr>
        <w:rFonts w:ascii="Arial" w:hAnsi="Arial" w:hint="default"/>
      </w:rPr>
    </w:lvl>
    <w:lvl w:ilvl="6" w:tplc="7806041E" w:tentative="1">
      <w:start w:val="1"/>
      <w:numFmt w:val="bullet"/>
      <w:lvlText w:val="•"/>
      <w:lvlJc w:val="left"/>
      <w:pPr>
        <w:tabs>
          <w:tab w:val="num" w:pos="5040"/>
        </w:tabs>
        <w:ind w:left="5040" w:hanging="360"/>
      </w:pPr>
      <w:rPr>
        <w:rFonts w:ascii="Arial" w:hAnsi="Arial" w:hint="default"/>
      </w:rPr>
    </w:lvl>
    <w:lvl w:ilvl="7" w:tplc="44BEB31A" w:tentative="1">
      <w:start w:val="1"/>
      <w:numFmt w:val="bullet"/>
      <w:lvlText w:val="•"/>
      <w:lvlJc w:val="left"/>
      <w:pPr>
        <w:tabs>
          <w:tab w:val="num" w:pos="5760"/>
        </w:tabs>
        <w:ind w:left="5760" w:hanging="360"/>
      </w:pPr>
      <w:rPr>
        <w:rFonts w:ascii="Arial" w:hAnsi="Arial" w:hint="default"/>
      </w:rPr>
    </w:lvl>
    <w:lvl w:ilvl="8" w:tplc="90324E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FE3406"/>
    <w:multiLevelType w:val="hybridMultilevel"/>
    <w:tmpl w:val="338ABEA6"/>
    <w:lvl w:ilvl="0" w:tplc="A0B0FDC4">
      <w:start w:val="1"/>
      <w:numFmt w:val="bullet"/>
      <w:lvlText w:val="•"/>
      <w:lvlJc w:val="left"/>
      <w:pPr>
        <w:tabs>
          <w:tab w:val="num" w:pos="720"/>
        </w:tabs>
        <w:ind w:left="720" w:hanging="360"/>
      </w:pPr>
      <w:rPr>
        <w:rFonts w:ascii="Arial" w:hAnsi="Arial" w:hint="default"/>
      </w:rPr>
    </w:lvl>
    <w:lvl w:ilvl="1" w:tplc="0A0CD2F6">
      <w:start w:val="1"/>
      <w:numFmt w:val="bullet"/>
      <w:lvlText w:val="•"/>
      <w:lvlJc w:val="left"/>
      <w:pPr>
        <w:tabs>
          <w:tab w:val="num" w:pos="1440"/>
        </w:tabs>
        <w:ind w:left="1440" w:hanging="360"/>
      </w:pPr>
      <w:rPr>
        <w:rFonts w:ascii="Arial" w:hAnsi="Arial" w:hint="default"/>
      </w:rPr>
    </w:lvl>
    <w:lvl w:ilvl="2" w:tplc="E8A22D24" w:tentative="1">
      <w:start w:val="1"/>
      <w:numFmt w:val="bullet"/>
      <w:lvlText w:val="•"/>
      <w:lvlJc w:val="left"/>
      <w:pPr>
        <w:tabs>
          <w:tab w:val="num" w:pos="2160"/>
        </w:tabs>
        <w:ind w:left="2160" w:hanging="360"/>
      </w:pPr>
      <w:rPr>
        <w:rFonts w:ascii="Arial" w:hAnsi="Arial" w:hint="default"/>
      </w:rPr>
    </w:lvl>
    <w:lvl w:ilvl="3" w:tplc="2CEA5378" w:tentative="1">
      <w:start w:val="1"/>
      <w:numFmt w:val="bullet"/>
      <w:lvlText w:val="•"/>
      <w:lvlJc w:val="left"/>
      <w:pPr>
        <w:tabs>
          <w:tab w:val="num" w:pos="2880"/>
        </w:tabs>
        <w:ind w:left="2880" w:hanging="360"/>
      </w:pPr>
      <w:rPr>
        <w:rFonts w:ascii="Arial" w:hAnsi="Arial" w:hint="default"/>
      </w:rPr>
    </w:lvl>
    <w:lvl w:ilvl="4" w:tplc="BDB6707E" w:tentative="1">
      <w:start w:val="1"/>
      <w:numFmt w:val="bullet"/>
      <w:lvlText w:val="•"/>
      <w:lvlJc w:val="left"/>
      <w:pPr>
        <w:tabs>
          <w:tab w:val="num" w:pos="3600"/>
        </w:tabs>
        <w:ind w:left="3600" w:hanging="360"/>
      </w:pPr>
      <w:rPr>
        <w:rFonts w:ascii="Arial" w:hAnsi="Arial" w:hint="default"/>
      </w:rPr>
    </w:lvl>
    <w:lvl w:ilvl="5" w:tplc="0540E2CC" w:tentative="1">
      <w:start w:val="1"/>
      <w:numFmt w:val="bullet"/>
      <w:lvlText w:val="•"/>
      <w:lvlJc w:val="left"/>
      <w:pPr>
        <w:tabs>
          <w:tab w:val="num" w:pos="4320"/>
        </w:tabs>
        <w:ind w:left="4320" w:hanging="360"/>
      </w:pPr>
      <w:rPr>
        <w:rFonts w:ascii="Arial" w:hAnsi="Arial" w:hint="default"/>
      </w:rPr>
    </w:lvl>
    <w:lvl w:ilvl="6" w:tplc="4DE84952" w:tentative="1">
      <w:start w:val="1"/>
      <w:numFmt w:val="bullet"/>
      <w:lvlText w:val="•"/>
      <w:lvlJc w:val="left"/>
      <w:pPr>
        <w:tabs>
          <w:tab w:val="num" w:pos="5040"/>
        </w:tabs>
        <w:ind w:left="5040" w:hanging="360"/>
      </w:pPr>
      <w:rPr>
        <w:rFonts w:ascii="Arial" w:hAnsi="Arial" w:hint="default"/>
      </w:rPr>
    </w:lvl>
    <w:lvl w:ilvl="7" w:tplc="256C0AB2" w:tentative="1">
      <w:start w:val="1"/>
      <w:numFmt w:val="bullet"/>
      <w:lvlText w:val="•"/>
      <w:lvlJc w:val="left"/>
      <w:pPr>
        <w:tabs>
          <w:tab w:val="num" w:pos="5760"/>
        </w:tabs>
        <w:ind w:left="5760" w:hanging="360"/>
      </w:pPr>
      <w:rPr>
        <w:rFonts w:ascii="Arial" w:hAnsi="Arial" w:hint="default"/>
      </w:rPr>
    </w:lvl>
    <w:lvl w:ilvl="8" w:tplc="BF7C88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F97157"/>
    <w:multiLevelType w:val="hybridMultilevel"/>
    <w:tmpl w:val="D4DEE458"/>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2AC5A26"/>
    <w:multiLevelType w:val="hybridMultilevel"/>
    <w:tmpl w:val="84B44FA8"/>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5BD4EF3"/>
    <w:multiLevelType w:val="hybridMultilevel"/>
    <w:tmpl w:val="090C6D70"/>
    <w:lvl w:ilvl="0" w:tplc="DDBE4C96">
      <w:start w:val="1"/>
      <w:numFmt w:val="bullet"/>
      <w:lvlText w:val=""/>
      <w:lvlJc w:val="left"/>
      <w:pPr>
        <w:tabs>
          <w:tab w:val="num" w:pos="720"/>
        </w:tabs>
        <w:ind w:left="720" w:hanging="360"/>
      </w:pPr>
      <w:rPr>
        <w:rFonts w:ascii="Wingdings" w:hAnsi="Wingdings" w:hint="default"/>
      </w:rPr>
    </w:lvl>
    <w:lvl w:ilvl="1" w:tplc="6B5649BA">
      <w:start w:val="1"/>
      <w:numFmt w:val="bullet"/>
      <w:lvlText w:val=""/>
      <w:lvlJc w:val="left"/>
      <w:pPr>
        <w:tabs>
          <w:tab w:val="num" w:pos="1440"/>
        </w:tabs>
        <w:ind w:left="1440" w:hanging="360"/>
      </w:pPr>
      <w:rPr>
        <w:rFonts w:ascii="Wingdings" w:hAnsi="Wingdings" w:hint="default"/>
      </w:rPr>
    </w:lvl>
    <w:lvl w:ilvl="2" w:tplc="E6A63136" w:tentative="1">
      <w:start w:val="1"/>
      <w:numFmt w:val="bullet"/>
      <w:lvlText w:val=""/>
      <w:lvlJc w:val="left"/>
      <w:pPr>
        <w:tabs>
          <w:tab w:val="num" w:pos="2160"/>
        </w:tabs>
        <w:ind w:left="2160" w:hanging="360"/>
      </w:pPr>
      <w:rPr>
        <w:rFonts w:ascii="Wingdings" w:hAnsi="Wingdings" w:hint="default"/>
      </w:rPr>
    </w:lvl>
    <w:lvl w:ilvl="3" w:tplc="5F105F1C" w:tentative="1">
      <w:start w:val="1"/>
      <w:numFmt w:val="bullet"/>
      <w:lvlText w:val=""/>
      <w:lvlJc w:val="left"/>
      <w:pPr>
        <w:tabs>
          <w:tab w:val="num" w:pos="2880"/>
        </w:tabs>
        <w:ind w:left="2880" w:hanging="360"/>
      </w:pPr>
      <w:rPr>
        <w:rFonts w:ascii="Wingdings" w:hAnsi="Wingdings" w:hint="default"/>
      </w:rPr>
    </w:lvl>
    <w:lvl w:ilvl="4" w:tplc="1E08A2D0" w:tentative="1">
      <w:start w:val="1"/>
      <w:numFmt w:val="bullet"/>
      <w:lvlText w:val=""/>
      <w:lvlJc w:val="left"/>
      <w:pPr>
        <w:tabs>
          <w:tab w:val="num" w:pos="3600"/>
        </w:tabs>
        <w:ind w:left="3600" w:hanging="360"/>
      </w:pPr>
      <w:rPr>
        <w:rFonts w:ascii="Wingdings" w:hAnsi="Wingdings" w:hint="default"/>
      </w:rPr>
    </w:lvl>
    <w:lvl w:ilvl="5" w:tplc="96A6C948" w:tentative="1">
      <w:start w:val="1"/>
      <w:numFmt w:val="bullet"/>
      <w:lvlText w:val=""/>
      <w:lvlJc w:val="left"/>
      <w:pPr>
        <w:tabs>
          <w:tab w:val="num" w:pos="4320"/>
        </w:tabs>
        <w:ind w:left="4320" w:hanging="360"/>
      </w:pPr>
      <w:rPr>
        <w:rFonts w:ascii="Wingdings" w:hAnsi="Wingdings" w:hint="default"/>
      </w:rPr>
    </w:lvl>
    <w:lvl w:ilvl="6" w:tplc="76F06312" w:tentative="1">
      <w:start w:val="1"/>
      <w:numFmt w:val="bullet"/>
      <w:lvlText w:val=""/>
      <w:lvlJc w:val="left"/>
      <w:pPr>
        <w:tabs>
          <w:tab w:val="num" w:pos="5040"/>
        </w:tabs>
        <w:ind w:left="5040" w:hanging="360"/>
      </w:pPr>
      <w:rPr>
        <w:rFonts w:ascii="Wingdings" w:hAnsi="Wingdings" w:hint="default"/>
      </w:rPr>
    </w:lvl>
    <w:lvl w:ilvl="7" w:tplc="00A66032" w:tentative="1">
      <w:start w:val="1"/>
      <w:numFmt w:val="bullet"/>
      <w:lvlText w:val=""/>
      <w:lvlJc w:val="left"/>
      <w:pPr>
        <w:tabs>
          <w:tab w:val="num" w:pos="5760"/>
        </w:tabs>
        <w:ind w:left="5760" w:hanging="360"/>
      </w:pPr>
      <w:rPr>
        <w:rFonts w:ascii="Wingdings" w:hAnsi="Wingdings" w:hint="default"/>
      </w:rPr>
    </w:lvl>
    <w:lvl w:ilvl="8" w:tplc="EA626FD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E70034"/>
    <w:multiLevelType w:val="hybridMultilevel"/>
    <w:tmpl w:val="8536C8FE"/>
    <w:lvl w:ilvl="0" w:tplc="6948453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48AB08AF"/>
    <w:multiLevelType w:val="hybridMultilevel"/>
    <w:tmpl w:val="2006C874"/>
    <w:lvl w:ilvl="0" w:tplc="1D862228">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47963E6"/>
    <w:multiLevelType w:val="hybridMultilevel"/>
    <w:tmpl w:val="740C673A"/>
    <w:lvl w:ilvl="0" w:tplc="04070003">
      <w:start w:val="1"/>
      <w:numFmt w:val="bullet"/>
      <w:lvlText w:val="o"/>
      <w:lvlJc w:val="left"/>
      <w:pPr>
        <w:ind w:left="473" w:hanging="360"/>
      </w:pPr>
      <w:rPr>
        <w:rFonts w:ascii="Courier New" w:hAnsi="Courier New" w:cs="Courier New" w:hint="default"/>
      </w:rPr>
    </w:lvl>
    <w:lvl w:ilvl="1" w:tplc="3EEEC43C">
      <w:start w:val="1"/>
      <w:numFmt w:val="bullet"/>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14" w15:restartNumberingAfterBreak="0">
    <w:nsid w:val="58CA134B"/>
    <w:multiLevelType w:val="hybridMultilevel"/>
    <w:tmpl w:val="9774A164"/>
    <w:lvl w:ilvl="0" w:tplc="9F5AEE2C">
      <w:start w:val="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B395A6B"/>
    <w:multiLevelType w:val="hybridMultilevel"/>
    <w:tmpl w:val="EAF43204"/>
    <w:lvl w:ilvl="0" w:tplc="04070003">
      <w:start w:val="1"/>
      <w:numFmt w:val="bullet"/>
      <w:lvlText w:val="o"/>
      <w:lvlJc w:val="left"/>
      <w:pPr>
        <w:ind w:left="473" w:hanging="360"/>
      </w:pPr>
      <w:rPr>
        <w:rFonts w:ascii="Courier New" w:hAnsi="Courier New" w:cs="Courier New" w:hint="default"/>
      </w:rPr>
    </w:lvl>
    <w:lvl w:ilvl="1" w:tplc="3EEEC43C">
      <w:start w:val="1"/>
      <w:numFmt w:val="bullet"/>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16" w15:restartNumberingAfterBreak="0">
    <w:nsid w:val="618F7572"/>
    <w:multiLevelType w:val="hybridMultilevel"/>
    <w:tmpl w:val="F0209B0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5C60EC"/>
    <w:multiLevelType w:val="hybridMultilevel"/>
    <w:tmpl w:val="047C75BC"/>
    <w:lvl w:ilvl="0" w:tplc="04070003">
      <w:start w:val="1"/>
      <w:numFmt w:val="bullet"/>
      <w:lvlText w:val="o"/>
      <w:lvlJc w:val="left"/>
      <w:pPr>
        <w:ind w:left="473" w:hanging="360"/>
      </w:pPr>
      <w:rPr>
        <w:rFonts w:ascii="Courier New" w:hAnsi="Courier New" w:cs="Courier New" w:hint="default"/>
      </w:rPr>
    </w:lvl>
    <w:lvl w:ilvl="1" w:tplc="3EEEC43C">
      <w:start w:val="1"/>
      <w:numFmt w:val="bullet"/>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18" w15:restartNumberingAfterBreak="0">
    <w:nsid w:val="7BC9254F"/>
    <w:multiLevelType w:val="hybridMultilevel"/>
    <w:tmpl w:val="FFD8CF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12"/>
  </w:num>
  <w:num w:numId="5">
    <w:abstractNumId w:val="7"/>
  </w:num>
  <w:num w:numId="6">
    <w:abstractNumId w:val="6"/>
  </w:num>
  <w:num w:numId="7">
    <w:abstractNumId w:val="11"/>
  </w:num>
  <w:num w:numId="8">
    <w:abstractNumId w:val="17"/>
  </w:num>
  <w:num w:numId="9">
    <w:abstractNumId w:val="16"/>
  </w:num>
  <w:num w:numId="10">
    <w:abstractNumId w:val="13"/>
  </w:num>
  <w:num w:numId="11">
    <w:abstractNumId w:val="15"/>
  </w:num>
  <w:num w:numId="12">
    <w:abstractNumId w:val="6"/>
  </w:num>
  <w:num w:numId="13">
    <w:abstractNumId w:val="0"/>
  </w:num>
  <w:num w:numId="14">
    <w:abstractNumId w:val="6"/>
  </w:num>
  <w:num w:numId="15">
    <w:abstractNumId w:val="14"/>
  </w:num>
  <w:num w:numId="16">
    <w:abstractNumId w:val="10"/>
  </w:num>
  <w:num w:numId="17">
    <w:abstractNumId w:val="5"/>
  </w:num>
  <w:num w:numId="18">
    <w:abstractNumId w:val="6"/>
  </w:num>
  <w:num w:numId="19">
    <w:abstractNumId w:val="6"/>
  </w:num>
  <w:num w:numId="20">
    <w:abstractNumId w:val="18"/>
  </w:num>
  <w:num w:numId="21">
    <w:abstractNumId w:val="1"/>
  </w:num>
  <w:num w:numId="22">
    <w:abstractNumId w:val="4"/>
  </w:num>
  <w:num w:numId="2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12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435321964">
      <w:bodyDiv w:val="1"/>
      <w:marLeft w:val="0"/>
      <w:marRight w:val="0"/>
      <w:marTop w:val="0"/>
      <w:marBottom w:val="0"/>
      <w:divBdr>
        <w:top w:val="none" w:sz="0" w:space="0" w:color="auto"/>
        <w:left w:val="none" w:sz="0" w:space="0" w:color="auto"/>
        <w:bottom w:val="none" w:sz="0" w:space="0" w:color="auto"/>
        <w:right w:val="none" w:sz="0" w:space="0" w:color="auto"/>
      </w:divBdr>
      <w:divsChild>
        <w:div w:id="1217282916">
          <w:marLeft w:val="1166"/>
          <w:marRight w:val="0"/>
          <w:marTop w:val="0"/>
          <w:marBottom w:val="0"/>
          <w:divBdr>
            <w:top w:val="none" w:sz="0" w:space="0" w:color="auto"/>
            <w:left w:val="none" w:sz="0" w:space="0" w:color="auto"/>
            <w:bottom w:val="none" w:sz="0" w:space="0" w:color="auto"/>
            <w:right w:val="none" w:sz="0" w:space="0" w:color="auto"/>
          </w:divBdr>
        </w:div>
        <w:div w:id="2003048757">
          <w:marLeft w:val="1166"/>
          <w:marRight w:val="0"/>
          <w:marTop w:val="0"/>
          <w:marBottom w:val="0"/>
          <w:divBdr>
            <w:top w:val="none" w:sz="0" w:space="0" w:color="auto"/>
            <w:left w:val="none" w:sz="0" w:space="0" w:color="auto"/>
            <w:bottom w:val="none" w:sz="0" w:space="0" w:color="auto"/>
            <w:right w:val="none" w:sz="0" w:space="0" w:color="auto"/>
          </w:divBdr>
        </w:div>
        <w:div w:id="111557181">
          <w:marLeft w:val="1166"/>
          <w:marRight w:val="0"/>
          <w:marTop w:val="0"/>
          <w:marBottom w:val="0"/>
          <w:divBdr>
            <w:top w:val="none" w:sz="0" w:space="0" w:color="auto"/>
            <w:left w:val="none" w:sz="0" w:space="0" w:color="auto"/>
            <w:bottom w:val="none" w:sz="0" w:space="0" w:color="auto"/>
            <w:right w:val="none" w:sz="0" w:space="0" w:color="auto"/>
          </w:divBdr>
        </w:div>
        <w:div w:id="1069883695">
          <w:marLeft w:val="1166"/>
          <w:marRight w:val="0"/>
          <w:marTop w:val="0"/>
          <w:marBottom w:val="0"/>
          <w:divBdr>
            <w:top w:val="none" w:sz="0" w:space="0" w:color="auto"/>
            <w:left w:val="none" w:sz="0" w:space="0" w:color="auto"/>
            <w:bottom w:val="none" w:sz="0" w:space="0" w:color="auto"/>
            <w:right w:val="none" w:sz="0" w:space="0" w:color="auto"/>
          </w:divBdr>
        </w:div>
        <w:div w:id="654728276">
          <w:marLeft w:val="1166"/>
          <w:marRight w:val="0"/>
          <w:marTop w:val="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46221049">
      <w:bodyDiv w:val="1"/>
      <w:marLeft w:val="0"/>
      <w:marRight w:val="0"/>
      <w:marTop w:val="0"/>
      <w:marBottom w:val="0"/>
      <w:divBdr>
        <w:top w:val="none" w:sz="0" w:space="0" w:color="auto"/>
        <w:left w:val="none" w:sz="0" w:space="0" w:color="auto"/>
        <w:bottom w:val="none" w:sz="0" w:space="0" w:color="auto"/>
        <w:right w:val="none" w:sz="0" w:space="0" w:color="auto"/>
      </w:divBdr>
      <w:divsChild>
        <w:div w:id="1704405504">
          <w:marLeft w:val="1166"/>
          <w:marRight w:val="0"/>
          <w:marTop w:val="0"/>
          <w:marBottom w:val="0"/>
          <w:divBdr>
            <w:top w:val="none" w:sz="0" w:space="0" w:color="auto"/>
            <w:left w:val="none" w:sz="0" w:space="0" w:color="auto"/>
            <w:bottom w:val="none" w:sz="0" w:space="0" w:color="auto"/>
            <w:right w:val="none" w:sz="0" w:space="0" w:color="auto"/>
          </w:divBdr>
        </w:div>
        <w:div w:id="1344475189">
          <w:marLeft w:val="1166"/>
          <w:marRight w:val="0"/>
          <w:marTop w:val="0"/>
          <w:marBottom w:val="0"/>
          <w:divBdr>
            <w:top w:val="none" w:sz="0" w:space="0" w:color="auto"/>
            <w:left w:val="none" w:sz="0" w:space="0" w:color="auto"/>
            <w:bottom w:val="none" w:sz="0" w:space="0" w:color="auto"/>
            <w:right w:val="none" w:sz="0" w:space="0" w:color="auto"/>
          </w:divBdr>
        </w:div>
        <w:div w:id="1242178705">
          <w:marLeft w:val="1166"/>
          <w:marRight w:val="0"/>
          <w:marTop w:val="0"/>
          <w:marBottom w:val="0"/>
          <w:divBdr>
            <w:top w:val="none" w:sz="0" w:space="0" w:color="auto"/>
            <w:left w:val="none" w:sz="0" w:space="0" w:color="auto"/>
            <w:bottom w:val="none" w:sz="0" w:space="0" w:color="auto"/>
            <w:right w:val="none" w:sz="0" w:space="0" w:color="auto"/>
          </w:divBdr>
        </w:div>
        <w:div w:id="1659576687">
          <w:marLeft w:val="1166"/>
          <w:marRight w:val="0"/>
          <w:marTop w:val="0"/>
          <w:marBottom w:val="0"/>
          <w:divBdr>
            <w:top w:val="none" w:sz="0" w:space="0" w:color="auto"/>
            <w:left w:val="none" w:sz="0" w:space="0" w:color="auto"/>
            <w:bottom w:val="none" w:sz="0" w:space="0" w:color="auto"/>
            <w:right w:val="none" w:sz="0" w:space="0" w:color="auto"/>
          </w:divBdr>
        </w:div>
      </w:divsChild>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57278585">
      <w:bodyDiv w:val="1"/>
      <w:marLeft w:val="0"/>
      <w:marRight w:val="0"/>
      <w:marTop w:val="0"/>
      <w:marBottom w:val="0"/>
      <w:divBdr>
        <w:top w:val="none" w:sz="0" w:space="0" w:color="auto"/>
        <w:left w:val="none" w:sz="0" w:space="0" w:color="auto"/>
        <w:bottom w:val="none" w:sz="0" w:space="0" w:color="auto"/>
        <w:right w:val="none" w:sz="0" w:space="0" w:color="auto"/>
      </w:divBdr>
      <w:divsChild>
        <w:div w:id="2057118540">
          <w:marLeft w:val="1267"/>
          <w:marRight w:val="0"/>
          <w:marTop w:val="0"/>
          <w:marBottom w:val="0"/>
          <w:divBdr>
            <w:top w:val="none" w:sz="0" w:space="0" w:color="auto"/>
            <w:left w:val="none" w:sz="0" w:space="0" w:color="auto"/>
            <w:bottom w:val="none" w:sz="0" w:space="0" w:color="auto"/>
            <w:right w:val="none" w:sz="0" w:space="0" w:color="auto"/>
          </w:divBdr>
        </w:div>
        <w:div w:id="941455021">
          <w:marLeft w:val="1267"/>
          <w:marRight w:val="0"/>
          <w:marTop w:val="0"/>
          <w:marBottom w:val="0"/>
          <w:divBdr>
            <w:top w:val="none" w:sz="0" w:space="0" w:color="auto"/>
            <w:left w:val="none" w:sz="0" w:space="0" w:color="auto"/>
            <w:bottom w:val="none" w:sz="0" w:space="0" w:color="auto"/>
            <w:right w:val="none" w:sz="0" w:space="0" w:color="auto"/>
          </w:divBdr>
        </w:div>
        <w:div w:id="1869836527">
          <w:marLeft w:val="1267"/>
          <w:marRight w:val="0"/>
          <w:marTop w:val="0"/>
          <w:marBottom w:val="0"/>
          <w:divBdr>
            <w:top w:val="none" w:sz="0" w:space="0" w:color="auto"/>
            <w:left w:val="none" w:sz="0" w:space="0" w:color="auto"/>
            <w:bottom w:val="none" w:sz="0" w:space="0" w:color="auto"/>
            <w:right w:val="none" w:sz="0" w:space="0" w:color="auto"/>
          </w:divBdr>
        </w:div>
      </w:divsChild>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file:///S:\Wissdaten\RKI_nCoV-Lage\1.Lagemanagement\1.3.Besprechungen_TKs\1.Lage_AG\2022-02-11_Lage-AG\Elterninformation%20zur%2054.%20Tra&#776;gerinformation.pdf" TargetMode="External"/><Relationship Id="rId3" Type="http://schemas.openxmlformats.org/officeDocument/2006/relationships/styles" Target="styles.xml"/><Relationship Id="rId21" Type="http://schemas.openxmlformats.org/officeDocument/2006/relationships/hyperlink" Target="https://ourworldindata.org/metrics-explained-covid19-stringency-inde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file:///S:\Wissdaten\RKI_nCoV-Lage\1.Lagemanagement\1.3.Besprechungen_TKs\1.Lage_AG\2022-02-11_Lage-AG\6_EntwurfFAQ_test_to_stay_Ansatz_Prinzip_nachKrisenstab.docx"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file:///S:\Wissdaten\RKI_nCoV-Lage\1.Lagemanagement\1.3.Besprechungen_TKs\1.Lage_AG\2022-02-11_Lage-AG\COVID-19_internat.%20Lage_2022-02-11.pptx"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S:\Wissdaten\RKI_nCoV-Lage\1.Lagemanagement\1.3.Besprechungen_TKs\1.Lage_AG\2022-02-11_Lage-AG\3_HinweisSteckbrief_nachKrisenstab_FG36_AL1.docx"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file:///S:\Wissdaten\RKI_nCoV-Lage\1.Lagemanagement\1.3.Besprechungen_TKs\1.Lage_AG\2022-02-11_Lage-AG\ControlCOVID-2022-02-09_Clean.docx"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file:///S:\Wissdaten\RKI_nCoV-Lage\1.Lagemanagement\1.3.Besprechungen_TKs\1.Lage_AG\2022-02-11_Lage-AG\LageNational_2022-02-11.pptx" TargetMode="External"/><Relationship Id="rId27" Type="http://schemas.openxmlformats.org/officeDocument/2006/relationships/hyperlink" Target="file:///S:\Wissdaten\RKI_nCoV-Lage\1.Lagemanagement\1.3.Besprechungen_TKs\1.Lage_AG\2022-02-11_Lage-AG\test-to-stay-fuer-berliner-kitas.pdf"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C7DC9-119B-4947-B7E3-785EE17E6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2316</Words>
  <Characters>14591</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von Berenberg-Gossler, Petra</cp:lastModifiedBy>
  <cp:revision>5</cp:revision>
  <cp:lastPrinted>2020-05-06T16:43:00Z</cp:lastPrinted>
  <dcterms:created xsi:type="dcterms:W3CDTF">2022-02-11T18:07:00Z</dcterms:created>
  <dcterms:modified xsi:type="dcterms:W3CDTF">2022-02-11T18:43:00Z</dcterms:modified>
</cp:coreProperties>
</file>