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Montag, 14.02.2022,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Esther-Maria Antão</w:t>
      </w:r>
    </w:p>
    <w:p>
      <w:pPr>
        <w:pStyle w:val="Listenabsatz"/>
        <w:numPr>
          <w:ilvl w:val="1"/>
          <w:numId w:val="2"/>
        </w:numPr>
        <w:spacing w:after="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Toni Aebischer</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spacing w:after="0"/>
        <w:rPr>
          <w:sz w:val="22"/>
          <w:szCs w:val="22"/>
        </w:rPr>
      </w:pPr>
    </w:p>
    <w:p>
      <w:pPr>
        <w:spacing w:after="0"/>
        <w:rPr>
          <w:sz w:val="22"/>
          <w:szCs w:val="22"/>
        </w:rPr>
      </w:pPr>
    </w:p>
    <w:p>
      <w:pPr>
        <w:pStyle w:val="Listenabsatz"/>
        <w:numPr>
          <w:ilvl w:val="0"/>
          <w:numId w:val="2"/>
        </w:numPr>
        <w:spacing w:after="0"/>
        <w:contextualSpacing w:val="0"/>
        <w:rPr>
          <w:sz w:val="22"/>
          <w:szCs w:val="22"/>
        </w:rPr>
      </w:pPr>
      <w:r>
        <w:rPr>
          <w:sz w:val="22"/>
          <w:szCs w:val="22"/>
        </w:rPr>
        <w:t>FG35</w:t>
      </w:r>
    </w:p>
    <w:p>
      <w:pPr>
        <w:pStyle w:val="Listenabsatz"/>
        <w:numPr>
          <w:ilvl w:val="1"/>
          <w:numId w:val="2"/>
        </w:numPr>
        <w:spacing w:after="0"/>
        <w:contextualSpacing w:val="0"/>
        <w:rPr>
          <w:sz w:val="22"/>
          <w:szCs w:val="22"/>
        </w:rPr>
      </w:pPr>
      <w:r>
        <w:rPr>
          <w:sz w:val="22"/>
          <w:szCs w:val="22"/>
        </w:rPr>
        <w:t>Christina Frank</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Hauer Barbara</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Claudia Siffczyk</w:t>
      </w:r>
    </w:p>
    <w:p>
      <w:pPr>
        <w:pStyle w:val="Listenabsatz"/>
        <w:numPr>
          <w:ilvl w:val="1"/>
          <w:numId w:val="2"/>
        </w:numPr>
        <w:spacing w:after="0"/>
        <w:contextualSpacing w:val="0"/>
        <w:rPr>
          <w:sz w:val="22"/>
          <w:szCs w:val="22"/>
        </w:rPr>
      </w:pPr>
      <w:r>
        <w:rPr>
          <w:sz w:val="22"/>
          <w:szCs w:val="22"/>
        </w:rPr>
        <w:t>Amrei Wolter (Protokoll)</w:t>
      </w:r>
    </w:p>
    <w:p>
      <w:pPr>
        <w:pStyle w:val="Listenabsatz"/>
        <w:numPr>
          <w:ilvl w:val="1"/>
          <w:numId w:val="2"/>
        </w:numPr>
        <w:spacing w:after="0"/>
        <w:contextualSpacing w:val="0"/>
        <w:rPr>
          <w:sz w:val="22"/>
          <w:szCs w:val="22"/>
        </w:rPr>
      </w:pPr>
      <w:r>
        <w:rPr>
          <w:sz w:val="22"/>
          <w:szCs w:val="22"/>
        </w:rPr>
        <w:t>Renke Biallas (Protokoll)</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Michaela Niebank</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color w:val="000000" w:themeColor="text1"/>
          <w:sz w:val="22"/>
          <w:szCs w:val="22"/>
        </w:rPr>
        <w:t>Oliver Ommen</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541"/>
        <w:gridCol w:w="1746"/>
      </w:tblGrid>
      <w:tr>
        <w:tc>
          <w:tcPr>
            <w:tcW w:w="684" w:type="dxa"/>
          </w:tcPr>
          <w:p>
            <w:pPr>
              <w:pStyle w:val="1"/>
              <w:rPr>
                <w:sz w:val="24"/>
              </w:rPr>
            </w:pPr>
            <w:r>
              <w:rPr>
                <w:sz w:val="24"/>
              </w:rPr>
              <w:br w:type="page"/>
            </w:r>
            <w:r>
              <w:rPr>
                <w:sz w:val="24"/>
              </w:rPr>
              <w:br w:type="page"/>
              <w:t>TOP</w:t>
            </w:r>
          </w:p>
        </w:tc>
        <w:tc>
          <w:tcPr>
            <w:tcW w:w="6541" w:type="dxa"/>
          </w:tcPr>
          <w:p>
            <w:pPr>
              <w:pStyle w:val="1"/>
              <w:rPr>
                <w:sz w:val="24"/>
              </w:rPr>
            </w:pPr>
            <w:r>
              <w:rPr>
                <w:sz w:val="24"/>
              </w:rPr>
              <w:t>Beitrag/ Thema</w:t>
            </w:r>
          </w:p>
        </w:tc>
        <w:tc>
          <w:tcPr>
            <w:tcW w:w="1746" w:type="dxa"/>
          </w:tcPr>
          <w:p>
            <w:pPr>
              <w:rPr>
                <w:b/>
                <w:sz w:val="22"/>
                <w:szCs w:val="22"/>
              </w:rPr>
            </w:pPr>
            <w:r>
              <w:rPr>
                <w:b/>
                <w:sz w:val="22"/>
                <w:szCs w:val="22"/>
              </w:rPr>
              <w:t>eingebracht von</w:t>
            </w:r>
          </w:p>
        </w:tc>
      </w:tr>
      <w:tr>
        <w:tc>
          <w:tcPr>
            <w:tcW w:w="684" w:type="dxa"/>
          </w:tcPr>
          <w:p>
            <w:pPr>
              <w:rPr>
                <w:b/>
              </w:rPr>
            </w:pPr>
            <w:r>
              <w:rPr>
                <w:b/>
              </w:rPr>
              <w:t>1</w:t>
            </w:r>
          </w:p>
        </w:tc>
        <w:tc>
          <w:tcPr>
            <w:tcW w:w="6541" w:type="dxa"/>
          </w:tcPr>
          <w:p>
            <w:pPr>
              <w:pStyle w:val="1"/>
            </w:pPr>
            <w:r>
              <w:t xml:space="preserve">Aktuelle Lage </w:t>
            </w:r>
          </w:p>
          <w:p>
            <w:pPr>
              <w:pStyle w:val="2"/>
            </w:pPr>
            <w:r>
              <w:t xml:space="preserve">National </w:t>
            </w:r>
          </w:p>
          <w:p>
            <w:pPr>
              <w:pStyle w:val="Liste1"/>
            </w:pPr>
            <w:r>
              <w:t xml:space="preserve">Fallzahlen, Todesfälle, Trend, Folien </w:t>
            </w:r>
            <w:hyperlink r:id="rId14" w:history="1">
              <w:r>
                <w:rPr>
                  <w:rStyle w:val="Hyperlink"/>
                </w:rPr>
                <w:t>hier</w:t>
              </w:r>
            </w:hyperlink>
          </w:p>
          <w:p>
            <w:pPr>
              <w:pStyle w:val="Liste1"/>
            </w:pPr>
            <w:proofErr w:type="spellStart"/>
            <w:r>
              <w:t>SurvNet</w:t>
            </w:r>
            <w:proofErr w:type="spellEnd"/>
            <w:r>
              <w:t xml:space="preserve"> übermittelt: </w:t>
            </w:r>
            <w:proofErr w:type="spellStart"/>
            <w:r>
              <w:t>SurvNet</w:t>
            </w:r>
            <w:proofErr w:type="spellEnd"/>
            <w:r>
              <w:t xml:space="preserve"> übermittelt: </w:t>
            </w:r>
          </w:p>
          <w:p>
            <w:pPr>
              <w:pStyle w:val="Liste1"/>
            </w:pPr>
            <w:r>
              <w:t xml:space="preserve">(+76.465), davon 119.977 (+42) Todesfälle </w:t>
            </w:r>
          </w:p>
          <w:p>
            <w:pPr>
              <w:pStyle w:val="Liste1"/>
            </w:pPr>
            <w:r>
              <w:t xml:space="preserve">7-Tage-Inzidenz:  1.459,8/100.000 </w:t>
            </w:r>
            <w:proofErr w:type="spellStart"/>
            <w:r>
              <w:t>Einw</w:t>
            </w:r>
            <w:proofErr w:type="spellEnd"/>
            <w:r>
              <w:t>.</w:t>
            </w:r>
          </w:p>
          <w:p>
            <w:pPr>
              <w:pStyle w:val="Liste1"/>
            </w:pPr>
            <w:proofErr w:type="spellStart"/>
            <w:r>
              <w:t>Impfmonitoring</w:t>
            </w:r>
            <w:proofErr w:type="spellEnd"/>
            <w:r>
              <w:t>: Geimpfte mit 1. Dosis 63.290.587 (76,1%), mit vollständiger Impfung 46.105.414 (55,4%)</w:t>
            </w:r>
          </w:p>
          <w:p>
            <w:pPr>
              <w:pStyle w:val="Liste1"/>
            </w:pPr>
            <w:r>
              <w:t>Verlauf der 7-Tage-Inzidenz der Bundesländer:</w:t>
            </w:r>
          </w:p>
          <w:p>
            <w:pPr>
              <w:pStyle w:val="Liste3"/>
            </w:pPr>
            <w:r>
              <w:t>Rückläufiger Trend oder Plateau der Fallzahlen in den meisten BL und nur wenige BL (SA, ST) mit steigenden Fallzahlen</w:t>
            </w:r>
          </w:p>
          <w:p>
            <w:pPr>
              <w:pStyle w:val="Liste3"/>
            </w:pPr>
            <w:r>
              <w:t>Wenig Veränderung seit der letzten Stabssitzung</w:t>
            </w:r>
          </w:p>
          <w:p>
            <w:pPr>
              <w:pStyle w:val="Liste3"/>
            </w:pPr>
            <w:r>
              <w:t>In allen Altersgruppen ähnliche Entwicklung zu beobachten (Plateau oder sinkender Trend)</w:t>
            </w:r>
          </w:p>
          <w:p>
            <w:pPr>
              <w:pStyle w:val="Liste1"/>
            </w:pPr>
            <w:r>
              <w:t>Verlauf der Hospitalisierungsinzidenz</w:t>
            </w:r>
          </w:p>
          <w:p>
            <w:pPr>
              <w:pStyle w:val="Liste3"/>
            </w:pPr>
            <w:r>
              <w:t xml:space="preserve">Steigende 7-Tage HI, v. a. bei &gt; </w:t>
            </w:r>
            <w:proofErr w:type="gramStart"/>
            <w:r>
              <w:t>80 Jährigen</w:t>
            </w:r>
            <w:proofErr w:type="gramEnd"/>
          </w:p>
          <w:p>
            <w:pPr>
              <w:pStyle w:val="Liste2"/>
              <w:numPr>
                <w:ilvl w:val="0"/>
                <w:numId w:val="0"/>
              </w:numPr>
              <w:ind w:left="833"/>
              <w:rPr>
                <w:lang w:val="de-DE"/>
              </w:rPr>
            </w:pPr>
          </w:p>
        </w:tc>
        <w:tc>
          <w:tcPr>
            <w:tcW w:w="1746" w:type="dxa"/>
          </w:tcPr>
          <w:p>
            <w:pPr>
              <w:rPr>
                <w:sz w:val="22"/>
                <w:szCs w:val="22"/>
              </w:rPr>
            </w:pPr>
          </w:p>
          <w:p>
            <w:pPr>
              <w:rPr>
                <w:sz w:val="22"/>
                <w:szCs w:val="22"/>
              </w:rPr>
            </w:pPr>
          </w:p>
          <w:p>
            <w:pPr>
              <w:rPr>
                <w:sz w:val="22"/>
                <w:szCs w:val="22"/>
              </w:rPr>
            </w:pPr>
          </w:p>
          <w:p>
            <w:pPr>
              <w:rPr>
                <w:sz w:val="22"/>
                <w:szCs w:val="22"/>
              </w:rPr>
            </w:pPr>
            <w:r>
              <w:rPr>
                <w:sz w:val="22"/>
                <w:szCs w:val="22"/>
              </w:rPr>
              <w:t>FG32 (Diercke)</w:t>
            </w:r>
            <w:r>
              <w:rPr>
                <w:sz w:val="22"/>
                <w:szCs w:val="22"/>
              </w:rPr>
              <w:br/>
            </w:r>
          </w:p>
        </w:tc>
      </w:tr>
      <w:tr>
        <w:tc>
          <w:tcPr>
            <w:tcW w:w="684" w:type="dxa"/>
          </w:tcPr>
          <w:p>
            <w:pPr>
              <w:rPr>
                <w:b/>
              </w:rPr>
            </w:pPr>
            <w:r>
              <w:rPr>
                <w:b/>
              </w:rPr>
              <w:t>2</w:t>
            </w:r>
          </w:p>
        </w:tc>
        <w:tc>
          <w:tcPr>
            <w:tcW w:w="6541"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p>
            <w:pPr>
              <w:pStyle w:val="Liste3"/>
              <w:numPr>
                <w:ilvl w:val="0"/>
                <w:numId w:val="0"/>
              </w:numPr>
            </w:pPr>
          </w:p>
          <w:p>
            <w:pPr>
              <w:pStyle w:val="Liste3"/>
              <w:numPr>
                <w:ilvl w:val="0"/>
                <w:numId w:val="0"/>
              </w:numPr>
            </w:pPr>
          </w:p>
        </w:tc>
        <w:tc>
          <w:tcPr>
            <w:tcW w:w="1746"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541" w:type="dxa"/>
          </w:tcPr>
          <w:p>
            <w:pPr>
              <w:spacing w:line="276" w:lineRule="auto"/>
              <w:rPr>
                <w:b/>
                <w:i/>
                <w:color w:val="C2D69B" w:themeColor="accent3" w:themeTint="99"/>
              </w:rPr>
            </w:pPr>
            <w:r>
              <w:rPr>
                <w:rStyle w:val="1Zchn"/>
              </w:rPr>
              <w:t>Update digitale Projekte</w:t>
            </w:r>
            <w:r>
              <w:rPr>
                <w:b/>
                <w:sz w:val="28"/>
              </w:rPr>
              <w:t xml:space="preserve"> </w:t>
            </w:r>
            <w:r>
              <w:rPr>
                <w:rStyle w:val="TagFrZchn"/>
              </w:rPr>
              <w:t>(nur freitags)</w:t>
            </w:r>
          </w:p>
        </w:tc>
        <w:tc>
          <w:tcPr>
            <w:tcW w:w="1746"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541" w:type="dxa"/>
          </w:tcPr>
          <w:p>
            <w:pPr>
              <w:pStyle w:val="1"/>
            </w:pPr>
            <w:r>
              <w:t>Aktuelle Risikobewertung</w:t>
            </w:r>
          </w:p>
          <w:p>
            <w:pPr>
              <w:pStyle w:val="Liste1"/>
            </w:pPr>
            <w:r>
              <w:t xml:space="preserve">Diskussion der Änderungsvorschläge zur Risikobewertung </w:t>
            </w:r>
          </w:p>
          <w:p>
            <w:pPr>
              <w:pStyle w:val="Liste1"/>
            </w:pPr>
            <w:r>
              <w:t>Deutliche Änderungen zur vorherigen Version (inhaltlich und strukturell)</w:t>
            </w:r>
          </w:p>
          <w:p>
            <w:pPr>
              <w:pStyle w:val="Liste1"/>
            </w:pPr>
            <w:r>
              <w:t>Änderung des Dokuments Risikobewertung:</w:t>
            </w:r>
          </w:p>
          <w:p>
            <w:pPr>
              <w:pStyle w:val="Liste2"/>
              <w:rPr>
                <w:lang w:val="de-DE"/>
              </w:rPr>
            </w:pPr>
            <w:r>
              <w:rPr>
                <w:lang w:val="de-DE"/>
              </w:rPr>
              <w:t xml:space="preserve">Risikoeinschätzung soll von “sehr hoch” auf „hoch“ geändert werden, dabei soll kommuniziert werden, dass Omikron nicht der Grund für die Deeskalation darstellt </w:t>
            </w:r>
          </w:p>
          <w:p>
            <w:pPr>
              <w:pStyle w:val="Liste2"/>
              <w:rPr>
                <w:lang w:val="de-DE"/>
              </w:rPr>
            </w:pPr>
            <w:r>
              <w:rPr>
                <w:lang w:val="de-DE"/>
              </w:rPr>
              <w:t>Eine differenzierte Darstellung der Beurteilung des Risikos für schwere Gesundheitsfolgen bei unterschiedlichen Populationsgruppen (z. B. bei vorerkrankten und ungeimpften Kindern und jungen Erwachsenen) wurde eingearbeitet.</w:t>
            </w:r>
          </w:p>
          <w:p>
            <w:pPr>
              <w:pStyle w:val="Liste2"/>
              <w:rPr>
                <w:lang w:val="de-DE"/>
              </w:rPr>
            </w:pPr>
            <w:r>
              <w:rPr>
                <w:lang w:val="de-DE"/>
              </w:rPr>
              <w:t>Es kann weiterhin regional zu eingeschränkten Kapazitäten in der medizinischen Versorgung von Patientinnen und Patienten kommen.</w:t>
            </w:r>
          </w:p>
          <w:p>
            <w:pPr>
              <w:pStyle w:val="Liste2"/>
              <w:rPr>
                <w:lang w:val="de-DE"/>
              </w:rPr>
            </w:pPr>
            <w:r>
              <w:rPr>
                <w:lang w:val="de-DE"/>
              </w:rPr>
              <w:t xml:space="preserve">Redaktionelle sowie weitere inhaltliche Anpassungen   </w:t>
            </w:r>
            <w:proofErr w:type="gramStart"/>
            <w:r>
              <w:rPr>
                <w:lang w:val="de-DE"/>
              </w:rPr>
              <w:t xml:space="preserve">   (</w:t>
            </w:r>
            <w:proofErr w:type="gramEnd"/>
            <w:r>
              <w:rPr>
                <w:lang w:val="de-DE"/>
              </w:rPr>
              <w:t>z. B. Fokus auf Isolation von erkrankten Personen) wurden vorgestellt. diskutiert und implementiert.</w:t>
            </w:r>
          </w:p>
          <w:p>
            <w:pPr>
              <w:pStyle w:val="Liste2"/>
              <w:rPr>
                <w:lang w:val="de-DE"/>
              </w:rPr>
            </w:pPr>
            <w:r>
              <w:rPr>
                <w:lang w:val="de-DE"/>
              </w:rPr>
              <w:lastRenderedPageBreak/>
              <w:t>Die aktuelle Version wird im Krisenstab zirkuliert und mit dem Minister soll der Zeitpunkt der Veröffentlichung bestimmt werden.</w:t>
            </w:r>
          </w:p>
          <w:p>
            <w:pPr>
              <w:pStyle w:val="Liste1"/>
              <w:numPr>
                <w:ilvl w:val="0"/>
                <w:numId w:val="0"/>
              </w:numPr>
              <w:ind w:left="473" w:hanging="360"/>
            </w:pPr>
          </w:p>
          <w:p>
            <w:pPr>
              <w:rPr>
                <w:b/>
              </w:rPr>
            </w:pPr>
            <w:r>
              <w:rPr>
                <w:b/>
              </w:rPr>
              <w:t>Diskussion:</w:t>
            </w:r>
          </w:p>
          <w:p>
            <w:pPr>
              <w:pStyle w:val="Liste1"/>
            </w:pPr>
            <w:r>
              <w:t xml:space="preserve">Da die Impfung unter 5 Jahren einen Off-Label-Use darstellt, stellt sich die Frage, wie Kinder, die einer vulnerablen Gruppe (Vorerkrankung/Trisomie) angehören, im Alltag/KiTa adäquat geschützt werden können. </w:t>
            </w:r>
          </w:p>
          <w:p>
            <w:pPr>
              <w:pStyle w:val="Liste1"/>
            </w:pPr>
            <w:r>
              <w:t xml:space="preserve">Explizite Nennung der Gruppe der Kinder im Abschnitt „Krankheitsschwere“; Austausch des Terms „Menschen“ durch „junge Erwachsene und Kinder“ </w:t>
            </w:r>
          </w:p>
          <w:p>
            <w:pPr>
              <w:pStyle w:val="Liste1"/>
            </w:pPr>
            <w:r>
              <w:t>Verweis, dass auch nach milden Verläufen Langzeitfolgen auftreten können und auch ungeimpfte Personen davon betroffen sein können</w:t>
            </w:r>
          </w:p>
          <w:p>
            <w:pPr>
              <w:pStyle w:val="Liste1"/>
            </w:pPr>
            <w:r>
              <w:t>Krankheitsschwere: auch nach milden Verläufen können Langzeitfolgen auftreten, Risikominimierung durch Impfung</w:t>
            </w:r>
          </w:p>
          <w:p>
            <w:pPr>
              <w:pStyle w:val="Liste1"/>
            </w:pPr>
            <w:r>
              <w:t>Bezüglich der Ressourcenbelastung des Gesundheitssystems ist eine Frage der milderen Formulierung in Hinblick auf den Absatz der regionalen Einschränkungen der Kapazitäten der medizinischen Versorgung durch Omikron denkbar. Vor dem Hintergrund der dynamischen Lageentwicklung soll diese Formulierung jedoch zunächst so beibehalten werden</w:t>
            </w:r>
          </w:p>
          <w:p>
            <w:pPr>
              <w:pStyle w:val="Liste1"/>
              <w:numPr>
                <w:ilvl w:val="0"/>
                <w:numId w:val="0"/>
              </w:numPr>
              <w:ind w:left="473" w:hanging="360"/>
            </w:pPr>
          </w:p>
          <w:p>
            <w:pPr>
              <w:pStyle w:val="ToDo"/>
            </w:pPr>
            <w:proofErr w:type="spellStart"/>
            <w:r>
              <w:rPr>
                <w:b/>
              </w:rPr>
              <w:t>ToDo</w:t>
            </w:r>
            <w:proofErr w:type="spellEnd"/>
            <w:r>
              <w:t>: Risikobewertung soll im Krisenstab zirkuliert und anschließend zur Abstimmung an den Minister versandt werden. Antwort des Ministers mit Einschätzung des gerade vorgelegten Papiers soll abgewartet werden.</w:t>
            </w:r>
            <w:r>
              <w:br/>
            </w:r>
          </w:p>
        </w:tc>
        <w:tc>
          <w:tcPr>
            <w:tcW w:w="1746" w:type="dxa"/>
          </w:tcPr>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t>5</w:t>
            </w:r>
          </w:p>
        </w:tc>
        <w:tc>
          <w:tcPr>
            <w:tcW w:w="6541" w:type="dxa"/>
          </w:tcPr>
          <w:p>
            <w:pPr>
              <w:pStyle w:val="1"/>
            </w:pPr>
            <w:r>
              <w:t xml:space="preserve">Expertenbeirat </w:t>
            </w:r>
            <w:r>
              <w:rPr>
                <w:i/>
                <w:color w:val="95B3D7" w:themeColor="accent1" w:themeTint="99"/>
                <w:sz w:val="20"/>
              </w:rPr>
              <w:t>(</w:t>
            </w:r>
            <w:proofErr w:type="spellStart"/>
            <w:r>
              <w:rPr>
                <w:i/>
                <w:color w:val="95B3D7" w:themeColor="accent1" w:themeTint="99"/>
                <w:sz w:val="20"/>
              </w:rPr>
              <w:t>mont</w:t>
            </w:r>
            <w:proofErr w:type="spellEnd"/>
            <w:r>
              <w:rPr>
                <w:i/>
                <w:color w:val="95B3D7" w:themeColor="accent1" w:themeTint="99"/>
                <w:sz w:val="20"/>
              </w:rPr>
              <w:t xml:space="preserve">. Vorbereitung, </w:t>
            </w:r>
            <w:proofErr w:type="spellStart"/>
            <w:r>
              <w:rPr>
                <w:i/>
                <w:color w:val="95B3D7" w:themeColor="accent1" w:themeTint="99"/>
                <w:sz w:val="20"/>
              </w:rPr>
              <w:t>mittw</w:t>
            </w:r>
            <w:proofErr w:type="spellEnd"/>
            <w:r>
              <w:rPr>
                <w:i/>
                <w:color w:val="95B3D7" w:themeColor="accent1" w:themeTint="99"/>
                <w:sz w:val="20"/>
              </w:rPr>
              <w:t>. Nachbereitung)</w:t>
            </w:r>
          </w:p>
          <w:p>
            <w:pPr>
              <w:pStyle w:val="Liste1"/>
            </w:pPr>
            <w:r>
              <w:t>Die Überarbeitung der Stellungnahme „Kinder“ des Expertenrats soll in dieser Woche finalisiert werden.</w:t>
            </w:r>
          </w:p>
          <w:p>
            <w:pPr>
              <w:pStyle w:val="1"/>
              <w:rPr>
                <w:sz w:val="22"/>
              </w:rPr>
            </w:pPr>
          </w:p>
        </w:tc>
        <w:tc>
          <w:tcPr>
            <w:tcW w:w="1746" w:type="dxa"/>
          </w:tcPr>
          <w:p>
            <w:pPr>
              <w:rPr>
                <w:sz w:val="22"/>
                <w:szCs w:val="22"/>
              </w:rPr>
            </w:pPr>
          </w:p>
          <w:p>
            <w:pPr>
              <w:rPr>
                <w:sz w:val="22"/>
                <w:szCs w:val="22"/>
              </w:rPr>
            </w:pPr>
          </w:p>
          <w:p>
            <w:pPr>
              <w:rPr>
                <w:sz w:val="22"/>
                <w:szCs w:val="22"/>
              </w:rPr>
            </w:pPr>
            <w:r>
              <w:rPr>
                <w:sz w:val="22"/>
                <w:szCs w:val="22"/>
              </w:rPr>
              <w:t>Wieler</w:t>
            </w:r>
          </w:p>
        </w:tc>
      </w:tr>
      <w:tr>
        <w:trPr>
          <w:trHeight w:val="518"/>
        </w:trPr>
        <w:tc>
          <w:tcPr>
            <w:tcW w:w="684" w:type="dxa"/>
          </w:tcPr>
          <w:p>
            <w:pPr>
              <w:rPr>
                <w:b/>
              </w:rPr>
            </w:pPr>
            <w:r>
              <w:rPr>
                <w:b/>
              </w:rPr>
              <w:t>6</w:t>
            </w:r>
          </w:p>
        </w:tc>
        <w:tc>
          <w:tcPr>
            <w:tcW w:w="6541" w:type="dxa"/>
          </w:tcPr>
          <w:p>
            <w:pPr>
              <w:pStyle w:val="1"/>
            </w:pPr>
            <w:r>
              <w:t>Kommunikation</w:t>
            </w:r>
          </w:p>
          <w:p>
            <w:pPr>
              <w:pStyle w:val="2"/>
            </w:pPr>
            <w:r>
              <w:t>BZgA</w:t>
            </w:r>
          </w:p>
          <w:p>
            <w:pPr>
              <w:pStyle w:val="Liste2"/>
            </w:pPr>
            <w:proofErr w:type="spellStart"/>
            <w:r>
              <w:t>Kein</w:t>
            </w:r>
            <w:proofErr w:type="spellEnd"/>
            <w:r>
              <w:t xml:space="preserve"> </w:t>
            </w:r>
            <w:proofErr w:type="spellStart"/>
            <w:r>
              <w:t>Bericht</w:t>
            </w:r>
            <w:proofErr w:type="spellEnd"/>
          </w:p>
          <w:p>
            <w:pPr>
              <w:pStyle w:val="2"/>
            </w:pPr>
            <w:r>
              <w:t>Presse</w:t>
            </w:r>
          </w:p>
          <w:p>
            <w:pPr>
              <w:pStyle w:val="Liste2"/>
              <w:rPr>
                <w:lang w:val="de-DE"/>
              </w:rPr>
            </w:pPr>
            <w:r>
              <w:rPr>
                <w:lang w:val="de-DE"/>
              </w:rPr>
              <w:t xml:space="preserve">Tagespiegelartikel:  </w:t>
            </w:r>
            <w:hyperlink r:id="rId15" w:history="1">
              <w:r>
                <w:rPr>
                  <w:rStyle w:val="Hyperlink"/>
                  <w:lang w:val="de-DE"/>
                </w:rPr>
                <w:t>https://www.tagesspiegel.de/berlin/berliner-kitas-und-die-oeffnungsstrategie-test-to-stay-kita-eltern-halten-risiken-fuer-nicht-tragbar/28062008.html</w:t>
              </w:r>
            </w:hyperlink>
            <w:r>
              <w:rPr>
                <w:lang w:val="de-DE"/>
              </w:rPr>
              <w:t xml:space="preserve"> </w:t>
            </w:r>
          </w:p>
          <w:p>
            <w:pPr>
              <w:pStyle w:val="Liste2"/>
              <w:rPr>
                <w:lang w:val="de-DE"/>
              </w:rPr>
            </w:pPr>
            <w:r>
              <w:rPr>
                <w:lang w:val="de-DE"/>
              </w:rPr>
              <w:t>Der Tagesspiegel hat am Wochenende einen Artikel veröffentlicht, in dem der Elternbeirat einen Widerspruch zwischen Amtsärzten/GA und dem RKI kritisiert</w:t>
            </w:r>
          </w:p>
          <w:p>
            <w:pPr>
              <w:pStyle w:val="Liste2"/>
              <w:rPr>
                <w:lang w:val="de-DE"/>
              </w:rPr>
            </w:pPr>
            <w:r>
              <w:rPr>
                <w:lang w:val="de-DE"/>
              </w:rPr>
              <w:t>Es handelt sich um das Test-</w:t>
            </w:r>
            <w:proofErr w:type="spellStart"/>
            <w:r>
              <w:rPr>
                <w:lang w:val="de-DE"/>
              </w:rPr>
              <w:t>to</w:t>
            </w:r>
            <w:proofErr w:type="spellEnd"/>
            <w:r>
              <w:rPr>
                <w:lang w:val="de-DE"/>
              </w:rPr>
              <w:t>-</w:t>
            </w:r>
            <w:proofErr w:type="spellStart"/>
            <w:r>
              <w:rPr>
                <w:lang w:val="de-DE"/>
              </w:rPr>
              <w:t>stay</w:t>
            </w:r>
            <w:proofErr w:type="spellEnd"/>
            <w:r>
              <w:rPr>
                <w:lang w:val="de-DE"/>
              </w:rPr>
              <w:t>-Verfahren, bei dem Kontaktpersonen Infizierter mit täglich negativen Tests und bei Symptomfreiheit die KiTa besuchen können</w:t>
            </w:r>
          </w:p>
          <w:p>
            <w:pPr>
              <w:pStyle w:val="Liste2"/>
              <w:rPr>
                <w:lang w:val="de-DE"/>
              </w:rPr>
            </w:pPr>
            <w:r>
              <w:rPr>
                <w:lang w:val="de-DE"/>
              </w:rPr>
              <w:lastRenderedPageBreak/>
              <w:t>RKI setzt das kontinuierliche und korrekte Tragen von Masken voraus, was als Voraussetzung in der KiTa in Berlin nicht gegeben ist, Frage nach Reaktion des RKIs hierauf</w:t>
            </w:r>
          </w:p>
          <w:p>
            <w:pPr>
              <w:pStyle w:val="Liste2"/>
              <w:numPr>
                <w:ilvl w:val="0"/>
                <w:numId w:val="0"/>
              </w:numPr>
              <w:ind w:left="833" w:hanging="360"/>
              <w:rPr>
                <w:lang w:val="de-DE"/>
              </w:rPr>
            </w:pPr>
          </w:p>
          <w:p>
            <w:pPr>
              <w:rPr>
                <w:b/>
              </w:rPr>
            </w:pPr>
            <w:r>
              <w:rPr>
                <w:b/>
              </w:rPr>
              <w:t>Diskussion:</w:t>
            </w:r>
          </w:p>
          <w:p>
            <w:pPr>
              <w:pStyle w:val="Liste2"/>
              <w:rPr>
                <w:lang w:val="de-DE"/>
              </w:rPr>
            </w:pPr>
            <w:r>
              <w:rPr>
                <w:lang w:val="de-DE"/>
              </w:rPr>
              <w:t>Vor der Veröffentlichung des Artikels wurden bereits Antworten auf entsprechende Frage erarbeitet und sollten in den FAQs veröffentlicht werden. Die Veröffentlichung fand noch nicht statt.</w:t>
            </w:r>
          </w:p>
          <w:p>
            <w:pPr>
              <w:pStyle w:val="Liste2"/>
              <w:rPr>
                <w:lang w:val="de-DE"/>
              </w:rPr>
            </w:pPr>
            <w:r>
              <w:rPr>
                <w:lang w:val="de-DE"/>
              </w:rPr>
              <w:t>Eine direkte Antwort sollte vermieden werden und die FAQs dementsprechend nicht veröffentlicht werden, sodass nicht der Eindruck entsteht, dass es sich um eine Reaktion zu diesem Fall handelt.</w:t>
            </w:r>
          </w:p>
          <w:p>
            <w:pPr>
              <w:pStyle w:val="Liste2"/>
              <w:rPr>
                <w:lang w:val="de-DE"/>
              </w:rPr>
            </w:pPr>
            <w:bookmarkStart w:id="1" w:name="_Hlk95748798"/>
            <w:r>
              <w:rPr>
                <w:lang w:val="de-DE"/>
              </w:rPr>
              <w:t>Es bestehen bereits mehrere Empfehlungen für das Setting KiTa. Man sollte in diesem Setting nicht lediglich einen Fokus auf das Testen legen. Grundsätzliche müssen NPIs vorhanden sein, die den Eintrag und die Verbreitung des Virus in dem Setting verhindert werden.</w:t>
            </w:r>
          </w:p>
          <w:bookmarkEnd w:id="1"/>
          <w:p>
            <w:pPr>
              <w:pStyle w:val="Liste2"/>
              <w:rPr>
                <w:lang w:val="de-DE"/>
              </w:rPr>
            </w:pPr>
            <w:r>
              <w:rPr>
                <w:lang w:val="de-DE"/>
              </w:rPr>
              <w:t>Kritik an dem Test-</w:t>
            </w:r>
            <w:proofErr w:type="spellStart"/>
            <w:r>
              <w:rPr>
                <w:lang w:val="de-DE"/>
              </w:rPr>
              <w:t>to</w:t>
            </w:r>
            <w:proofErr w:type="spellEnd"/>
            <w:r>
              <w:rPr>
                <w:lang w:val="de-DE"/>
              </w:rPr>
              <w:t>-</w:t>
            </w:r>
            <w:proofErr w:type="spellStart"/>
            <w:r>
              <w:rPr>
                <w:lang w:val="de-DE"/>
              </w:rPr>
              <w:t>stay</w:t>
            </w:r>
            <w:proofErr w:type="spellEnd"/>
            <w:r>
              <w:rPr>
                <w:lang w:val="de-DE"/>
              </w:rPr>
              <w:t xml:space="preserve">-Verfahren, da es keine Infektionsfälle in </w:t>
            </w:r>
            <w:proofErr w:type="spellStart"/>
            <w:r>
              <w:rPr>
                <w:lang w:val="de-DE"/>
              </w:rPr>
              <w:t>KiTas</w:t>
            </w:r>
            <w:proofErr w:type="spellEnd"/>
            <w:r>
              <w:rPr>
                <w:lang w:val="de-DE"/>
              </w:rPr>
              <w:t xml:space="preserve"> verhindert und der Schutz vulnerabler Kinder nicht mehr gewährleistet ist, Infektionen durchlaufen bei Eintrag weiterhin die KiTa</w:t>
            </w:r>
          </w:p>
          <w:p>
            <w:pPr>
              <w:pStyle w:val="Liste2"/>
              <w:rPr>
                <w:lang w:val="de-DE"/>
              </w:rPr>
            </w:pPr>
            <w:r>
              <w:rPr>
                <w:lang w:val="de-DE"/>
              </w:rPr>
              <w:t xml:space="preserve">V. a. vor dem Hintergrund einer fehlenden Möglichkeit zur Impfung von Kindern unter 5 Jahren mit Vorerkrankungen und / oder mit Behinderungen lebend stellt sich die Frage, wie in diesem Setting die entsprechenden Populationen effektiv geschützt werden können. </w:t>
            </w:r>
          </w:p>
          <w:p>
            <w:pPr>
              <w:pStyle w:val="Liste2"/>
              <w:rPr>
                <w:lang w:val="de-DE"/>
              </w:rPr>
            </w:pPr>
            <w:r>
              <w:rPr>
                <w:lang w:val="de-DE"/>
              </w:rPr>
              <w:t>Die weiterhin starken Maßnahmen im KiTa-Setting (v. a. serielle Testungen) stehen in einem Kontrast zu den erstellten Empfehlungen zur Deeskalation (Verzicht auf serielle Testungen).</w:t>
            </w:r>
          </w:p>
          <w:p>
            <w:pPr>
              <w:pStyle w:val="Liste2"/>
              <w:numPr>
                <w:ilvl w:val="0"/>
                <w:numId w:val="0"/>
              </w:numPr>
              <w:ind w:left="833" w:hanging="360"/>
              <w:rPr>
                <w:lang w:val="de-DE"/>
              </w:rPr>
            </w:pPr>
          </w:p>
          <w:p>
            <w:pPr>
              <w:pStyle w:val="ToDo"/>
            </w:pPr>
            <w:proofErr w:type="spellStart"/>
            <w:r>
              <w:rPr>
                <w:b/>
              </w:rPr>
              <w:t>ToDo</w:t>
            </w:r>
            <w:proofErr w:type="spellEnd"/>
            <w:r>
              <w:rPr>
                <w:b/>
              </w:rPr>
              <w:t>:</w:t>
            </w:r>
            <w:r>
              <w:t xml:space="preserve"> </w:t>
            </w:r>
            <w:bookmarkStart w:id="2" w:name="_Hlk95748206"/>
            <w:r>
              <w:t>Bitte um Stellungnahme der STIKO zum Off-Label-Use eines Impfstoffs bei Kindern unter 5 Jahren mit Vorerkrankungen und / oder mit Behinderungen lebend. – Ute Rexroth vergibt Aufgabe an STIKO-Geschäftsstelle</w:t>
            </w:r>
            <w:bookmarkEnd w:id="2"/>
          </w:p>
          <w:p>
            <w:pPr>
              <w:pStyle w:val="2"/>
            </w:pPr>
            <w:r>
              <w:t>P1</w:t>
            </w:r>
          </w:p>
          <w:p>
            <w:pPr>
              <w:pStyle w:val="Liste2"/>
              <w:rPr>
                <w:i/>
              </w:rPr>
            </w:pPr>
            <w:proofErr w:type="spellStart"/>
            <w:r>
              <w:t>Kein</w:t>
            </w:r>
            <w:proofErr w:type="spellEnd"/>
            <w:r>
              <w:t xml:space="preserve"> </w:t>
            </w:r>
            <w:proofErr w:type="spellStart"/>
            <w:r>
              <w:t>Bericht</w:t>
            </w:r>
            <w:proofErr w:type="spellEnd"/>
          </w:p>
          <w:p>
            <w:pPr>
              <w:pStyle w:val="Liste2"/>
              <w:numPr>
                <w:ilvl w:val="0"/>
                <w:numId w:val="0"/>
              </w:numPr>
              <w:ind w:left="833"/>
            </w:pPr>
          </w:p>
          <w:p>
            <w:pPr>
              <w:pStyle w:val="Liste2"/>
              <w:numPr>
                <w:ilvl w:val="0"/>
                <w:numId w:val="0"/>
              </w:numPr>
              <w:ind w:left="833"/>
              <w:rPr>
                <w:i/>
              </w:rPr>
            </w:pPr>
          </w:p>
          <w:p>
            <w:pPr>
              <w:pStyle w:val="Liste2"/>
              <w:numPr>
                <w:ilvl w:val="0"/>
                <w:numId w:val="0"/>
              </w:numPr>
              <w:ind w:left="833"/>
              <w:rPr>
                <w:i/>
              </w:rPr>
            </w:pPr>
          </w:p>
          <w:p>
            <w:pPr>
              <w:pStyle w:val="Liste2"/>
              <w:numPr>
                <w:ilvl w:val="0"/>
                <w:numId w:val="0"/>
              </w:numPr>
              <w:ind w:left="833"/>
              <w:rPr>
                <w:i/>
              </w:rPr>
            </w:pPr>
          </w:p>
        </w:tc>
        <w:tc>
          <w:tcPr>
            <w:tcW w:w="1746" w:type="dxa"/>
          </w:tcPr>
          <w:p>
            <w:pPr>
              <w:rPr>
                <w:sz w:val="22"/>
                <w:szCs w:val="22"/>
              </w:rPr>
            </w:pPr>
          </w:p>
          <w:p>
            <w:pPr>
              <w:rPr>
                <w:sz w:val="22"/>
                <w:szCs w:val="22"/>
              </w:rPr>
            </w:pPr>
          </w:p>
          <w:p>
            <w:pPr>
              <w:rPr>
                <w:sz w:val="22"/>
                <w:szCs w:val="22"/>
              </w:rPr>
            </w:pPr>
            <w:r>
              <w:rPr>
                <w:sz w:val="22"/>
                <w:szCs w:val="22"/>
              </w:rPr>
              <w:t>BZgA (Ommen)</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(Glasmacher)</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FG36 (Haas)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bookmarkStart w:id="3" w:name="_GoBack"/>
            <w:bookmarkEnd w:id="3"/>
            <w:r>
              <w:rPr>
                <w:sz w:val="22"/>
                <w:szCs w:val="22"/>
              </w:rPr>
              <w:t>P1 (Leuker)</w:t>
            </w:r>
            <w:r>
              <w:rPr>
                <w:sz w:val="22"/>
                <w:szCs w:val="22"/>
              </w:rPr>
              <w:br/>
            </w:r>
          </w:p>
        </w:tc>
      </w:tr>
      <w:tr>
        <w:tc>
          <w:tcPr>
            <w:tcW w:w="684" w:type="dxa"/>
          </w:tcPr>
          <w:p>
            <w:pPr>
              <w:rPr>
                <w:b/>
              </w:rPr>
            </w:pPr>
            <w:r>
              <w:rPr>
                <w:b/>
              </w:rPr>
              <w:lastRenderedPageBreak/>
              <w:t>7</w:t>
            </w:r>
          </w:p>
        </w:tc>
        <w:tc>
          <w:tcPr>
            <w:tcW w:w="6541" w:type="dxa"/>
          </w:tcPr>
          <w:p>
            <w:pPr>
              <w:pStyle w:val="1"/>
            </w:pPr>
            <w:r>
              <w:t>RKI-Strategie Fragen</w:t>
            </w:r>
          </w:p>
          <w:p>
            <w:pPr>
              <w:pStyle w:val="2"/>
            </w:pPr>
            <w:r>
              <w:t>Allgemein</w:t>
            </w:r>
          </w:p>
          <w:p>
            <w:pPr>
              <w:pStyle w:val="2"/>
              <w:rPr>
                <w:i/>
              </w:rPr>
            </w:pPr>
            <w:r>
              <w:t>RKI-intern</w:t>
            </w:r>
          </w:p>
          <w:p>
            <w:pPr>
              <w:pStyle w:val="Liste1"/>
            </w:pPr>
            <w:r>
              <w:t>(nicht berichtet)</w:t>
            </w:r>
          </w:p>
        </w:tc>
        <w:tc>
          <w:tcPr>
            <w:tcW w:w="1746"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lastRenderedPageBreak/>
              <w:t>8</w:t>
            </w:r>
          </w:p>
        </w:tc>
        <w:tc>
          <w:tcPr>
            <w:tcW w:w="6541" w:type="dxa"/>
          </w:tcPr>
          <w:p>
            <w:pPr>
              <w:spacing w:line="276" w:lineRule="auto"/>
              <w:rPr>
                <w:b/>
                <w:sz w:val="28"/>
              </w:rPr>
            </w:pPr>
            <w:r>
              <w:rPr>
                <w:b/>
                <w:sz w:val="28"/>
              </w:rPr>
              <w:t>Dokumente</w:t>
            </w:r>
          </w:p>
          <w:p>
            <w:pPr>
              <w:pStyle w:val="Liste1"/>
            </w:pPr>
            <w:r>
              <w:t>(nicht berichtet)</w:t>
            </w:r>
          </w:p>
        </w:tc>
        <w:tc>
          <w:tcPr>
            <w:tcW w:w="1746" w:type="dxa"/>
          </w:tcPr>
          <w:p>
            <w:pPr>
              <w:rPr>
                <w:sz w:val="22"/>
                <w:szCs w:val="22"/>
              </w:rPr>
            </w:pPr>
          </w:p>
          <w:p>
            <w:pPr>
              <w:rPr>
                <w:sz w:val="22"/>
                <w:szCs w:val="22"/>
              </w:rPr>
            </w:pPr>
            <w:r>
              <w:rPr>
                <w:sz w:val="22"/>
                <w:szCs w:val="22"/>
              </w:rPr>
              <w:t>Alle</w:t>
            </w:r>
          </w:p>
        </w:tc>
      </w:tr>
      <w:tr>
        <w:tc>
          <w:tcPr>
            <w:tcW w:w="684" w:type="dxa"/>
          </w:tcPr>
          <w:p>
            <w:pPr>
              <w:rPr>
                <w:b/>
              </w:rPr>
            </w:pPr>
            <w:r>
              <w:rPr>
                <w:b/>
              </w:rPr>
              <w:t>9</w:t>
            </w:r>
          </w:p>
        </w:tc>
        <w:tc>
          <w:tcPr>
            <w:tcW w:w="6541"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p>
            <w:pPr>
              <w:pStyle w:val="2"/>
            </w:pPr>
            <w:r>
              <w:t>STIKO</w:t>
            </w:r>
          </w:p>
          <w:p>
            <w:pPr>
              <w:pStyle w:val="Liste1"/>
            </w:pPr>
            <w:r>
              <w:t>xxx</w:t>
            </w:r>
          </w:p>
        </w:tc>
        <w:tc>
          <w:tcPr>
            <w:tcW w:w="1746"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541" w:type="dxa"/>
          </w:tcPr>
          <w:p>
            <w:pPr>
              <w:pStyle w:val="1"/>
            </w:pPr>
            <w:r>
              <w:t>Labordiagnostik</w:t>
            </w:r>
          </w:p>
          <w:p>
            <w:pPr>
              <w:pStyle w:val="2"/>
            </w:pPr>
            <w:r>
              <w:t>FG17</w:t>
            </w:r>
          </w:p>
          <w:p>
            <w:pPr>
              <w:pStyle w:val="Liste1"/>
            </w:pPr>
            <w:r>
              <w:t>Virologisches Sentinel hatte in den letzten 4 Wochen ## Proben, davon:</w:t>
            </w:r>
          </w:p>
          <w:p>
            <w:pPr>
              <w:pStyle w:val="Liste2"/>
            </w:pPr>
            <w:r>
              <w:t># SARS-CoV-2</w:t>
            </w:r>
          </w:p>
          <w:p>
            <w:pPr>
              <w:pStyle w:val="Liste2"/>
            </w:pPr>
            <w:r>
              <w:t>## Rhinovirus</w:t>
            </w:r>
          </w:p>
          <w:p>
            <w:pPr>
              <w:pStyle w:val="Liste2"/>
            </w:pPr>
            <w:r>
              <w:t>## Parainfluenzavirus</w:t>
            </w:r>
          </w:p>
          <w:p>
            <w:pPr>
              <w:pStyle w:val="Liste2"/>
            </w:pPr>
            <w:r>
              <w:t xml:space="preserve">## saisonale (endemische) Coronaviren </w:t>
            </w:r>
          </w:p>
          <w:p>
            <w:pPr>
              <w:pStyle w:val="Liste2"/>
            </w:pPr>
            <w:r>
              <w:t>## Metapneumovirus</w:t>
            </w:r>
          </w:p>
          <w:p>
            <w:pPr>
              <w:pStyle w:val="Liste2"/>
            </w:pPr>
            <w:r>
              <w:t xml:space="preserve">## </w:t>
            </w:r>
            <w:proofErr w:type="spellStart"/>
            <w:r>
              <w:t>Influenzavirus</w:t>
            </w:r>
            <w:proofErr w:type="spellEnd"/>
          </w:p>
          <w:p>
            <w:pPr>
              <w:pStyle w:val="Liste2"/>
            </w:pPr>
            <w:r>
              <w:t xml:space="preserve">Rest </w:t>
            </w:r>
            <w:proofErr w:type="spellStart"/>
            <w:r>
              <w:t>negativ</w:t>
            </w:r>
            <w:proofErr w:type="spellEnd"/>
          </w:p>
          <w:p>
            <w:pPr>
              <w:pStyle w:val="2"/>
            </w:pPr>
            <w:r>
              <w:t>ZBS1</w:t>
            </w:r>
          </w:p>
        </w:tc>
        <w:tc>
          <w:tcPr>
            <w:tcW w:w="1746"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541" w:type="dxa"/>
          </w:tcPr>
          <w:p>
            <w:pPr>
              <w:pStyle w:val="1"/>
            </w:pPr>
            <w:r>
              <w:t>Klinisches Management/Entlassungsmanagement</w:t>
            </w:r>
          </w:p>
          <w:p>
            <w:pPr>
              <w:pStyle w:val="Liste1"/>
            </w:pPr>
            <w:r>
              <w:t>(nicht berichtet)</w:t>
            </w:r>
          </w:p>
          <w:p>
            <w:pPr>
              <w:pStyle w:val="3"/>
              <w:spacing w:before="0"/>
              <w:ind w:left="1077" w:hanging="357"/>
              <w:rPr>
                <w:b w:val="0"/>
              </w:rPr>
            </w:pPr>
          </w:p>
        </w:tc>
        <w:tc>
          <w:tcPr>
            <w:tcW w:w="1746"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541" w:type="dxa"/>
          </w:tcPr>
          <w:p>
            <w:pPr>
              <w:pStyle w:val="1"/>
            </w:pPr>
            <w:r>
              <w:t>Maßnahmen zum Infektionsschutz</w:t>
            </w:r>
          </w:p>
          <w:p>
            <w:pPr>
              <w:pStyle w:val="Liste1"/>
              <w:rPr>
                <w:i/>
              </w:rPr>
            </w:pPr>
            <w:r>
              <w:t>nicht berichtet</w:t>
            </w:r>
          </w:p>
        </w:tc>
        <w:tc>
          <w:tcPr>
            <w:tcW w:w="1746"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541" w:type="dxa"/>
          </w:tcPr>
          <w:p>
            <w:pPr>
              <w:pStyle w:val="1"/>
              <w:rPr>
                <w:sz w:val="22"/>
              </w:rPr>
            </w:pPr>
            <w:r>
              <w:t>Surveillance</w:t>
            </w:r>
          </w:p>
          <w:p>
            <w:pPr>
              <w:pStyle w:val="Liste1"/>
            </w:pPr>
            <w:r>
              <w:t>nicht berichtet</w:t>
            </w:r>
          </w:p>
        </w:tc>
        <w:tc>
          <w:tcPr>
            <w:tcW w:w="1746"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14</w:t>
            </w:r>
          </w:p>
        </w:tc>
        <w:tc>
          <w:tcPr>
            <w:tcW w:w="6541"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746"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541"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p>
            <w:pPr>
              <w:pStyle w:val="Liste1"/>
              <w:numPr>
                <w:ilvl w:val="0"/>
                <w:numId w:val="0"/>
              </w:numPr>
              <w:ind w:left="473"/>
            </w:pPr>
          </w:p>
        </w:tc>
        <w:tc>
          <w:tcPr>
            <w:tcW w:w="1746"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541" w:type="dxa"/>
          </w:tcPr>
          <w:p>
            <w:pPr>
              <w:pStyle w:val="1"/>
            </w:pPr>
            <w:r>
              <w:t>Wichtige Termine</w:t>
            </w:r>
          </w:p>
          <w:p>
            <w:pPr>
              <w:pStyle w:val="Liste1"/>
            </w:pPr>
            <w:r>
              <w:t>keine</w:t>
            </w:r>
          </w:p>
        </w:tc>
        <w:tc>
          <w:tcPr>
            <w:tcW w:w="1746"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541" w:type="dxa"/>
          </w:tcPr>
          <w:p>
            <w:pPr>
              <w:pStyle w:val="1"/>
            </w:pPr>
            <w:r>
              <w:t>Andere Themen</w:t>
            </w:r>
          </w:p>
          <w:p>
            <w:pPr>
              <w:pStyle w:val="Liste1"/>
            </w:pPr>
            <w:r>
              <w:lastRenderedPageBreak/>
              <w:t xml:space="preserve">Nächste Sitzung: Mittwoch, 16.02.2022XX, 11:00 Uhr, via </w:t>
            </w:r>
            <w:proofErr w:type="spellStart"/>
            <w:r>
              <w:t>Webex</w:t>
            </w:r>
            <w:proofErr w:type="spellEnd"/>
            <w:r>
              <w:br/>
            </w:r>
          </w:p>
        </w:tc>
        <w:tc>
          <w:tcPr>
            <w:tcW w:w="1746" w:type="dxa"/>
          </w:tcPr>
          <w:p>
            <w:pPr>
              <w:rPr>
                <w:sz w:val="22"/>
                <w:szCs w:val="22"/>
              </w:rPr>
            </w:pPr>
          </w:p>
          <w:p>
            <w:pPr>
              <w:rPr>
                <w:sz w:val="22"/>
                <w:szCs w:val="22"/>
              </w:rPr>
            </w:pPr>
          </w:p>
          <w:p>
            <w:pPr>
              <w:rPr>
                <w:sz w:val="22"/>
                <w:szCs w:val="22"/>
              </w:rPr>
            </w:pPr>
          </w:p>
        </w:tc>
      </w:tr>
    </w:tbl>
    <w:p>
      <w:pPr>
        <w:rPr>
          <w:b/>
        </w:rPr>
      </w:pPr>
    </w:p>
    <w:p>
      <w:pPr>
        <w:rPr>
          <w:b/>
        </w:rPr>
      </w:pPr>
      <w:r>
        <w:rPr>
          <w:b/>
        </w:rPr>
        <w:t xml:space="preserve">Ende: </w:t>
      </w:r>
      <w:r>
        <w:rPr>
          <w:b/>
          <w:highlight w:val="yellow"/>
        </w:rPr>
        <w:t>13:59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8"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EBC18FF"/>
    <w:multiLevelType w:val="hybridMultilevel"/>
    <w:tmpl w:val="327631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F1A3639"/>
    <w:multiLevelType w:val="hybridMultilevel"/>
    <w:tmpl w:val="CB0C20FE"/>
    <w:lvl w:ilvl="0" w:tplc="04070001">
      <w:start w:val="1"/>
      <w:numFmt w:val="bullet"/>
      <w:lvlText w:val=""/>
      <w:lvlJc w:val="left"/>
      <w:pPr>
        <w:ind w:left="1193" w:hanging="360"/>
      </w:pPr>
      <w:rPr>
        <w:rFonts w:ascii="Symbol" w:hAnsi="Symbol"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13"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8"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AB08AF"/>
    <w:multiLevelType w:val="hybridMultilevel"/>
    <w:tmpl w:val="A0926B72"/>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1"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DFE5A9C"/>
    <w:multiLevelType w:val="hybridMultilevel"/>
    <w:tmpl w:val="77C2BFE0"/>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4"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8"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3"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15:restartNumberingAfterBreak="0">
    <w:nsid w:val="7AA303A7"/>
    <w:multiLevelType w:val="hybridMultilevel"/>
    <w:tmpl w:val="8E5AABEE"/>
    <w:lvl w:ilvl="0" w:tplc="04070001">
      <w:start w:val="1"/>
      <w:numFmt w:val="bullet"/>
      <w:lvlText w:val=""/>
      <w:lvlJc w:val="left"/>
      <w:pPr>
        <w:ind w:left="1193" w:hanging="360"/>
      </w:pPr>
      <w:rPr>
        <w:rFonts w:ascii="Symbol" w:hAnsi="Symbol"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37" w15:restartNumberingAfterBreak="0">
    <w:nsid w:val="7C383297"/>
    <w:multiLevelType w:val="hybridMultilevel"/>
    <w:tmpl w:val="3074487C"/>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14"/>
  </w:num>
  <w:num w:numId="2">
    <w:abstractNumId w:val="4"/>
  </w:num>
  <w:num w:numId="3">
    <w:abstractNumId w:val="3"/>
  </w:num>
  <w:num w:numId="4">
    <w:abstractNumId w:val="22"/>
  </w:num>
  <w:num w:numId="5">
    <w:abstractNumId w:val="9"/>
  </w:num>
  <w:num w:numId="6">
    <w:abstractNumId w:val="24"/>
  </w:num>
  <w:num w:numId="7">
    <w:abstractNumId w:val="30"/>
  </w:num>
  <w:num w:numId="8">
    <w:abstractNumId w:val="17"/>
  </w:num>
  <w:num w:numId="9">
    <w:abstractNumId w:val="5"/>
  </w:num>
  <w:num w:numId="10">
    <w:abstractNumId w:val="35"/>
  </w:num>
  <w:num w:numId="11">
    <w:abstractNumId w:val="29"/>
  </w:num>
  <w:num w:numId="12">
    <w:abstractNumId w:val="19"/>
  </w:num>
  <w:num w:numId="13">
    <w:abstractNumId w:val="16"/>
  </w:num>
  <w:num w:numId="14">
    <w:abstractNumId w:val="25"/>
  </w:num>
  <w:num w:numId="15">
    <w:abstractNumId w:val="21"/>
  </w:num>
  <w:num w:numId="16">
    <w:abstractNumId w:val="0"/>
  </w:num>
  <w:num w:numId="17">
    <w:abstractNumId w:val="15"/>
  </w:num>
  <w:num w:numId="18">
    <w:abstractNumId w:val="33"/>
  </w:num>
  <w:num w:numId="19">
    <w:abstractNumId w:val="13"/>
  </w:num>
  <w:num w:numId="20">
    <w:abstractNumId w:val="31"/>
  </w:num>
  <w:num w:numId="21">
    <w:abstractNumId w:val="8"/>
  </w:num>
  <w:num w:numId="22">
    <w:abstractNumId w:val="10"/>
  </w:num>
  <w:num w:numId="23">
    <w:abstractNumId w:val="2"/>
  </w:num>
  <w:num w:numId="24">
    <w:abstractNumId w:val="26"/>
  </w:num>
  <w:num w:numId="25">
    <w:abstractNumId w:val="18"/>
  </w:num>
  <w:num w:numId="26">
    <w:abstractNumId w:val="1"/>
  </w:num>
  <w:num w:numId="27">
    <w:abstractNumId w:val="28"/>
  </w:num>
  <w:num w:numId="28">
    <w:abstractNumId w:val="34"/>
  </w:num>
  <w:num w:numId="29">
    <w:abstractNumId w:val="17"/>
  </w:num>
  <w:num w:numId="30">
    <w:abstractNumId w:val="17"/>
  </w:num>
  <w:num w:numId="31">
    <w:abstractNumId w:val="32"/>
  </w:num>
  <w:num w:numId="32">
    <w:abstractNumId w:val="27"/>
  </w:num>
  <w:num w:numId="33">
    <w:abstractNumId w:val="17"/>
  </w:num>
  <w:num w:numId="34">
    <w:abstractNumId w:val="17"/>
  </w:num>
  <w:num w:numId="35">
    <w:abstractNumId w:val="17"/>
  </w:num>
  <w:num w:numId="36">
    <w:abstractNumId w:val="7"/>
  </w:num>
  <w:num w:numId="37">
    <w:abstractNumId w:val="6"/>
  </w:num>
  <w:num w:numId="38">
    <w:abstractNumId w:val="7"/>
  </w:num>
  <w:num w:numId="39">
    <w:abstractNumId w:val="17"/>
  </w:num>
  <w:num w:numId="40">
    <w:abstractNumId w:val="20"/>
  </w:num>
  <w:num w:numId="41">
    <w:abstractNumId w:val="9"/>
  </w:num>
  <w:num w:numId="42">
    <w:abstractNumId w:val="7"/>
  </w:num>
  <w:num w:numId="43">
    <w:abstractNumId w:val="36"/>
  </w:num>
  <w:num w:numId="44">
    <w:abstractNumId w:val="11"/>
  </w:num>
  <w:num w:numId="45">
    <w:abstractNumId w:val="37"/>
  </w:num>
  <w:num w:numId="46">
    <w:abstractNumId w:val="20"/>
  </w:num>
  <w:num w:numId="47">
    <w:abstractNumId w:val="12"/>
  </w:num>
  <w:num w:numId="48">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32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tagesspiegel.de/berlin/berliner-kitas-und-die-oeffnungsstrategie-test-to-stay-kita-eltern-halten-risiken-fuer-nicht-tragbar/28062008.htm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2-02-14_Lage-AG\LageNational_2022-02-14.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0DF13-FB1A-4ECA-8864-CE3FB9A9A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1036</Words>
  <Characters>6528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Biallas, Renke</cp:lastModifiedBy>
  <cp:revision>50</cp:revision>
  <cp:lastPrinted>2020-05-06T16:43:00Z</cp:lastPrinted>
  <dcterms:created xsi:type="dcterms:W3CDTF">2021-05-05T09:19:00Z</dcterms:created>
  <dcterms:modified xsi:type="dcterms:W3CDTF">2022-02-14T15:43:00Z</dcterms:modified>
</cp:coreProperties>
</file>