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Montag, 21.02.2022,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 xml:space="preserve">Lars </w:t>
      </w:r>
      <w:proofErr w:type="spellStart"/>
      <w:r>
        <w:rPr>
          <w:sz w:val="22"/>
          <w:szCs w:val="22"/>
        </w:rPr>
        <w:t>Schaade</w:t>
      </w:r>
      <w:proofErr w:type="spellEnd"/>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Thorsten Wolff</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2"/>
        </w:numPr>
        <w:spacing w:after="0"/>
        <w:contextualSpacing w:val="0"/>
        <w:rPr>
          <w:sz w:val="22"/>
          <w:szCs w:val="22"/>
        </w:rPr>
      </w:pPr>
      <w:r>
        <w:rPr>
          <w:sz w:val="22"/>
          <w:szCs w:val="22"/>
        </w:rPr>
        <w:t xml:space="preserve">FG 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Amrei Wolter</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spacing w:after="0"/>
        <w:rPr>
          <w:sz w:val="22"/>
          <w:szCs w:val="22"/>
        </w:rPr>
      </w:pP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rPr>
      </w:pPr>
      <w:r>
        <w:rPr>
          <w:sz w:val="22"/>
        </w:rPr>
        <w:t xml:space="preserve">Pascal </w:t>
      </w:r>
      <w:proofErr w:type="spellStart"/>
      <w:r>
        <w:rPr>
          <w:sz w:val="22"/>
        </w:rPr>
        <w:t>Klamser</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Sarah </w:t>
      </w:r>
      <w:proofErr w:type="spellStart"/>
      <w:r>
        <w:rPr>
          <w:rStyle w:val="highlight"/>
          <w:sz w:val="22"/>
          <w:szCs w:val="22"/>
        </w:rPr>
        <w:t>Esquevin</w:t>
      </w:r>
      <w:proofErr w:type="spellEnd"/>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Oliver Ommen</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r>
              <w:t>(nicht berichtet)</w:t>
            </w:r>
          </w:p>
          <w:p>
            <w:pPr>
              <w:pStyle w:val="Liste2"/>
              <w:numPr>
                <w:ilvl w:val="0"/>
                <w:numId w:val="0"/>
              </w:numPr>
              <w:ind w:left="833"/>
            </w:pPr>
          </w:p>
          <w:p>
            <w:pPr>
              <w:pStyle w:val="2"/>
            </w:pPr>
            <w:r>
              <w:t xml:space="preserve">National </w:t>
            </w:r>
          </w:p>
          <w:p>
            <w:pPr>
              <w:pStyle w:val="Liste2"/>
              <w:rPr>
                <w:lang w:val="de-DE"/>
              </w:rPr>
            </w:pPr>
            <w:r>
              <w:rPr>
                <w:lang w:val="de-DE"/>
              </w:rPr>
              <w:t xml:space="preserve">Fallzahlen, Todesfälle, Trend, Folien </w:t>
            </w:r>
            <w:hyperlink r:id="rId14" w:history="1">
              <w:r>
                <w:rPr>
                  <w:rStyle w:val="Hyperlink"/>
                  <w:lang w:val="de-DE"/>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13.636.993 (+73.867), davon 121.297 (+22) Todesfälle </w:t>
            </w:r>
          </w:p>
          <w:p>
            <w:pPr>
              <w:pStyle w:val="Liste2"/>
            </w:pPr>
            <w:r>
              <w:t xml:space="preserve">7-Tage-Inzidenz:  1346,8/100.000 </w:t>
            </w:r>
            <w:proofErr w:type="spellStart"/>
            <w:r>
              <w:t>Einw</w:t>
            </w:r>
            <w:proofErr w:type="spellEnd"/>
            <w:r>
              <w:t>.</w:t>
            </w:r>
          </w:p>
          <w:p>
            <w:pPr>
              <w:pStyle w:val="Liste2"/>
              <w:rPr>
                <w:lang w:val="de-DE"/>
              </w:rPr>
            </w:pPr>
            <w:r>
              <w:rPr>
                <w:lang w:val="de-DE"/>
              </w:rPr>
              <w:t>Impfmonitoring: Geimpfte mit 1. Dosis 63.377.472 (76,2%), mit vollständiger Impfung 62.491.708 (75,2%)</w:t>
            </w:r>
          </w:p>
          <w:p>
            <w:pPr>
              <w:pStyle w:val="Liste2"/>
              <w:rPr>
                <w:lang w:val="de-DE"/>
              </w:rPr>
            </w:pPr>
            <w:r>
              <w:rPr>
                <w:lang w:val="de-DE"/>
              </w:rPr>
              <w:t>Labormeldungen über DEMIS: Rückläufige Tendenz</w:t>
            </w:r>
          </w:p>
          <w:p>
            <w:pPr>
              <w:pStyle w:val="Liste2"/>
              <w:rPr>
                <w:lang w:val="de-DE"/>
              </w:rPr>
            </w:pPr>
            <w:r>
              <w:rPr>
                <w:lang w:val="de-DE"/>
              </w:rPr>
              <w:t>Verlauf der 7-Tage-Inzidenz der Bundesländer:</w:t>
            </w:r>
          </w:p>
          <w:p>
            <w:pPr>
              <w:pStyle w:val="Liste3"/>
            </w:pPr>
            <w:r>
              <w:t>Rückgang in fast allen BL mit Ausnahme von Thüringen (Anstieg) und BY, BaWü und MeckPomm (Plateau)</w:t>
            </w:r>
          </w:p>
          <w:p>
            <w:pPr>
              <w:pStyle w:val="Liste3"/>
            </w:pPr>
            <w:r>
              <w:t xml:space="preserve">geografische Verteilung: Nur 2 LK mit 7d-Inzidenz &lt; 100/100.000 </w:t>
            </w:r>
            <w:proofErr w:type="spellStart"/>
            <w:r>
              <w:t>Einw</w:t>
            </w:r>
            <w:proofErr w:type="spellEnd"/>
            <w:r>
              <w:t>.</w:t>
            </w:r>
          </w:p>
          <w:p>
            <w:pPr>
              <w:pStyle w:val="Liste3"/>
            </w:pPr>
            <w:r>
              <w:t>Inzidenz pro Altersgruppe: am stärksten betroffen: 0-49-Jährige, am wenigsten betroffen: 70-79-Jährige</w:t>
            </w:r>
          </w:p>
          <w:p>
            <w:pPr>
              <w:pStyle w:val="Liste3"/>
            </w:pPr>
            <w:r>
              <w:t xml:space="preserve">Hospitalisierungsinzidenz auch bei 0-59-Jährigen auf hohem Niveau, ggf. Abgleich mit </w:t>
            </w:r>
            <w:proofErr w:type="spellStart"/>
            <w:r>
              <w:t>syndromischer</w:t>
            </w:r>
            <w:proofErr w:type="spellEnd"/>
            <w:r>
              <w:t xml:space="preserve"> Surveillance zur Validierung </w:t>
            </w:r>
          </w:p>
          <w:p>
            <w:pPr>
              <w:pStyle w:val="Liste3"/>
              <w:numPr>
                <w:ilvl w:val="0"/>
                <w:numId w:val="0"/>
              </w:numPr>
              <w:ind w:left="1193" w:hanging="360"/>
            </w:pPr>
          </w:p>
          <w:p>
            <w:pPr>
              <w:pStyle w:val="Liste2"/>
              <w:rPr>
                <w:rStyle w:val="TagMiZchn"/>
                <w:b w:val="0"/>
                <w:bCs/>
                <w:lang w:val="de-DE"/>
              </w:rPr>
            </w:pPr>
            <w:r>
              <w:rPr>
                <w:rStyle w:val="3Zchn"/>
                <w:b w:val="0"/>
                <w:lang w:val="de-DE"/>
              </w:rPr>
              <w:t>Testkapazität und Testungen</w:t>
            </w:r>
            <w:r>
              <w:rPr>
                <w:lang w:val="de-DE"/>
              </w:rPr>
              <w:t xml:space="preserve"> </w:t>
            </w:r>
            <w:r>
              <w:rPr>
                <w:rStyle w:val="TagMiZchn"/>
                <w:bCs/>
                <w:lang w:val="de-DE"/>
              </w:rPr>
              <w:t xml:space="preserve">(nur mittwochs) </w:t>
            </w:r>
          </w:p>
          <w:p>
            <w:pPr>
              <w:pStyle w:val="Liste2"/>
            </w:pPr>
            <w:r>
              <w:t>(nicht berichtet)</w:t>
            </w:r>
          </w:p>
          <w:p>
            <w:pPr>
              <w:pStyle w:val="Liste2"/>
            </w:pPr>
            <w:r>
              <w:t xml:space="preserve">ARS-Daten </w:t>
            </w:r>
          </w:p>
          <w:p>
            <w:pPr>
              <w:pStyle w:val="Liste2"/>
            </w:pPr>
            <w:r>
              <w:t>(nicht berichtet)</w:t>
            </w:r>
          </w:p>
          <w:p>
            <w:pPr>
              <w:pStyle w:val="Liste2"/>
            </w:pPr>
            <w:r>
              <w:t>VOC-</w:t>
            </w:r>
            <w:proofErr w:type="spellStart"/>
            <w:r>
              <w:t>Bericht</w:t>
            </w:r>
            <w:proofErr w:type="spellEnd"/>
          </w:p>
          <w:p>
            <w:pPr>
              <w:pStyle w:val="Liste2"/>
            </w:pPr>
            <w:r>
              <w:t>(nicht berichtet)</w:t>
            </w:r>
          </w:p>
          <w:p>
            <w:pPr>
              <w:pStyle w:val="Liste2"/>
            </w:pPr>
            <w:r>
              <w:t>Molekulare Surveillance (nur mittwochs)</w:t>
            </w:r>
          </w:p>
          <w:p>
            <w:pPr>
              <w:pStyle w:val="Liste2"/>
            </w:pPr>
            <w:r>
              <w:t>(nicht berichtet)</w:t>
            </w:r>
          </w:p>
          <w:p>
            <w:pPr>
              <w:pStyle w:val="Liste2"/>
            </w:pPr>
            <w:proofErr w:type="spellStart"/>
            <w:r>
              <w:t>Syndromische</w:t>
            </w:r>
            <w:proofErr w:type="spellEnd"/>
            <w:r>
              <w:t xml:space="preserve"> Surveillance</w:t>
            </w:r>
            <w:r>
              <w:rPr>
                <w:rStyle w:val="TagMiZchn"/>
              </w:rPr>
              <w:t xml:space="preserve"> (</w:t>
            </w:r>
            <w:proofErr w:type="spellStart"/>
            <w:r>
              <w:rPr>
                <w:rStyle w:val="TagMiZchn"/>
              </w:rPr>
              <w:t>nur</w:t>
            </w:r>
            <w:proofErr w:type="spellEnd"/>
            <w:r>
              <w:rPr>
                <w:rStyle w:val="TagMiZchn"/>
              </w:rPr>
              <w:t xml:space="preserve"> </w:t>
            </w:r>
            <w:proofErr w:type="spellStart"/>
            <w:r>
              <w:rPr>
                <w:rStyle w:val="TagMiZchn"/>
              </w:rPr>
              <w:t>mittwochs</w:t>
            </w:r>
            <w:proofErr w:type="spellEnd"/>
            <w:r>
              <w:rPr>
                <w:rStyle w:val="TagMiZchn"/>
              </w:rPr>
              <w:t>)</w:t>
            </w:r>
            <w:r>
              <w:rPr>
                <w:i/>
                <w:color w:val="D99594" w:themeColor="accent2" w:themeTint="99"/>
                <w:sz w:val="20"/>
                <w:szCs w:val="20"/>
              </w:rPr>
              <w:t xml:space="preserve"> </w:t>
            </w:r>
          </w:p>
          <w:p>
            <w:pPr>
              <w:pStyle w:val="Liste2"/>
            </w:pPr>
            <w:r>
              <w:t>(nicht berichtet)</w:t>
            </w:r>
          </w:p>
          <w:p>
            <w:pPr>
              <w:pStyle w:val="Liste2"/>
              <w:rPr>
                <w:rStyle w:val="TagMiZchn"/>
                <w:b w:val="0"/>
                <w:lang w:val="de-DE"/>
              </w:rPr>
            </w:pPr>
            <w:r>
              <w:rPr>
                <w:lang w:val="de-DE"/>
              </w:rPr>
              <w:t xml:space="preserve">Virologische Surveillance, NRZ Influenza-Daten </w:t>
            </w:r>
            <w:r>
              <w:rPr>
                <w:rStyle w:val="TagMiZchn"/>
                <w:lang w:val="de-DE"/>
              </w:rPr>
              <w:t xml:space="preserve">(nur mittwochs) </w:t>
            </w:r>
          </w:p>
          <w:p>
            <w:pPr>
              <w:pStyle w:val="Liste2"/>
            </w:pPr>
            <w:r>
              <w:t>(nicht berichtet)</w:t>
            </w:r>
          </w:p>
          <w:p>
            <w:pPr>
              <w:pStyle w:val="Liste2"/>
              <w:rPr>
                <w:rStyle w:val="TagMiZchn"/>
                <w:b w:val="0"/>
                <w:bCs/>
                <w:lang w:val="de-DE"/>
              </w:rPr>
            </w:pPr>
            <w:r>
              <w:rPr>
                <w:lang w:val="de-DE"/>
              </w:rPr>
              <w:t xml:space="preserve">Zahlen zum DIVI-Intensivregister </w:t>
            </w:r>
            <w:r>
              <w:rPr>
                <w:rStyle w:val="TagMiZchn"/>
                <w:bCs/>
                <w:lang w:val="de-DE"/>
              </w:rPr>
              <w:t>(nur mittwochs)</w:t>
            </w:r>
          </w:p>
          <w:p>
            <w:pPr>
              <w:pStyle w:val="Liste2"/>
            </w:pPr>
            <w:r>
              <w:t>(nicht berichtet)</w:t>
            </w:r>
          </w:p>
          <w:p>
            <w:pPr>
              <w:pStyle w:val="Liste2"/>
            </w:pPr>
            <w:proofErr w:type="spellStart"/>
            <w:r>
              <w:t>Modellierungen</w:t>
            </w:r>
            <w:proofErr w:type="spellEnd"/>
            <w:r>
              <w:t xml:space="preserve"> </w:t>
            </w:r>
            <w:r>
              <w:rPr>
                <w:b/>
                <w:i/>
                <w:color w:val="95B3D7" w:themeColor="accent1" w:themeTint="99"/>
                <w:sz w:val="20"/>
              </w:rPr>
              <w:t>(</w:t>
            </w:r>
            <w:proofErr w:type="spellStart"/>
            <w:r>
              <w:rPr>
                <w:b/>
                <w:i/>
                <w:color w:val="95B3D7" w:themeColor="accent1" w:themeTint="99"/>
                <w:sz w:val="20"/>
              </w:rPr>
              <w:t>nur</w:t>
            </w:r>
            <w:proofErr w:type="spellEnd"/>
            <w:r>
              <w:rPr>
                <w:b/>
                <w:i/>
                <w:color w:val="95B3D7" w:themeColor="accent1" w:themeTint="99"/>
                <w:sz w:val="20"/>
              </w:rPr>
              <w:t xml:space="preserve"> </w:t>
            </w:r>
            <w:proofErr w:type="spellStart"/>
            <w:r>
              <w:rPr>
                <w:b/>
                <w:i/>
                <w:color w:val="95B3D7" w:themeColor="accent1" w:themeTint="99"/>
                <w:sz w:val="20"/>
              </w:rPr>
              <w:t>freitags</w:t>
            </w:r>
            <w:proofErr w:type="spellEnd"/>
            <w:r>
              <w:rPr>
                <w:b/>
                <w:i/>
                <w:color w:val="95B3D7" w:themeColor="accent1" w:themeTint="99"/>
                <w:sz w:val="20"/>
              </w:rPr>
              <w:t>)</w:t>
            </w:r>
          </w:p>
          <w:p>
            <w:pPr>
              <w:pStyle w:val="Liste2"/>
            </w:pPr>
            <w:r>
              <w:t>(nicht berichtet)</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FG32 (Diercke)</w:t>
            </w:r>
            <w:r>
              <w:rPr>
                <w:sz w:val="22"/>
                <w:szCs w:val="22"/>
              </w:rPr>
              <w:br/>
            </w:r>
          </w:p>
        </w:tc>
      </w:tr>
      <w:tr>
        <w:tc>
          <w:tcPr>
            <w:tcW w:w="684" w:type="dxa"/>
          </w:tcPr>
          <w:p>
            <w:pPr>
              <w:rPr>
                <w:b/>
              </w:rPr>
            </w:pPr>
            <w:r>
              <w:rPr>
                <w:b/>
              </w:rPr>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lastRenderedPageBreak/>
              <w:t>4</w:t>
            </w:r>
          </w:p>
        </w:tc>
        <w:tc>
          <w:tcPr>
            <w:tcW w:w="6824" w:type="dxa"/>
          </w:tcPr>
          <w:p>
            <w:pPr>
              <w:pStyle w:val="1"/>
            </w:pPr>
            <w:r>
              <w:t>Aktuelle Risikobewertung</w:t>
            </w:r>
          </w:p>
          <w:p>
            <w:pPr>
              <w:pStyle w:val="Liste1"/>
            </w:pPr>
            <w:r>
              <w:t>Diskussion der Änderungsvorschläge zur Risikobewertung (</w:t>
            </w:r>
            <w:hyperlink r:id="rId15" w:history="1">
              <w:r>
                <w:rPr>
                  <w:rStyle w:val="Hyperlink"/>
                </w:rPr>
                <w:t>Link</w:t>
              </w:r>
            </w:hyperlink>
            <w:r>
              <w:t>)</w:t>
            </w:r>
          </w:p>
          <w:p>
            <w:pPr>
              <w:pStyle w:val="Liste2"/>
              <w:rPr>
                <w:lang w:val="de-DE"/>
              </w:rPr>
            </w:pPr>
            <w:r>
              <w:rPr>
                <w:lang w:val="de-DE"/>
              </w:rPr>
              <w:t>Gespräch mit dem Minister für die aktuelle Woche geplant zur Abstimmung der Risikobewertung und Ankündigung der Veröffentlichung auf der BPK am Freitag</w:t>
            </w:r>
            <w:r>
              <w:rPr>
                <w:lang w:val="de-DE"/>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  nicht berichtet</w:t>
            </w:r>
          </w:p>
          <w:p>
            <w:pPr>
              <w:pStyle w:val="1"/>
              <w:rPr>
                <w:sz w:val="22"/>
              </w:rPr>
            </w:pPr>
          </w:p>
        </w:tc>
        <w:tc>
          <w:tcPr>
            <w:tcW w:w="1463" w:type="dxa"/>
          </w:tcPr>
          <w:p>
            <w:pPr>
              <w:rPr>
                <w:sz w:val="22"/>
                <w:szCs w:val="22"/>
              </w:rPr>
            </w:pP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Aktivitäten neu:</w:t>
            </w:r>
          </w:p>
          <w:p>
            <w:pPr>
              <w:pStyle w:val="Liste1"/>
            </w:pPr>
            <w:r>
              <w:t>Große Aussende-Aktion von Material für Kitas und Grundschulen mit Eltern und Lehrkräften als Zielgruppen</w:t>
            </w:r>
          </w:p>
          <w:p>
            <w:pPr>
              <w:pStyle w:val="Liste1"/>
              <w:numPr>
                <w:ilvl w:val="0"/>
                <w:numId w:val="0"/>
              </w:numPr>
              <w:ind w:left="113"/>
            </w:pPr>
          </w:p>
          <w:p>
            <w:pPr>
              <w:pStyle w:val="Liste1"/>
              <w:numPr>
                <w:ilvl w:val="0"/>
                <w:numId w:val="0"/>
              </w:numPr>
              <w:ind w:left="113"/>
            </w:pPr>
            <w:r>
              <w:t>Frage aus dem Krisenstab: Gibt es Angaben in den Dokumenten zu Testungen in Schulen und Kitas nach dem 31.3.2022?</w:t>
            </w:r>
          </w:p>
          <w:p>
            <w:pPr>
              <w:pStyle w:val="Liste1"/>
              <w:numPr>
                <w:ilvl w:val="0"/>
                <w:numId w:val="0"/>
              </w:numPr>
              <w:ind w:left="113"/>
            </w:pPr>
            <w:r>
              <w:t>Antwort: Nicht bekannt, Information wird nachgereicht</w:t>
            </w:r>
          </w:p>
          <w:p>
            <w:pPr>
              <w:pStyle w:val="2"/>
            </w:pPr>
            <w:r>
              <w:t>Presse</w:t>
            </w:r>
          </w:p>
          <w:p>
            <w:pPr>
              <w:pStyle w:val="Liste1"/>
            </w:pPr>
            <w:r>
              <w:t>nicht berichtet</w:t>
            </w:r>
          </w:p>
          <w:p>
            <w:pPr>
              <w:pStyle w:val="2"/>
            </w:pPr>
            <w:r>
              <w:t>P1</w:t>
            </w:r>
          </w:p>
          <w:p>
            <w:pPr>
              <w:pStyle w:val="Liste1"/>
              <w:rPr>
                <w:i/>
              </w:rPr>
            </w:pPr>
            <w:r>
              <w:t>Gesprächskarten zum Thema Impfen werden auf der Webseite unter FAQ und über Twitter veröffentlicht (Zusammenarbeit mit Uni Erfurt)</w:t>
            </w:r>
            <w:r>
              <w:br/>
            </w:r>
          </w:p>
        </w:tc>
        <w:tc>
          <w:tcPr>
            <w:tcW w:w="1463" w:type="dxa"/>
          </w:tcPr>
          <w:p>
            <w:pPr>
              <w:rPr>
                <w:sz w:val="22"/>
                <w:szCs w:val="22"/>
              </w:rPr>
            </w:pPr>
          </w:p>
          <w:p>
            <w:pPr>
              <w:rPr>
                <w:sz w:val="22"/>
                <w:szCs w:val="22"/>
              </w:rPr>
            </w:pPr>
          </w:p>
          <w:p>
            <w:pPr>
              <w:rPr>
                <w:sz w:val="22"/>
                <w:szCs w:val="22"/>
              </w:rPr>
            </w:pPr>
            <w:r>
              <w:rPr>
                <w:sz w:val="22"/>
                <w:szCs w:val="22"/>
              </w:rPr>
              <w:t>BZgA (Ommen)</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r>
              <w:rPr>
                <w:sz w:val="22"/>
                <w:szCs w:val="22"/>
              </w:rPr>
              <w:t>P1 (Leuker)</w:t>
            </w:r>
            <w:r>
              <w:rPr>
                <w:sz w:val="22"/>
                <w:szCs w:val="22"/>
              </w:rPr>
              <w:br/>
            </w:r>
          </w:p>
        </w:tc>
      </w:tr>
      <w:tr>
        <w:tc>
          <w:tcPr>
            <w:tcW w:w="684" w:type="dxa"/>
          </w:tcPr>
          <w:p>
            <w:pPr>
              <w:rPr>
                <w:b/>
              </w:rPr>
            </w:pPr>
            <w:r>
              <w:rPr>
                <w:b/>
              </w:rPr>
              <w:t>7</w:t>
            </w:r>
          </w:p>
        </w:tc>
        <w:tc>
          <w:tcPr>
            <w:tcW w:w="6824" w:type="dxa"/>
          </w:tcPr>
          <w:p>
            <w:pPr>
              <w:pStyle w:val="1"/>
              <w:rPr>
                <w:sz w:val="22"/>
                <w:szCs w:val="22"/>
              </w:rPr>
            </w:pPr>
            <w:r>
              <w:rPr>
                <w:sz w:val="22"/>
                <w:szCs w:val="22"/>
              </w:rPr>
              <w:t>RKI-Strategie Fragen</w:t>
            </w:r>
          </w:p>
          <w:p>
            <w:pPr>
              <w:pStyle w:val="2"/>
              <w:rPr>
                <w:sz w:val="22"/>
                <w:szCs w:val="22"/>
              </w:rPr>
            </w:pPr>
            <w:r>
              <w:rPr>
                <w:sz w:val="22"/>
                <w:szCs w:val="22"/>
              </w:rPr>
              <w:t>Allgemein</w:t>
            </w:r>
          </w:p>
          <w:p>
            <w:pPr>
              <w:pStyle w:val="Listenabsatz"/>
              <w:numPr>
                <w:ilvl w:val="0"/>
                <w:numId w:val="8"/>
              </w:numPr>
              <w:rPr>
                <w:sz w:val="22"/>
                <w:szCs w:val="22"/>
              </w:rPr>
            </w:pPr>
            <w:r>
              <w:rPr>
                <w:sz w:val="22"/>
                <w:szCs w:val="22"/>
              </w:rPr>
              <w:t>Nat. Teststrategie – Planung für den Herbst/ Winter</w:t>
            </w:r>
          </w:p>
          <w:p>
            <w:pPr>
              <w:pStyle w:val="Listenabsatz"/>
              <w:numPr>
                <w:ilvl w:val="0"/>
                <w:numId w:val="8"/>
              </w:numPr>
              <w:rPr>
                <w:sz w:val="22"/>
                <w:szCs w:val="22"/>
              </w:rPr>
            </w:pPr>
            <w:r>
              <w:rPr>
                <w:sz w:val="22"/>
                <w:szCs w:val="22"/>
              </w:rPr>
              <w:t xml:space="preserve">Folien </w:t>
            </w:r>
            <w:hyperlink r:id="rId16" w:history="1">
              <w:r>
                <w:rPr>
                  <w:rStyle w:val="Hyperlink"/>
                  <w:sz w:val="22"/>
                  <w:szCs w:val="22"/>
                </w:rPr>
                <w:t>hier</w:t>
              </w:r>
            </w:hyperlink>
            <w:r>
              <w:rPr>
                <w:rStyle w:val="Hyperlink"/>
                <w:color w:val="auto"/>
                <w:sz w:val="22"/>
                <w:szCs w:val="22"/>
                <w:u w:val="none"/>
              </w:rPr>
              <w:t xml:space="preserve"> und </w:t>
            </w:r>
            <w:hyperlink r:id="rId17" w:history="1">
              <w:r>
                <w:rPr>
                  <w:rStyle w:val="Hyperlink"/>
                  <w:sz w:val="22"/>
                  <w:szCs w:val="22"/>
                </w:rPr>
                <w:t>hier</w:t>
              </w:r>
            </w:hyperlink>
          </w:p>
          <w:p>
            <w:pPr>
              <w:pStyle w:val="NurText"/>
              <w:rPr>
                <w:rFonts w:asciiTheme="minorHAnsi" w:hAnsiTheme="minorHAnsi"/>
                <w:szCs w:val="22"/>
              </w:rPr>
            </w:pPr>
            <w:r>
              <w:rPr>
                <w:rFonts w:asciiTheme="minorHAnsi" w:hAnsiTheme="minorHAnsi"/>
                <w:szCs w:val="22"/>
              </w:rPr>
              <w:t xml:space="preserve">BMG-Erlass zur Entwicklung eines konkreten Schaubild-Entwurfs für eine Teststrategie. Folgende Fragestellungen sollten dabei berücksichtigt werden und waren Gegenstand der Krisenstabsdiskussion: </w:t>
            </w:r>
          </w:p>
          <w:p>
            <w:pPr>
              <w:pStyle w:val="NurText"/>
              <w:numPr>
                <w:ilvl w:val="0"/>
                <w:numId w:val="8"/>
              </w:numPr>
              <w:rPr>
                <w:rFonts w:asciiTheme="minorHAnsi" w:hAnsiTheme="minorHAnsi"/>
                <w:szCs w:val="22"/>
              </w:rPr>
            </w:pPr>
            <w:r>
              <w:rPr>
                <w:rFonts w:asciiTheme="minorHAnsi" w:hAnsiTheme="minorHAnsi"/>
                <w:szCs w:val="22"/>
              </w:rPr>
              <w:t xml:space="preserve">Welche Testindikationen sind für Frühjahr / Sommer zwingend beizubehalten? </w:t>
            </w:r>
          </w:p>
          <w:p>
            <w:pPr>
              <w:pStyle w:val="NurText"/>
              <w:numPr>
                <w:ilvl w:val="0"/>
                <w:numId w:val="8"/>
              </w:numPr>
              <w:rPr>
                <w:rFonts w:asciiTheme="minorHAnsi" w:hAnsiTheme="minorHAnsi"/>
                <w:szCs w:val="22"/>
              </w:rPr>
            </w:pPr>
            <w:r>
              <w:rPr>
                <w:rFonts w:asciiTheme="minorHAnsi" w:hAnsiTheme="minorHAnsi"/>
                <w:szCs w:val="22"/>
              </w:rPr>
              <w:t>Antwort: Alle symptomatischen Personen (ggf. Schaubild überarbeiten, da es dort so aussieht, als ob nur symptomatische Personen aus Risikogruppen oder im nosokomialen Setting gemeint sind) und asymptomatische Personen im nosokomialen Setting (ganzer oberer Kasten)</w:t>
            </w:r>
          </w:p>
          <w:p>
            <w:pPr>
              <w:pStyle w:val="NurText"/>
              <w:rPr>
                <w:rFonts w:asciiTheme="minorHAnsi" w:hAnsiTheme="minorHAnsi"/>
                <w:szCs w:val="22"/>
              </w:rPr>
            </w:pPr>
          </w:p>
          <w:p>
            <w:pPr>
              <w:pStyle w:val="NurText"/>
              <w:numPr>
                <w:ilvl w:val="0"/>
                <w:numId w:val="8"/>
              </w:numPr>
              <w:rPr>
                <w:rFonts w:asciiTheme="minorHAnsi" w:hAnsiTheme="minorHAnsi"/>
                <w:szCs w:val="22"/>
              </w:rPr>
            </w:pPr>
            <w:r>
              <w:rPr>
                <w:rFonts w:asciiTheme="minorHAnsi" w:hAnsiTheme="minorHAnsi"/>
                <w:szCs w:val="22"/>
              </w:rPr>
              <w:t>Welche Testindikationen sind für Frühjahr / Sommer aus fachlicher Sicht nicht notwendig?</w:t>
            </w:r>
          </w:p>
          <w:p>
            <w:pPr>
              <w:pStyle w:val="Listenabsatz"/>
              <w:rPr>
                <w:szCs w:val="22"/>
              </w:rPr>
            </w:pPr>
          </w:p>
          <w:p>
            <w:pPr>
              <w:pStyle w:val="NurText"/>
              <w:numPr>
                <w:ilvl w:val="0"/>
                <w:numId w:val="8"/>
              </w:numPr>
              <w:rPr>
                <w:rFonts w:asciiTheme="minorHAnsi" w:hAnsiTheme="minorHAnsi"/>
                <w:szCs w:val="22"/>
              </w:rPr>
            </w:pPr>
            <w:r>
              <w:rPr>
                <w:rFonts w:asciiTheme="minorHAnsi" w:hAnsiTheme="minorHAnsi"/>
                <w:szCs w:val="22"/>
              </w:rPr>
              <w:t>Antwort: Wurde nicht diskutiert/beantwortet.</w:t>
            </w:r>
          </w:p>
          <w:p>
            <w:pPr>
              <w:pStyle w:val="NurText"/>
              <w:rPr>
                <w:rFonts w:asciiTheme="minorHAnsi" w:hAnsiTheme="minorHAnsi"/>
                <w:szCs w:val="22"/>
              </w:rPr>
            </w:pPr>
          </w:p>
          <w:p>
            <w:pPr>
              <w:pStyle w:val="NurText"/>
              <w:numPr>
                <w:ilvl w:val="0"/>
                <w:numId w:val="8"/>
              </w:numPr>
              <w:rPr>
                <w:rFonts w:asciiTheme="minorHAnsi" w:hAnsiTheme="minorHAnsi"/>
                <w:szCs w:val="22"/>
              </w:rPr>
            </w:pPr>
            <w:r>
              <w:rPr>
                <w:rFonts w:asciiTheme="minorHAnsi" w:hAnsiTheme="minorHAnsi"/>
                <w:szCs w:val="22"/>
              </w:rPr>
              <w:t>Welche Gruppen sind durch Reihentestungen zu schützen? Welche Testkonzepte sollten dabei zum Einsatz kommen?</w:t>
            </w:r>
          </w:p>
          <w:p>
            <w:pPr>
              <w:pStyle w:val="Listenabsatz"/>
              <w:rPr>
                <w:szCs w:val="22"/>
              </w:rPr>
            </w:pPr>
          </w:p>
          <w:p>
            <w:pPr>
              <w:pStyle w:val="NurText"/>
              <w:numPr>
                <w:ilvl w:val="0"/>
                <w:numId w:val="8"/>
              </w:numPr>
              <w:rPr>
                <w:rFonts w:asciiTheme="minorHAnsi" w:hAnsiTheme="minorHAnsi"/>
                <w:szCs w:val="22"/>
              </w:rPr>
            </w:pPr>
            <w:r>
              <w:rPr>
                <w:rFonts w:asciiTheme="minorHAnsi" w:hAnsiTheme="minorHAnsi"/>
                <w:szCs w:val="22"/>
              </w:rPr>
              <w:t>Antwort: Kinder sollten aufgrund der z.T. fehlenden Impfmöglichkeit und der geringen Impfquote und der möglichen Langzeitfolgen oder Komplikationen (PIMS) durch Reihentestungen geschützt werden. Testkonzepte wurden nicht diskutiert.</w:t>
            </w:r>
          </w:p>
          <w:p>
            <w:pPr>
              <w:pStyle w:val="NurText"/>
              <w:rPr>
                <w:rFonts w:asciiTheme="minorHAnsi" w:hAnsiTheme="minorHAnsi"/>
                <w:szCs w:val="22"/>
              </w:rPr>
            </w:pPr>
          </w:p>
          <w:p>
            <w:pPr>
              <w:pStyle w:val="NurText"/>
              <w:numPr>
                <w:ilvl w:val="0"/>
                <w:numId w:val="8"/>
              </w:numPr>
              <w:rPr>
                <w:szCs w:val="22"/>
              </w:rPr>
            </w:pPr>
            <w:r>
              <w:rPr>
                <w:rFonts w:asciiTheme="minorHAnsi" w:hAnsiTheme="minorHAnsi"/>
                <w:szCs w:val="22"/>
              </w:rPr>
              <w:t xml:space="preserve">Sollten betriebliche Testungen und Testungen in Bildungseinrichtungen aufrechterhalten werden? Welche Testkonzepte sollten dabei zum Einsatz kommen? Rolle der Lolli-Pool-PCR? </w:t>
            </w:r>
          </w:p>
          <w:p>
            <w:pPr>
              <w:pStyle w:val="Listenabsatz"/>
              <w:numPr>
                <w:ilvl w:val="0"/>
                <w:numId w:val="8"/>
              </w:numPr>
              <w:rPr>
                <w:sz w:val="22"/>
                <w:szCs w:val="22"/>
              </w:rPr>
            </w:pPr>
            <w:r>
              <w:rPr>
                <w:szCs w:val="22"/>
              </w:rPr>
              <w:t xml:space="preserve">Testungen von Kindern in Bildungseinrichtungen sollten aufrechterhalten werden. Betriebliche Testungen sollten gestrichen werden und die Betriebe auf ihre Eigenverantwortung verwiesen werden. </w:t>
            </w:r>
            <w:r>
              <w:rPr>
                <w:sz w:val="22"/>
                <w:szCs w:val="22"/>
              </w:rPr>
              <w:t>Testkonzepte und Rolle von Lolli-Pool-PCR wurden nicht diskutiert.</w:t>
            </w:r>
          </w:p>
          <w:p>
            <w:pPr>
              <w:pStyle w:val="NurText"/>
              <w:rPr>
                <w:rFonts w:asciiTheme="minorHAnsi" w:hAnsiTheme="minorHAnsi"/>
                <w:szCs w:val="22"/>
              </w:rPr>
            </w:pPr>
          </w:p>
          <w:p>
            <w:pPr>
              <w:pStyle w:val="NurText"/>
              <w:numPr>
                <w:ilvl w:val="0"/>
                <w:numId w:val="8"/>
              </w:numPr>
              <w:rPr>
                <w:rFonts w:asciiTheme="minorHAnsi" w:hAnsiTheme="minorHAnsi"/>
                <w:szCs w:val="22"/>
              </w:rPr>
            </w:pPr>
            <w:r>
              <w:rPr>
                <w:rFonts w:asciiTheme="minorHAnsi" w:hAnsiTheme="minorHAnsi"/>
                <w:szCs w:val="22"/>
              </w:rPr>
              <w:t xml:space="preserve">Ist aus fachlicher Sicht die Bürgertestung weiterhin notwendig? </w:t>
            </w:r>
          </w:p>
          <w:p>
            <w:pPr>
              <w:pStyle w:val="Listenabsatz"/>
              <w:rPr>
                <w:sz w:val="22"/>
                <w:szCs w:val="22"/>
              </w:rPr>
            </w:pPr>
          </w:p>
          <w:p>
            <w:pPr>
              <w:pStyle w:val="NurText"/>
              <w:numPr>
                <w:ilvl w:val="0"/>
                <w:numId w:val="8"/>
              </w:numPr>
              <w:rPr>
                <w:rFonts w:asciiTheme="minorHAnsi" w:hAnsiTheme="minorHAnsi"/>
                <w:szCs w:val="22"/>
              </w:rPr>
            </w:pPr>
            <w:r>
              <w:rPr>
                <w:rFonts w:asciiTheme="minorHAnsi" w:hAnsiTheme="minorHAnsi"/>
                <w:szCs w:val="22"/>
              </w:rPr>
              <w:t>Antwort: Nein, es gibt eine Veröffentlichung aus Dänemark dazu, dass Bürgertests die Eindämmung nicht unterstützen. Sie sollten daher nur eingeschränkt zur Verfügung stehen, z.B. Testung vor Kontakt mit vulnerablen Gruppen und bei staatlich vorgeschriebenen 2G/3G Regelungen</w:t>
            </w:r>
          </w:p>
          <w:p>
            <w:pPr>
              <w:pStyle w:val="NurText"/>
              <w:rPr>
                <w:rFonts w:asciiTheme="minorHAnsi" w:hAnsiTheme="minorHAnsi"/>
                <w:szCs w:val="22"/>
              </w:rPr>
            </w:pPr>
          </w:p>
          <w:p>
            <w:pPr>
              <w:pStyle w:val="NurText"/>
              <w:numPr>
                <w:ilvl w:val="0"/>
                <w:numId w:val="8"/>
              </w:numPr>
              <w:rPr>
                <w:rFonts w:asciiTheme="minorHAnsi" w:hAnsiTheme="minorHAnsi"/>
                <w:szCs w:val="22"/>
              </w:rPr>
            </w:pPr>
            <w:r>
              <w:rPr>
                <w:rFonts w:asciiTheme="minorHAnsi" w:hAnsiTheme="minorHAnsi"/>
                <w:szCs w:val="22"/>
              </w:rPr>
              <w:t>Wann sind Freitestungen notwendig?</w:t>
            </w:r>
          </w:p>
          <w:p>
            <w:pPr>
              <w:pStyle w:val="Listenabsatz"/>
              <w:rPr>
                <w:sz w:val="22"/>
                <w:szCs w:val="22"/>
              </w:rPr>
            </w:pPr>
          </w:p>
          <w:p>
            <w:pPr>
              <w:pStyle w:val="NurText"/>
              <w:numPr>
                <w:ilvl w:val="0"/>
                <w:numId w:val="8"/>
              </w:numPr>
              <w:rPr>
                <w:rFonts w:asciiTheme="minorHAnsi" w:hAnsiTheme="minorHAnsi"/>
                <w:szCs w:val="22"/>
              </w:rPr>
            </w:pPr>
            <w:r>
              <w:rPr>
                <w:rFonts w:asciiTheme="minorHAnsi" w:hAnsiTheme="minorHAnsi"/>
                <w:szCs w:val="22"/>
              </w:rPr>
              <w:t>Antwort: Sie sind bei staatlich vorgeschriebenen 2G/3G Regeln notwendig</w:t>
            </w:r>
          </w:p>
          <w:p>
            <w:pPr>
              <w:pStyle w:val="NurText"/>
              <w:rPr>
                <w:rFonts w:asciiTheme="minorHAnsi" w:hAnsiTheme="minorHAnsi"/>
                <w:szCs w:val="22"/>
              </w:rPr>
            </w:pPr>
            <w:r>
              <w:rPr>
                <w:rFonts w:asciiTheme="minorHAnsi" w:hAnsiTheme="minorHAnsi"/>
                <w:b/>
                <w:szCs w:val="22"/>
              </w:rPr>
              <w:t>ToDo1</w:t>
            </w:r>
            <w:r>
              <w:rPr>
                <w:rFonts w:asciiTheme="minorHAnsi" w:hAnsiTheme="minorHAnsi"/>
                <w:szCs w:val="22"/>
              </w:rPr>
              <w:t xml:space="preserve">: </w:t>
            </w:r>
          </w:p>
          <w:p>
            <w:pPr>
              <w:pStyle w:val="NurText"/>
              <w:rPr>
                <w:rFonts w:asciiTheme="minorHAnsi" w:hAnsiTheme="minorHAnsi"/>
                <w:szCs w:val="22"/>
              </w:rPr>
            </w:pPr>
            <w:r>
              <w:rPr>
                <w:rFonts w:asciiTheme="minorHAnsi" w:hAnsiTheme="minorHAnsi"/>
                <w:i/>
                <w:szCs w:val="22"/>
              </w:rPr>
              <w:t>Abstimmung des Erlasses mit dem Control-COVID Papier (Frau Jung-</w:t>
            </w:r>
            <w:proofErr w:type="spellStart"/>
            <w:r>
              <w:rPr>
                <w:rFonts w:asciiTheme="minorHAnsi" w:hAnsiTheme="minorHAnsi"/>
                <w:i/>
                <w:szCs w:val="22"/>
              </w:rPr>
              <w:t>Sendzik</w:t>
            </w:r>
            <w:proofErr w:type="spellEnd"/>
            <w:r>
              <w:rPr>
                <w:rFonts w:asciiTheme="minorHAnsi" w:hAnsiTheme="minorHAnsi"/>
                <w:i/>
                <w:szCs w:val="22"/>
              </w:rPr>
              <w:t xml:space="preserve"> sendet Herrn Mielke Link zum Papier)</w:t>
            </w:r>
          </w:p>
          <w:p>
            <w:pPr>
              <w:pStyle w:val="NurText"/>
              <w:rPr>
                <w:rFonts w:asciiTheme="minorHAnsi" w:hAnsiTheme="minorHAnsi"/>
                <w:szCs w:val="22"/>
              </w:rPr>
            </w:pPr>
          </w:p>
          <w:p>
            <w:pPr>
              <w:pStyle w:val="Listenabsatz"/>
              <w:numPr>
                <w:ilvl w:val="0"/>
                <w:numId w:val="8"/>
              </w:numPr>
              <w:rPr>
                <w:sz w:val="22"/>
                <w:szCs w:val="22"/>
              </w:rPr>
            </w:pPr>
            <w:r>
              <w:rPr>
                <w:sz w:val="22"/>
                <w:szCs w:val="22"/>
              </w:rPr>
              <w:t xml:space="preserve">Einreiseverordnung (Folien </w:t>
            </w:r>
            <w:hyperlink r:id="rId18" w:history="1">
              <w:r>
                <w:rPr>
                  <w:rStyle w:val="Hyperlink"/>
                  <w:sz w:val="22"/>
                  <w:szCs w:val="22"/>
                </w:rPr>
                <w:t>hier</w:t>
              </w:r>
            </w:hyperlink>
            <w:r>
              <w:rPr>
                <w:sz w:val="22"/>
                <w:szCs w:val="22"/>
              </w:rPr>
              <w:t xml:space="preserve"> und </w:t>
            </w:r>
            <w:hyperlink r:id="rId19" w:history="1">
              <w:r>
                <w:rPr>
                  <w:rStyle w:val="Hyperlink"/>
                  <w:sz w:val="22"/>
                  <w:szCs w:val="22"/>
                </w:rPr>
                <w:t>hier</w:t>
              </w:r>
            </w:hyperlink>
            <w:r>
              <w:rPr>
                <w:sz w:val="22"/>
                <w:szCs w:val="22"/>
              </w:rPr>
              <w:t>)</w:t>
            </w:r>
          </w:p>
          <w:p>
            <w:pPr>
              <w:pStyle w:val="NurText"/>
              <w:numPr>
                <w:ilvl w:val="0"/>
                <w:numId w:val="8"/>
              </w:numPr>
              <w:rPr>
                <w:rFonts w:asciiTheme="minorHAnsi" w:hAnsiTheme="minorHAnsi"/>
                <w:szCs w:val="22"/>
              </w:rPr>
            </w:pPr>
            <w:r>
              <w:rPr>
                <w:rFonts w:asciiTheme="minorHAnsi" w:hAnsiTheme="minorHAnsi"/>
                <w:szCs w:val="22"/>
              </w:rPr>
              <w:t xml:space="preserve">Es wurde eine Modellierung vorgestellt, um die Effektivität der Einreiseverordnung (Hochrisikogebiete, Virusvariantengebiete) abzuschätzen. Zwar zeigt ein </w:t>
            </w:r>
            <w:proofErr w:type="spellStart"/>
            <w:r>
              <w:rPr>
                <w:rFonts w:asciiTheme="minorHAnsi" w:hAnsiTheme="minorHAnsi"/>
                <w:szCs w:val="22"/>
              </w:rPr>
              <w:t>worst-case</w:t>
            </w:r>
            <w:proofErr w:type="spellEnd"/>
            <w:r>
              <w:rPr>
                <w:rFonts w:asciiTheme="minorHAnsi" w:hAnsiTheme="minorHAnsi"/>
                <w:szCs w:val="22"/>
              </w:rPr>
              <w:t xml:space="preserve"> Szenario eine bis zu 50% Effektivität, jedoch ist nach Meinung des Modellierers eher von einer maximalen Effektivität von 10% auszugehen und zwar in Zeiten geringer Inzidenz in Deutschland. In Zeiten hoher Inzidenz haben die Maßnahmen keinen Mehrwert.</w:t>
            </w:r>
          </w:p>
          <w:p>
            <w:pPr>
              <w:pStyle w:val="NurText"/>
              <w:numPr>
                <w:ilvl w:val="0"/>
                <w:numId w:val="8"/>
              </w:numPr>
              <w:rPr>
                <w:rFonts w:asciiTheme="minorHAnsi" w:hAnsiTheme="minorHAnsi"/>
                <w:szCs w:val="22"/>
              </w:rPr>
            </w:pPr>
            <w:r>
              <w:rPr>
                <w:rFonts w:asciiTheme="minorHAnsi" w:hAnsiTheme="minorHAnsi"/>
                <w:szCs w:val="22"/>
              </w:rPr>
              <w:t xml:space="preserve">Vorschlag von ZIG: Hochrisikogebiete nur bei besonderen epidemiologischen Vorkommnissen. Kategorie Virusvariantengebiet sollte beibehalten werden, da es die </w:t>
            </w:r>
            <w:r>
              <w:rPr>
                <w:rFonts w:asciiTheme="minorHAnsi" w:hAnsiTheme="minorHAnsi"/>
                <w:szCs w:val="22"/>
              </w:rPr>
              <w:lastRenderedPageBreak/>
              <w:t xml:space="preserve">Unterbindung der Reisen in solche Gebiete bedeutet, wodurch Zeit gewonnen werden kann. </w:t>
            </w:r>
          </w:p>
          <w:p>
            <w:pPr>
              <w:pStyle w:val="NurText"/>
              <w:rPr>
                <w:rFonts w:asciiTheme="minorHAnsi" w:hAnsiTheme="minorHAnsi"/>
                <w:szCs w:val="22"/>
              </w:rPr>
            </w:pPr>
            <w:r>
              <w:rPr>
                <w:rFonts w:asciiTheme="minorHAnsi" w:hAnsiTheme="minorHAnsi"/>
                <w:b/>
                <w:szCs w:val="22"/>
              </w:rPr>
              <w:t>ToDo2:</w:t>
            </w:r>
            <w:r>
              <w:rPr>
                <w:rFonts w:asciiTheme="minorHAnsi" w:hAnsiTheme="minorHAnsi"/>
                <w:szCs w:val="22"/>
              </w:rPr>
              <w:t xml:space="preserve"> </w:t>
            </w:r>
          </w:p>
          <w:p>
            <w:pPr>
              <w:pStyle w:val="NurText"/>
              <w:rPr>
                <w:rFonts w:asciiTheme="minorHAnsi" w:hAnsiTheme="minorHAnsi"/>
                <w:szCs w:val="22"/>
              </w:rPr>
            </w:pPr>
            <w:r>
              <w:rPr>
                <w:rFonts w:asciiTheme="minorHAnsi" w:hAnsiTheme="minorHAnsi"/>
                <w:i/>
                <w:szCs w:val="22"/>
              </w:rPr>
              <w:t>Abstimmung des Initiativberichts mit dem Control-COVID Papier, Fristverschiebung auf den 22.2.2022 Mittag (Frau Jung-</w:t>
            </w:r>
            <w:proofErr w:type="spellStart"/>
            <w:r>
              <w:rPr>
                <w:rFonts w:asciiTheme="minorHAnsi" w:hAnsiTheme="minorHAnsi"/>
                <w:i/>
                <w:szCs w:val="22"/>
              </w:rPr>
              <w:t>Sendzik</w:t>
            </w:r>
            <w:proofErr w:type="spellEnd"/>
            <w:r>
              <w:rPr>
                <w:rFonts w:asciiTheme="minorHAnsi" w:hAnsiTheme="minorHAnsi"/>
                <w:i/>
                <w:szCs w:val="22"/>
              </w:rPr>
              <w:t xml:space="preserve"> und Frau </w:t>
            </w:r>
            <w:proofErr w:type="spellStart"/>
            <w:r>
              <w:rPr>
                <w:rFonts w:asciiTheme="minorHAnsi" w:hAnsiTheme="minorHAnsi"/>
                <w:i/>
                <w:szCs w:val="22"/>
              </w:rPr>
              <w:t>Hanefeld</w:t>
            </w:r>
            <w:proofErr w:type="spellEnd"/>
            <w:r>
              <w:rPr>
                <w:rFonts w:asciiTheme="minorHAnsi" w:hAnsiTheme="minorHAnsi"/>
                <w:i/>
                <w:szCs w:val="22"/>
              </w:rPr>
              <w:t>)</w:t>
            </w:r>
          </w:p>
          <w:p>
            <w:pPr>
              <w:pStyle w:val="NurText"/>
              <w:rPr>
                <w:rFonts w:asciiTheme="minorHAnsi" w:hAnsiTheme="minorHAnsi"/>
                <w:szCs w:val="22"/>
              </w:rPr>
            </w:pPr>
          </w:p>
          <w:p>
            <w:pPr>
              <w:pStyle w:val="2"/>
              <w:rPr>
                <w:i/>
                <w:sz w:val="22"/>
                <w:szCs w:val="22"/>
              </w:rPr>
            </w:pPr>
            <w:r>
              <w:rPr>
                <w:sz w:val="22"/>
                <w:szCs w:val="22"/>
              </w:rPr>
              <w:t>RKI-intern</w:t>
            </w:r>
          </w:p>
          <w:p>
            <w:pPr>
              <w:pStyle w:val="Liste1"/>
              <w:numPr>
                <w:ilvl w:val="0"/>
                <w:numId w:val="8"/>
              </w:numPr>
            </w:pPr>
            <w:r>
              <w:t>Rückmeldung Jour fixe</w:t>
            </w:r>
          </w:p>
          <w:p>
            <w:pPr>
              <w:pStyle w:val="Liste1"/>
              <w:numPr>
                <w:ilvl w:val="0"/>
                <w:numId w:val="9"/>
              </w:numPr>
            </w:pPr>
            <w:r>
              <w:t>Gespräch mit dem Minister für aktuelle Woche geplant zur Abstimmung (a) der Risikobewertung, (b) Umgang mit DIM-Daten zu Johnson &amp; Johnson und (c) Control-COVID Papier (wahrscheinlich keine Veröffentlichung, sondern interner Bericht an das BMG)</w:t>
            </w:r>
          </w:p>
          <w:p>
            <w:pPr>
              <w:pStyle w:val="Listenabsatz"/>
              <w:numPr>
                <w:ilvl w:val="0"/>
                <w:numId w:val="8"/>
              </w:numPr>
              <w:rPr>
                <w:sz w:val="22"/>
                <w:szCs w:val="22"/>
              </w:rPr>
            </w:pPr>
            <w:r>
              <w:rPr>
                <w:sz w:val="22"/>
                <w:szCs w:val="22"/>
              </w:rPr>
              <w:t>RKI-Krisenstabssitzung Montagstermin</w:t>
            </w:r>
          </w:p>
          <w:p>
            <w:pPr>
              <w:pStyle w:val="Listenabsatz"/>
              <w:numPr>
                <w:ilvl w:val="0"/>
                <w:numId w:val="9"/>
              </w:numPr>
              <w:rPr>
                <w:sz w:val="22"/>
                <w:szCs w:val="22"/>
              </w:rPr>
            </w:pPr>
            <w:r>
              <w:rPr>
                <w:sz w:val="22"/>
                <w:szCs w:val="22"/>
              </w:rPr>
              <w:t xml:space="preserve">Krisenstab sprach sich mehrheitlich für die Beendigung des Montagstermins ab März aus. Entscheidung wird nach Rücksprache mit </w:t>
            </w:r>
            <w:proofErr w:type="spellStart"/>
            <w:r>
              <w:rPr>
                <w:sz w:val="22"/>
                <w:szCs w:val="22"/>
              </w:rPr>
              <w:t>Präs</w:t>
            </w:r>
            <w:proofErr w:type="spellEnd"/>
            <w:r>
              <w:rPr>
                <w:sz w:val="22"/>
                <w:szCs w:val="22"/>
              </w:rPr>
              <w:t xml:space="preserve">. bekannt gegeben. </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lastRenderedPageBreak/>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lastRenderedPageBreak/>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rPr>
                <w:b/>
              </w:rPr>
            </w:pPr>
            <w:r>
              <w:rPr>
                <w:b/>
              </w:rPr>
              <w:t xml:space="preserve">ToDo3: </w:t>
            </w:r>
          </w:p>
          <w:p>
            <w:pPr>
              <w:pStyle w:val="Liste1"/>
              <w:numPr>
                <w:ilvl w:val="0"/>
                <w:numId w:val="0"/>
              </w:numPr>
              <w:ind w:left="473"/>
            </w:pPr>
            <w:r>
              <w:t>-Wochenbericht für Himmelfahrt: Keine Veröffentlichung an Himmelfahrt. Stattdessen Bericht möglichst am Mittwoch vor Himmelfahrt fertigstellen und am Freitag veröffentlichen (Lagezentrum)</w:t>
            </w:r>
          </w:p>
          <w:p>
            <w:pPr>
              <w:pStyle w:val="Liste1"/>
              <w:numPr>
                <w:ilvl w:val="0"/>
                <w:numId w:val="0"/>
              </w:numPr>
              <w:ind w:left="473"/>
            </w:pPr>
            <w:r>
              <w:t xml:space="preserve">-Presse soll eine Woche vorher den veränderten </w:t>
            </w:r>
            <w:bookmarkStart w:id="1" w:name="_GoBack"/>
            <w:bookmarkEnd w:id="1"/>
            <w:r>
              <w:t>Veröffentlichungstermin kommunizieren (Wenchel)</w:t>
            </w:r>
          </w:p>
          <w:p>
            <w:pPr>
              <w:pStyle w:val="Liste1"/>
              <w:numPr>
                <w:ilvl w:val="0"/>
                <w:numId w:val="0"/>
              </w:numPr>
              <w:ind w:left="473"/>
            </w:pP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Mittwoch, 23.02.2022,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14:51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3"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C3E1197"/>
    <w:multiLevelType w:val="hybridMultilevel"/>
    <w:tmpl w:val="B7500D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1763CF"/>
    <w:multiLevelType w:val="hybridMultilevel"/>
    <w:tmpl w:val="0C7430B2"/>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44016184">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Kopie%20ID_5073_KS%2020220221.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Krisenstab%2021%2002%202022%20%20Mielke.pptx" TargetMode="External"/><Relationship Id="rId2" Type="http://schemas.openxmlformats.org/officeDocument/2006/relationships/numbering" Target="numbering.xml"/><Relationship Id="rId16" Type="http://schemas.openxmlformats.org/officeDocument/2006/relationships/hyperlink" Target="20220214_NationaleTeststrategie_final.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Risikobewertung%20zu%20COVID-2022-02-21.docx" TargetMode="External"/><Relationship Id="rId10" Type="http://schemas.openxmlformats.org/officeDocument/2006/relationships/footer" Target="footer1.xml"/><Relationship Id="rId19" Type="http://schemas.openxmlformats.org/officeDocument/2006/relationships/hyperlink" Target="2022_02_21_RKI_P4_ZKI_Ergaenzung.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2-02-21.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7CA7-CE27-4DD7-AC18-9355E7367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1094</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Banerji, Sangeeta</cp:lastModifiedBy>
  <cp:revision>17</cp:revision>
  <cp:lastPrinted>2022-02-21T16:59:00Z</cp:lastPrinted>
  <dcterms:created xsi:type="dcterms:W3CDTF">2022-02-21T14:37:00Z</dcterms:created>
  <dcterms:modified xsi:type="dcterms:W3CDTF">2022-02-21T17:26:00Z</dcterms:modified>
</cp:coreProperties>
</file>