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25.02.2022,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Thomas Ziese</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szCs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proofErr w:type="spellStart"/>
      <w:r>
        <w:rPr>
          <w:sz w:val="22"/>
        </w:rPr>
        <w:t>Djin-Ye</w:t>
      </w:r>
      <w:proofErr w:type="spellEnd"/>
      <w:r>
        <w:rPr>
          <w:sz w:val="22"/>
        </w:rPr>
        <w:t xml:space="preserv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Patrick Schmich</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2"/>
        </w:numPr>
        <w:spacing w:after="0"/>
        <w:contextualSpacing w:val="0"/>
        <w:rPr>
          <w:sz w:val="22"/>
        </w:rPr>
      </w:pPr>
      <w:r>
        <w:rPr>
          <w:sz w:val="22"/>
        </w:rPr>
        <w:t xml:space="preserve">FG31 </w:t>
      </w:r>
    </w:p>
    <w:p>
      <w:pPr>
        <w:pStyle w:val="Listenabsatz"/>
        <w:numPr>
          <w:ilvl w:val="1"/>
          <w:numId w:val="2"/>
        </w:numPr>
        <w:spacing w:after="0"/>
        <w:contextualSpacing w:val="0"/>
        <w:rPr>
          <w:sz w:val="22"/>
          <w:szCs w:val="22"/>
        </w:rPr>
      </w:pPr>
      <w:r>
        <w:rPr>
          <w:sz w:val="22"/>
          <w:szCs w:val="22"/>
        </w:rPr>
        <w:t>Göran Kirchner</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Justus Benzler</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FG35</w:t>
      </w:r>
    </w:p>
    <w:p>
      <w:pPr>
        <w:pStyle w:val="Listenabsatz"/>
        <w:numPr>
          <w:ilvl w:val="1"/>
          <w:numId w:val="2"/>
        </w:numPr>
        <w:spacing w:after="0"/>
        <w:contextualSpacing w:val="0"/>
        <w:rPr>
          <w:sz w:val="22"/>
        </w:rPr>
      </w:pPr>
      <w:r>
        <w:rPr>
          <w:sz w:val="22"/>
        </w:rPr>
        <w:t>Hendrik Wilking</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Claudia Siffczyk</w:t>
      </w:r>
    </w:p>
    <w:p>
      <w:pPr>
        <w:pStyle w:val="Listenabsatz"/>
        <w:numPr>
          <w:ilvl w:val="0"/>
          <w:numId w:val="2"/>
        </w:numPr>
        <w:spacing w:after="0"/>
        <w:contextualSpacing w:val="0"/>
        <w:rPr>
          <w:sz w:val="22"/>
          <w:szCs w:val="22"/>
        </w:rPr>
      </w:pPr>
      <w:r>
        <w:rPr>
          <w:sz w:val="22"/>
          <w:szCs w:val="22"/>
        </w:rPr>
        <w:t>MF2</w:t>
      </w:r>
    </w:p>
    <w:p>
      <w:pPr>
        <w:pStyle w:val="Listenabsatz"/>
        <w:numPr>
          <w:ilvl w:val="1"/>
          <w:numId w:val="2"/>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szCs w:val="22"/>
        </w:rPr>
        <w:t>Michaela Niebank</w:t>
      </w:r>
    </w:p>
    <w:p>
      <w:pPr>
        <w:pStyle w:val="Listenabsatz"/>
        <w:numPr>
          <w:ilvl w:val="0"/>
          <w:numId w:val="2"/>
        </w:numPr>
        <w:spacing w:after="0"/>
        <w:contextualSpacing w:val="0"/>
        <w:rPr>
          <w:sz w:val="22"/>
        </w:rPr>
      </w:pPr>
      <w:r>
        <w:rPr>
          <w:sz w:val="22"/>
        </w:rPr>
        <w:t>ZIG1</w:t>
      </w:r>
    </w:p>
    <w:p>
      <w:pPr>
        <w:pStyle w:val="Listenabsatz"/>
        <w:numPr>
          <w:ilvl w:val="1"/>
          <w:numId w:val="2"/>
        </w:numPr>
        <w:spacing w:after="0"/>
        <w:rPr>
          <w:rStyle w:val="highlight"/>
          <w:sz w:val="22"/>
          <w:szCs w:val="22"/>
        </w:rPr>
      </w:pPr>
      <w:r>
        <w:rPr>
          <w:rStyle w:val="highlight"/>
          <w:sz w:val="22"/>
          <w:szCs w:val="22"/>
        </w:rPr>
        <w:t>Romy Kerber</w:t>
      </w:r>
    </w:p>
    <w:p>
      <w:pPr>
        <w:pStyle w:val="Listenabsatz"/>
        <w:numPr>
          <w:ilvl w:val="1"/>
          <w:numId w:val="2"/>
        </w:numPr>
        <w:spacing w:after="0"/>
        <w:rPr>
          <w:rStyle w:val="highlight"/>
          <w:sz w:val="22"/>
          <w:szCs w:val="22"/>
        </w:rPr>
      </w:pPr>
      <w:r>
        <w:rPr>
          <w:rStyle w:val="highlight"/>
          <w:sz w:val="22"/>
          <w:szCs w:val="22"/>
        </w:rPr>
        <w:t>Carlos Correa-Martinez</w:t>
      </w:r>
    </w:p>
    <w:p>
      <w:pPr>
        <w:pStyle w:val="Listenabsatz"/>
        <w:numPr>
          <w:ilvl w:val="1"/>
          <w:numId w:val="2"/>
        </w:numPr>
        <w:spacing w:after="0"/>
        <w:rPr>
          <w:rStyle w:val="highlight"/>
          <w:sz w:val="22"/>
          <w:szCs w:val="22"/>
        </w:rPr>
      </w:pPr>
      <w:proofErr w:type="spellStart"/>
      <w:r>
        <w:rPr>
          <w:rStyle w:val="highlight"/>
          <w:sz w:val="22"/>
          <w:szCs w:val="22"/>
        </w:rPr>
        <w:t>Mikheil</w:t>
      </w:r>
      <w:proofErr w:type="spellEnd"/>
      <w:r>
        <w:rPr>
          <w:rStyle w:val="highlight"/>
          <w:sz w:val="22"/>
          <w:szCs w:val="22"/>
        </w:rPr>
        <w:t xml:space="preserve"> </w:t>
      </w:r>
      <w:proofErr w:type="spellStart"/>
      <w:r>
        <w:rPr>
          <w:rStyle w:val="highlight"/>
          <w:sz w:val="22"/>
          <w:szCs w:val="22"/>
        </w:rPr>
        <w:t>Popkhadze</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szCs w:val="22"/>
        </w:rPr>
        <w:t>Martin Dietrich</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 xml:space="preserve">Folien </w:t>
            </w:r>
            <w:hyperlink r:id="rId11" w:history="1">
              <w:r>
                <w:rPr>
                  <w:rStyle w:val="Hyperlink"/>
                </w:rPr>
                <w:t>hi</w:t>
              </w:r>
              <w:r>
                <w:rPr>
                  <w:rStyle w:val="Hyperlink"/>
                </w:rPr>
                <w:t>e</w:t>
              </w:r>
              <w:r>
                <w:rPr>
                  <w:rStyle w:val="Hyperlink"/>
                </w:rPr>
                <w:t>r</w:t>
              </w:r>
            </w:hyperlink>
          </w:p>
          <w:p>
            <w:pPr>
              <w:pStyle w:val="Liste1"/>
            </w:pPr>
            <w:r>
              <w:t>Weltweit:</w:t>
            </w:r>
          </w:p>
          <w:p>
            <w:pPr>
              <w:pStyle w:val="Liste2"/>
              <w:numPr>
                <w:ilvl w:val="0"/>
                <w:numId w:val="30"/>
              </w:numPr>
            </w:pPr>
            <w:r>
              <w:t>Datenstand: WHO, 22.02.2022</w:t>
            </w:r>
          </w:p>
          <w:p>
            <w:pPr>
              <w:pStyle w:val="Liste2"/>
              <w:numPr>
                <w:ilvl w:val="0"/>
                <w:numId w:val="30"/>
              </w:numPr>
            </w:pPr>
            <w:r>
              <w:t>Fälle: 12.793.962 (-21% im Vergleich zu Vorwoche)</w:t>
            </w:r>
          </w:p>
          <w:p>
            <w:pPr>
              <w:pStyle w:val="Liste2"/>
              <w:numPr>
                <w:ilvl w:val="0"/>
                <w:numId w:val="30"/>
              </w:numPr>
            </w:pPr>
            <w:r>
              <w:t>Todesfälle: 67.519 Todesfälle (-8% im Vergleich zur Vorwoche)</w:t>
            </w:r>
          </w:p>
          <w:p>
            <w:pPr>
              <w:pStyle w:val="Listenabsatz"/>
              <w:numPr>
                <w:ilvl w:val="2"/>
                <w:numId w:val="29"/>
              </w:numPr>
              <w:ind w:left="1190" w:hanging="357"/>
              <w:rPr>
                <w:sz w:val="22"/>
                <w:szCs w:val="22"/>
              </w:rPr>
            </w:pPr>
            <w:r>
              <w:rPr>
                <w:sz w:val="22"/>
                <w:szCs w:val="22"/>
              </w:rPr>
              <w:t>Rückläufige Fall- und Todeszahlen mit Ausnahme westl. Pazifik (Brunei, China, Neuseeland, Südkorea, Vietnam)</w:t>
            </w:r>
          </w:p>
          <w:p>
            <w:pPr>
              <w:pStyle w:val="Listenabsatz"/>
              <w:numPr>
                <w:ilvl w:val="2"/>
                <w:numId w:val="29"/>
              </w:numPr>
              <w:ind w:left="1190" w:hanging="357"/>
              <w:rPr>
                <w:sz w:val="22"/>
                <w:szCs w:val="22"/>
              </w:rPr>
            </w:pPr>
            <w:r>
              <w:rPr>
                <w:sz w:val="22"/>
                <w:szCs w:val="22"/>
              </w:rPr>
              <w:t>In Afrika sinken die Zahlen seit Anfang Jan. wieder, Todesfallzahlen steigen aufgrund von Nachmeldungen.</w:t>
            </w:r>
          </w:p>
          <w:p>
            <w:pPr>
              <w:pStyle w:val="Liste1"/>
            </w:pPr>
            <w:r>
              <w:t xml:space="preserve">WHO </w:t>
            </w:r>
            <w:proofErr w:type="spellStart"/>
            <w:r>
              <w:t>epidemiological</w:t>
            </w:r>
            <w:proofErr w:type="spellEnd"/>
            <w:r>
              <w:t xml:space="preserve"> update: </w:t>
            </w:r>
          </w:p>
          <w:p>
            <w:pPr>
              <w:pStyle w:val="Listenabsatz"/>
              <w:numPr>
                <w:ilvl w:val="1"/>
                <w:numId w:val="29"/>
              </w:numPr>
              <w:ind w:left="828" w:hanging="357"/>
              <w:rPr>
                <w:sz w:val="22"/>
                <w:szCs w:val="22"/>
              </w:rPr>
            </w:pPr>
            <w:r>
              <w:rPr>
                <w:sz w:val="22"/>
                <w:szCs w:val="22"/>
              </w:rPr>
              <w:t>In Europa sinken Fallzahlen weiter, nur Island meldet steigende Fallzahlen.</w:t>
            </w:r>
          </w:p>
          <w:p>
            <w:pPr>
              <w:pStyle w:val="Listenabsatz"/>
              <w:numPr>
                <w:ilvl w:val="1"/>
                <w:numId w:val="29"/>
              </w:numPr>
              <w:ind w:left="828" w:hanging="357"/>
              <w:rPr>
                <w:sz w:val="22"/>
                <w:szCs w:val="22"/>
              </w:rPr>
            </w:pPr>
            <w:r>
              <w:rPr>
                <w:sz w:val="22"/>
                <w:szCs w:val="22"/>
              </w:rPr>
              <w:t>Rückläufige Todesfallzahlen</w:t>
            </w:r>
          </w:p>
          <w:p>
            <w:pPr>
              <w:pStyle w:val="Listenabsatz"/>
              <w:numPr>
                <w:ilvl w:val="1"/>
                <w:numId w:val="29"/>
              </w:numPr>
              <w:ind w:left="828" w:hanging="357"/>
              <w:rPr>
                <w:sz w:val="22"/>
                <w:szCs w:val="22"/>
              </w:rPr>
            </w:pPr>
            <w:r>
              <w:rPr>
                <w:sz w:val="22"/>
                <w:szCs w:val="22"/>
              </w:rPr>
              <w:t>Weitere EU-Länder konnten von der Liste der Hochrisiko</w:t>
            </w:r>
            <w:r>
              <w:rPr>
                <w:sz w:val="22"/>
                <w:szCs w:val="22"/>
              </w:rPr>
              <w:softHyphen/>
              <w:t>gebiete gestrichen werden.</w:t>
            </w:r>
          </w:p>
          <w:p>
            <w:pPr>
              <w:pStyle w:val="Listenabsatz"/>
              <w:numPr>
                <w:ilvl w:val="1"/>
                <w:numId w:val="29"/>
              </w:numPr>
              <w:ind w:left="828" w:hanging="357"/>
              <w:rPr>
                <w:sz w:val="22"/>
                <w:szCs w:val="22"/>
              </w:rPr>
            </w:pPr>
            <w:r>
              <w:rPr>
                <w:sz w:val="22"/>
                <w:szCs w:val="22"/>
              </w:rPr>
              <w:t>Weitere Länder lockern Maßnahmen.</w:t>
            </w:r>
          </w:p>
          <w:p>
            <w:pPr>
              <w:pStyle w:val="Liste1"/>
            </w:pPr>
            <w:r>
              <w:t>Deeskalation der COVID-19-Maßnahmen in Europa</w:t>
            </w:r>
          </w:p>
          <w:p>
            <w:pPr>
              <w:pStyle w:val="Listenabsatz"/>
              <w:numPr>
                <w:ilvl w:val="1"/>
                <w:numId w:val="29"/>
              </w:numPr>
              <w:ind w:left="828" w:hanging="357"/>
              <w:rPr>
                <w:sz w:val="22"/>
                <w:szCs w:val="22"/>
              </w:rPr>
            </w:pPr>
            <w:r>
              <w:rPr>
                <w:sz w:val="22"/>
                <w:szCs w:val="22"/>
              </w:rPr>
              <w:t>Aufhebung der Maßnahmen am 01.02. in Dänemark; seit 12.02. in Norwegen, einschließlich Masken und Isolation der Fälle; Aufhebungen der Isolationspflicht in England geplant; Schweiz hebt fast alle Maßnahmen auf.</w:t>
            </w:r>
          </w:p>
          <w:p>
            <w:pPr>
              <w:pStyle w:val="Listenabsatz"/>
              <w:numPr>
                <w:ilvl w:val="1"/>
                <w:numId w:val="29"/>
              </w:numPr>
              <w:ind w:left="828" w:hanging="357"/>
              <w:rPr>
                <w:sz w:val="22"/>
                <w:szCs w:val="22"/>
                <w:lang w:val="en-US"/>
              </w:rPr>
            </w:pPr>
            <w:r>
              <w:rPr>
                <w:sz w:val="22"/>
                <w:szCs w:val="22"/>
                <w:lang w:val="en-US"/>
              </w:rPr>
              <w:t xml:space="preserve">Follow-up: </w:t>
            </w:r>
            <w:r>
              <w:rPr>
                <w:sz w:val="22"/>
                <w:szCs w:val="22"/>
              </w:rPr>
              <w:t>Dänemark</w:t>
            </w:r>
            <w:r>
              <w:rPr>
                <w:sz w:val="22"/>
                <w:szCs w:val="22"/>
                <w:lang w:val="en-US"/>
              </w:rPr>
              <w:t xml:space="preserve"> und UK </w:t>
            </w:r>
          </w:p>
          <w:p>
            <w:pPr>
              <w:pStyle w:val="Listenabsatz"/>
              <w:numPr>
                <w:ilvl w:val="2"/>
                <w:numId w:val="29"/>
              </w:numPr>
              <w:ind w:left="1190" w:hanging="357"/>
              <w:rPr>
                <w:sz w:val="22"/>
                <w:szCs w:val="22"/>
              </w:rPr>
            </w:pPr>
            <w:r>
              <w:rPr>
                <w:sz w:val="22"/>
                <w:szCs w:val="22"/>
              </w:rPr>
              <w:t xml:space="preserve">Fallzahlen sinken in beiden Ländern weiterhin. </w:t>
            </w:r>
          </w:p>
          <w:p>
            <w:pPr>
              <w:pStyle w:val="Listenabsatz"/>
              <w:numPr>
                <w:ilvl w:val="2"/>
                <w:numId w:val="29"/>
              </w:numPr>
              <w:ind w:left="1190" w:hanging="357"/>
              <w:rPr>
                <w:sz w:val="22"/>
                <w:szCs w:val="22"/>
              </w:rPr>
            </w:pPr>
            <w:r>
              <w:rPr>
                <w:sz w:val="22"/>
                <w:szCs w:val="22"/>
              </w:rPr>
              <w:t>In UK auch abnehmender Trend bei Hospitalisierungen</w:t>
            </w:r>
          </w:p>
          <w:p>
            <w:pPr>
              <w:pStyle w:val="Listenabsatz"/>
              <w:numPr>
                <w:ilvl w:val="2"/>
                <w:numId w:val="29"/>
              </w:numPr>
              <w:ind w:left="1190" w:hanging="357"/>
              <w:rPr>
                <w:sz w:val="22"/>
                <w:szCs w:val="22"/>
              </w:rPr>
            </w:pPr>
            <w:r>
              <w:rPr>
                <w:sz w:val="22"/>
                <w:szCs w:val="22"/>
              </w:rPr>
              <w:t>In Dänemark steigt Hospitalisierungsrate wieder, COVID aber eher als Nebenbefund.</w:t>
            </w:r>
          </w:p>
          <w:p>
            <w:pPr>
              <w:pStyle w:val="Liste1"/>
            </w:pPr>
            <w:r>
              <w:t xml:space="preserve">Virusvariante Omikron - Weltweit </w:t>
            </w:r>
          </w:p>
          <w:p>
            <w:pPr>
              <w:pStyle w:val="Listenabsatz"/>
              <w:numPr>
                <w:ilvl w:val="1"/>
                <w:numId w:val="29"/>
              </w:numPr>
              <w:ind w:left="828" w:hanging="357"/>
              <w:rPr>
                <w:sz w:val="22"/>
                <w:szCs w:val="22"/>
              </w:rPr>
            </w:pPr>
            <w:r>
              <w:rPr>
                <w:sz w:val="22"/>
                <w:szCs w:val="22"/>
              </w:rPr>
              <w:t>Omikron hat weltweit alle weiteren Varianten verdrängt.</w:t>
            </w:r>
          </w:p>
          <w:p>
            <w:pPr>
              <w:pStyle w:val="Listenabsatz"/>
              <w:numPr>
                <w:ilvl w:val="1"/>
                <w:numId w:val="29"/>
              </w:numPr>
              <w:ind w:left="828" w:hanging="357"/>
              <w:rPr>
                <w:sz w:val="22"/>
                <w:szCs w:val="22"/>
              </w:rPr>
            </w:pPr>
            <w:r>
              <w:rPr>
                <w:sz w:val="22"/>
                <w:szCs w:val="22"/>
              </w:rPr>
              <w:t xml:space="preserve">BA.1 überwiegt vor BA.1.1; BA.2 steigt, vor allem in Süd-Ostasien, so gut wie kein Wachstum bei BA.3. </w:t>
            </w:r>
          </w:p>
          <w:p>
            <w:pPr>
              <w:pStyle w:val="Listenabsatz"/>
              <w:numPr>
                <w:ilvl w:val="1"/>
                <w:numId w:val="29"/>
              </w:numPr>
              <w:ind w:left="828" w:hanging="357"/>
              <w:rPr>
                <w:sz w:val="22"/>
                <w:szCs w:val="22"/>
              </w:rPr>
            </w:pPr>
            <w:r>
              <w:rPr>
                <w:sz w:val="22"/>
                <w:szCs w:val="22"/>
              </w:rPr>
              <w:t>Gesamtzahl der gemeldeten Fälle nimmt weltweit ab.</w:t>
            </w:r>
          </w:p>
          <w:p>
            <w:pPr>
              <w:spacing w:before="240" w:line="276" w:lineRule="auto"/>
              <w:rPr>
                <w:b/>
                <w:sz w:val="22"/>
                <w:szCs w:val="22"/>
              </w:rPr>
            </w:pPr>
            <w:r>
              <w:rPr>
                <w:b/>
                <w:sz w:val="22"/>
                <w:szCs w:val="22"/>
              </w:rPr>
              <w:t xml:space="preserve">National </w:t>
            </w:r>
          </w:p>
          <w:p>
            <w:pPr>
              <w:pStyle w:val="Liste1"/>
            </w:pPr>
            <w:r>
              <w:t xml:space="preserve">Fallzahlen, Todesfälle, Trend (Folien </w:t>
            </w:r>
            <w:hyperlink r:id="rId12" w:history="1">
              <w:r>
                <w:rPr>
                  <w:rStyle w:val="Hyperlink"/>
                </w:rPr>
                <w:t>hi</w:t>
              </w:r>
              <w:r>
                <w:rPr>
                  <w:rStyle w:val="Hyperlink"/>
                </w:rPr>
                <w:t>e</w:t>
              </w:r>
              <w:r>
                <w:rPr>
                  <w:rStyle w:val="Hyperlink"/>
                </w:rPr>
                <w:t>r</w:t>
              </w:r>
            </w:hyperlink>
            <w:r>
              <w:t xml:space="preserve">) </w:t>
            </w:r>
          </w:p>
          <w:p>
            <w:pPr>
              <w:pStyle w:val="Listenabsatz"/>
              <w:numPr>
                <w:ilvl w:val="1"/>
                <w:numId w:val="29"/>
              </w:numPr>
              <w:ind w:left="828" w:hanging="357"/>
              <w:rPr>
                <w:sz w:val="22"/>
                <w:szCs w:val="22"/>
              </w:rPr>
            </w:pPr>
            <w:proofErr w:type="spellStart"/>
            <w:r>
              <w:rPr>
                <w:sz w:val="22"/>
                <w:szCs w:val="22"/>
              </w:rPr>
              <w:t>SurvNet</w:t>
            </w:r>
            <w:proofErr w:type="spellEnd"/>
            <w:r>
              <w:rPr>
                <w:sz w:val="22"/>
                <w:szCs w:val="22"/>
              </w:rPr>
              <w:t xml:space="preserve"> übermittelt: 14.399.012 (+210.743), davon 122.371 (+226) Todesfälle </w:t>
            </w:r>
          </w:p>
          <w:p>
            <w:pPr>
              <w:pStyle w:val="Listenabsatz"/>
              <w:numPr>
                <w:ilvl w:val="1"/>
                <w:numId w:val="29"/>
              </w:numPr>
              <w:ind w:left="828" w:hanging="357"/>
              <w:rPr>
                <w:sz w:val="22"/>
                <w:szCs w:val="22"/>
              </w:rPr>
            </w:pPr>
            <w:r>
              <w:rPr>
                <w:sz w:val="22"/>
                <w:szCs w:val="22"/>
              </w:rPr>
              <w:t xml:space="preserve">7-Tage-Inzidenz 1.259,5/100.000 </w:t>
            </w:r>
            <w:proofErr w:type="spellStart"/>
            <w:r>
              <w:rPr>
                <w:sz w:val="22"/>
                <w:szCs w:val="22"/>
              </w:rPr>
              <w:t>Einw</w:t>
            </w:r>
            <w:proofErr w:type="spellEnd"/>
            <w:r>
              <w:rPr>
                <w:sz w:val="22"/>
                <w:szCs w:val="22"/>
              </w:rPr>
              <w:t xml:space="preserve">. </w:t>
            </w:r>
          </w:p>
          <w:p>
            <w:pPr>
              <w:pStyle w:val="Listenabsatz"/>
              <w:numPr>
                <w:ilvl w:val="1"/>
                <w:numId w:val="29"/>
              </w:numPr>
              <w:ind w:left="828" w:hanging="357"/>
              <w:rPr>
                <w:sz w:val="22"/>
                <w:szCs w:val="22"/>
              </w:rPr>
            </w:pPr>
            <w:r>
              <w:rPr>
                <w:sz w:val="22"/>
                <w:szCs w:val="22"/>
              </w:rPr>
              <w:t xml:space="preserve">Hospitalisierungsinzidenz: 6,28/100.000 EW, </w:t>
            </w:r>
            <w:r>
              <w:rPr>
                <w:sz w:val="22"/>
                <w:szCs w:val="22"/>
              </w:rPr>
              <w:br/>
              <w:t>AG ≥ 60Jährige: 12,83/100.000 EW</w:t>
            </w:r>
          </w:p>
          <w:p>
            <w:pPr>
              <w:pStyle w:val="Listenabsatz"/>
              <w:numPr>
                <w:ilvl w:val="1"/>
                <w:numId w:val="29"/>
              </w:numPr>
              <w:ind w:left="828" w:hanging="357"/>
              <w:rPr>
                <w:sz w:val="22"/>
                <w:szCs w:val="22"/>
              </w:rPr>
            </w:pPr>
            <w:r>
              <w:rPr>
                <w:sz w:val="22"/>
                <w:szCs w:val="22"/>
              </w:rPr>
              <w:t>Fälle auf ITS: 2.285 (-113)</w:t>
            </w:r>
          </w:p>
          <w:p>
            <w:pPr>
              <w:pStyle w:val="Listenabsatz"/>
              <w:numPr>
                <w:ilvl w:val="1"/>
                <w:numId w:val="29"/>
              </w:numPr>
              <w:ind w:left="828" w:hanging="357"/>
              <w:rPr>
                <w:sz w:val="22"/>
                <w:szCs w:val="22"/>
              </w:rPr>
            </w:pPr>
            <w:proofErr w:type="spellStart"/>
            <w:r>
              <w:rPr>
                <w:sz w:val="22"/>
                <w:szCs w:val="22"/>
              </w:rPr>
              <w:t>Impfmonitoring</w:t>
            </w:r>
            <w:proofErr w:type="spellEnd"/>
            <w:r>
              <w:rPr>
                <w:sz w:val="22"/>
                <w:szCs w:val="22"/>
              </w:rPr>
              <w:t>: Erstimpfungen 76,3%, Zweitimpfung 75,3%, Auffrischimpfungen 56,6%</w:t>
            </w:r>
          </w:p>
          <w:p>
            <w:pPr>
              <w:pStyle w:val="Listenabsatz"/>
              <w:numPr>
                <w:ilvl w:val="1"/>
                <w:numId w:val="29"/>
              </w:numPr>
              <w:ind w:left="828" w:hanging="357"/>
              <w:rPr>
                <w:sz w:val="22"/>
                <w:szCs w:val="22"/>
              </w:rPr>
            </w:pPr>
            <w:r>
              <w:rPr>
                <w:sz w:val="22"/>
                <w:szCs w:val="22"/>
              </w:rPr>
              <w:t>Trends</w:t>
            </w:r>
          </w:p>
          <w:p>
            <w:pPr>
              <w:pStyle w:val="Listenabsatz"/>
              <w:numPr>
                <w:ilvl w:val="2"/>
                <w:numId w:val="29"/>
              </w:numPr>
              <w:ind w:left="1190" w:hanging="357"/>
              <w:rPr>
                <w:sz w:val="22"/>
                <w:szCs w:val="22"/>
              </w:rPr>
            </w:pPr>
            <w:r>
              <w:rPr>
                <w:sz w:val="22"/>
                <w:szCs w:val="22"/>
              </w:rPr>
              <w:t>Rückgang 7-Tage-Inzidenz, R-Wert unter 1, Hospitalisierungsinzidenz bleibt gleich, leichter Anstieg bei Todesfällen</w:t>
            </w:r>
          </w:p>
          <w:p>
            <w:pPr>
              <w:pStyle w:val="Listenabsatz"/>
              <w:numPr>
                <w:ilvl w:val="1"/>
                <w:numId w:val="29"/>
              </w:numPr>
              <w:ind w:left="828" w:hanging="357"/>
              <w:rPr>
                <w:sz w:val="22"/>
                <w:szCs w:val="22"/>
              </w:rPr>
            </w:pPr>
            <w:r>
              <w:rPr>
                <w:sz w:val="22"/>
                <w:szCs w:val="22"/>
              </w:rPr>
              <w:lastRenderedPageBreak/>
              <w:t xml:space="preserve">Verlauf der 7-Tage-Inzidenz der Bundesländer </w:t>
            </w:r>
          </w:p>
          <w:p>
            <w:pPr>
              <w:pStyle w:val="Listenabsatz"/>
              <w:numPr>
                <w:ilvl w:val="2"/>
                <w:numId w:val="29"/>
              </w:numPr>
              <w:ind w:left="1190" w:hanging="357"/>
              <w:rPr>
                <w:sz w:val="22"/>
                <w:szCs w:val="22"/>
              </w:rPr>
            </w:pPr>
            <w:r>
              <w:rPr>
                <w:sz w:val="22"/>
                <w:szCs w:val="22"/>
              </w:rPr>
              <w:t>In den letzten Tagen Übermittlungsprobleme in Rheinland-Pfalz</w:t>
            </w:r>
          </w:p>
          <w:p>
            <w:pPr>
              <w:pStyle w:val="Listenabsatz"/>
              <w:numPr>
                <w:ilvl w:val="2"/>
                <w:numId w:val="29"/>
              </w:numPr>
              <w:ind w:left="1190" w:hanging="357"/>
              <w:rPr>
                <w:sz w:val="22"/>
                <w:szCs w:val="22"/>
              </w:rPr>
            </w:pPr>
            <w:r>
              <w:rPr>
                <w:sz w:val="22"/>
                <w:szCs w:val="22"/>
              </w:rPr>
              <w:t>Gemischtes Bild, in den meisten BL Rückgang</w:t>
            </w:r>
          </w:p>
          <w:p>
            <w:pPr>
              <w:pStyle w:val="Listenabsatz"/>
              <w:numPr>
                <w:ilvl w:val="1"/>
                <w:numId w:val="29"/>
              </w:numPr>
              <w:ind w:left="828" w:hanging="357"/>
              <w:rPr>
                <w:sz w:val="22"/>
                <w:szCs w:val="22"/>
              </w:rPr>
            </w:pPr>
            <w:r>
              <w:rPr>
                <w:sz w:val="22"/>
                <w:szCs w:val="22"/>
              </w:rPr>
              <w:t>Geografische Verteilung in Deutschland: 7-Tage-Inzidenz</w:t>
            </w:r>
          </w:p>
          <w:p>
            <w:pPr>
              <w:pStyle w:val="Listenabsatz"/>
              <w:numPr>
                <w:ilvl w:val="2"/>
                <w:numId w:val="29"/>
              </w:numPr>
              <w:ind w:left="1190" w:hanging="357"/>
              <w:rPr>
                <w:sz w:val="22"/>
                <w:szCs w:val="22"/>
              </w:rPr>
            </w:pPr>
            <w:r>
              <w:rPr>
                <w:sz w:val="22"/>
                <w:szCs w:val="22"/>
              </w:rPr>
              <w:t>Sehr viele LK mit sehr hohen Inzidenzen</w:t>
            </w:r>
          </w:p>
          <w:p>
            <w:pPr>
              <w:pStyle w:val="Listenabsatz"/>
              <w:numPr>
                <w:ilvl w:val="2"/>
                <w:numId w:val="29"/>
              </w:numPr>
              <w:ind w:left="1190" w:hanging="357"/>
              <w:rPr>
                <w:sz w:val="22"/>
                <w:szCs w:val="22"/>
              </w:rPr>
            </w:pPr>
            <w:r>
              <w:rPr>
                <w:sz w:val="22"/>
                <w:szCs w:val="22"/>
              </w:rPr>
              <w:t xml:space="preserve">In den an Dänemark angrenzenden LK wieder Anstiege </w:t>
            </w:r>
          </w:p>
          <w:p>
            <w:pPr>
              <w:pStyle w:val="Listenabsatz"/>
              <w:numPr>
                <w:ilvl w:val="1"/>
                <w:numId w:val="29"/>
              </w:numPr>
              <w:ind w:left="828" w:hanging="357"/>
              <w:rPr>
                <w:sz w:val="22"/>
                <w:szCs w:val="22"/>
              </w:rPr>
            </w:pPr>
            <w:r>
              <w:rPr>
                <w:sz w:val="22"/>
                <w:szCs w:val="22"/>
              </w:rPr>
              <w:t>7-Tage-Inzidenz nach Altersgruppen</w:t>
            </w:r>
          </w:p>
          <w:p>
            <w:pPr>
              <w:pStyle w:val="Listenabsatz"/>
              <w:numPr>
                <w:ilvl w:val="2"/>
                <w:numId w:val="29"/>
              </w:numPr>
              <w:ind w:left="1190" w:hanging="357"/>
              <w:rPr>
                <w:sz w:val="22"/>
                <w:szCs w:val="22"/>
              </w:rPr>
            </w:pPr>
            <w:r>
              <w:rPr>
                <w:sz w:val="22"/>
                <w:szCs w:val="22"/>
              </w:rPr>
              <w:t>In allen AG Rückgang bzw. kein Anstieg bei 60-79 und 80+ Jährigen.</w:t>
            </w:r>
          </w:p>
          <w:p>
            <w:pPr>
              <w:pStyle w:val="Listenabsatz"/>
              <w:numPr>
                <w:ilvl w:val="1"/>
                <w:numId w:val="29"/>
              </w:numPr>
              <w:ind w:left="828" w:hanging="357"/>
              <w:rPr>
                <w:sz w:val="22"/>
                <w:szCs w:val="22"/>
              </w:rPr>
            </w:pPr>
            <w:r>
              <w:rPr>
                <w:sz w:val="22"/>
                <w:szCs w:val="22"/>
              </w:rPr>
              <w:t>Wöchentliche Sterbefallzahlen</w:t>
            </w:r>
          </w:p>
          <w:p>
            <w:pPr>
              <w:pStyle w:val="Listenabsatz"/>
              <w:numPr>
                <w:ilvl w:val="2"/>
                <w:numId w:val="29"/>
              </w:numPr>
              <w:ind w:left="1190" w:hanging="357"/>
              <w:rPr>
                <w:sz w:val="22"/>
                <w:szCs w:val="22"/>
              </w:rPr>
            </w:pPr>
            <w:r>
              <w:rPr>
                <w:sz w:val="22"/>
                <w:szCs w:val="22"/>
              </w:rPr>
              <w:t>Derzeit keine Übersterblichkeit</w:t>
            </w:r>
          </w:p>
          <w:p>
            <w:pPr>
              <w:pStyle w:val="Listenabsatz"/>
              <w:ind w:left="1190"/>
              <w:rPr>
                <w:sz w:val="22"/>
                <w:szCs w:val="22"/>
              </w:rPr>
            </w:pPr>
          </w:p>
          <w:p>
            <w:pPr>
              <w:pStyle w:val="Liste1"/>
            </w:pPr>
            <w:r>
              <w:t xml:space="preserve">Der </w:t>
            </w:r>
            <w:proofErr w:type="spellStart"/>
            <w:r>
              <w:t>Positivenanteil</w:t>
            </w:r>
            <w:proofErr w:type="spellEnd"/>
            <w:r>
              <w:t xml:space="preserve"> bei Tests bleibt gleich oder steigt. Wird zu wenig getestet? Wird von einem tatsächlichen Rückgang der Fallzahlen ausgegangen? </w:t>
            </w:r>
          </w:p>
          <w:p>
            <w:pPr>
              <w:pStyle w:val="Listenabsatz"/>
              <w:numPr>
                <w:ilvl w:val="1"/>
                <w:numId w:val="29"/>
              </w:numPr>
              <w:ind w:left="828" w:hanging="357"/>
              <w:rPr>
                <w:sz w:val="22"/>
                <w:szCs w:val="22"/>
              </w:rPr>
            </w:pPr>
            <w:r>
              <w:rPr>
                <w:sz w:val="22"/>
                <w:szCs w:val="22"/>
              </w:rPr>
              <w:t>Am besten von Inanspruchnahme von Testungen sprechen.</w:t>
            </w:r>
          </w:p>
          <w:p>
            <w:pPr>
              <w:pStyle w:val="Listenabsatz"/>
              <w:numPr>
                <w:ilvl w:val="1"/>
                <w:numId w:val="29"/>
              </w:numPr>
              <w:ind w:left="828" w:hanging="357"/>
              <w:rPr>
                <w:sz w:val="22"/>
                <w:szCs w:val="22"/>
              </w:rPr>
            </w:pPr>
            <w:r>
              <w:rPr>
                <w:sz w:val="22"/>
                <w:szCs w:val="22"/>
              </w:rPr>
              <w:t>Es sind unterschiedliche Entwicklung in LK und Altersgruppen zu sehen, d.h. lokale Entwicklungen können gut abgebildet werden. Die Trends werden widergespiegelt, absolute Höhe nicht so entscheidend.</w:t>
            </w:r>
          </w:p>
          <w:p>
            <w:pPr>
              <w:pStyle w:val="Listenabsatz"/>
              <w:numPr>
                <w:ilvl w:val="1"/>
                <w:numId w:val="29"/>
              </w:numPr>
              <w:ind w:left="828" w:hanging="357"/>
              <w:rPr>
                <w:sz w:val="22"/>
                <w:szCs w:val="22"/>
              </w:rPr>
            </w:pPr>
            <w:r>
              <w:rPr>
                <w:sz w:val="22"/>
                <w:szCs w:val="22"/>
              </w:rPr>
              <w:t>In NRW werden pos. Pools werden nicht mehr per PCR aufgelöst, sondern per Antigentest.</w:t>
            </w:r>
          </w:p>
          <w:p>
            <w:pPr>
              <w:pStyle w:val="Listenabsatz"/>
              <w:ind w:left="828"/>
              <w:rPr>
                <w:sz w:val="22"/>
                <w:szCs w:val="22"/>
              </w:rPr>
            </w:pP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(Kerber)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Mankertz</w:t>
            </w: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UKRAINE – Unterstützungsanfrage durch </w:t>
            </w:r>
            <w:proofErr w:type="spellStart"/>
            <w:r>
              <w:rPr>
                <w:sz w:val="22"/>
                <w:szCs w:val="22"/>
              </w:rPr>
              <w:t>civil</w:t>
            </w:r>
            <w:proofErr w:type="spellEnd"/>
            <w:r>
              <w:rPr>
                <w:sz w:val="22"/>
                <w:szCs w:val="22"/>
              </w:rPr>
              <w:t xml:space="preserve"> </w:t>
            </w:r>
            <w:proofErr w:type="spellStart"/>
            <w:r>
              <w:rPr>
                <w:sz w:val="22"/>
                <w:szCs w:val="22"/>
              </w:rPr>
              <w:t>protection</w:t>
            </w:r>
            <w:proofErr w:type="spellEnd"/>
            <w:r>
              <w:rPr>
                <w:sz w:val="22"/>
                <w:szCs w:val="22"/>
              </w:rPr>
              <w:t xml:space="preserve"> </w:t>
            </w:r>
            <w:proofErr w:type="spellStart"/>
            <w:r>
              <w:rPr>
                <w:sz w:val="22"/>
                <w:szCs w:val="22"/>
              </w:rPr>
              <w:t>mechanism</w:t>
            </w:r>
            <w:proofErr w:type="spellEnd"/>
          </w:p>
          <w:p>
            <w:pPr>
              <w:pStyle w:val="Listenabsatz"/>
              <w:numPr>
                <w:ilvl w:val="1"/>
                <w:numId w:val="29"/>
              </w:numPr>
              <w:ind w:left="828" w:hanging="357"/>
              <w:rPr>
                <w:sz w:val="22"/>
                <w:szCs w:val="22"/>
              </w:rPr>
            </w:pPr>
            <w:r>
              <w:rPr>
                <w:sz w:val="22"/>
                <w:szCs w:val="22"/>
                <w:lang w:val="en-US"/>
              </w:rPr>
              <w:t xml:space="preserve">Am RKI </w:t>
            </w:r>
            <w:proofErr w:type="spellStart"/>
            <w:r>
              <w:rPr>
                <w:sz w:val="22"/>
                <w:szCs w:val="22"/>
                <w:lang w:val="en-US"/>
              </w:rPr>
              <w:t>ist</w:t>
            </w:r>
            <w:proofErr w:type="spellEnd"/>
            <w:r>
              <w:rPr>
                <w:sz w:val="22"/>
                <w:szCs w:val="22"/>
                <w:lang w:val="en-US"/>
              </w:rPr>
              <w:t xml:space="preserve"> National Focal Point der EMT (Emergency Medical Teams). </w:t>
            </w:r>
            <w:r>
              <w:rPr>
                <w:sz w:val="22"/>
                <w:szCs w:val="22"/>
              </w:rPr>
              <w:t>Community von Nichtregierungs</w:t>
            </w:r>
            <w:r>
              <w:rPr>
                <w:sz w:val="22"/>
                <w:szCs w:val="22"/>
              </w:rPr>
              <w:softHyphen/>
              <w:t>organisationen werden Unterstützung leisten, evtl. auch Kollegen vom RKI.</w:t>
            </w:r>
          </w:p>
          <w:p>
            <w:pPr>
              <w:pStyle w:val="Listenabsatz"/>
              <w:numPr>
                <w:ilvl w:val="2"/>
                <w:numId w:val="29"/>
              </w:numPr>
              <w:ind w:left="1190" w:hanging="357"/>
              <w:rPr>
                <w:sz w:val="22"/>
                <w:szCs w:val="22"/>
              </w:rPr>
            </w:pPr>
            <w:r>
              <w:rPr>
                <w:sz w:val="22"/>
                <w:szCs w:val="22"/>
              </w:rPr>
              <w:t xml:space="preserve">Noch keine offizielle Anfrage, täglicher Austausch zur Vorbereitung auf Hilfseinsätze, alle EMTs bereiten sich vor. Es wird damit gerechnet, dass deutsche EMTs in Nachbarländer der Ukraine reisen um zu unterstützen. </w:t>
            </w:r>
          </w:p>
          <w:p>
            <w:pPr>
              <w:pStyle w:val="Listenabsatz"/>
              <w:numPr>
                <w:ilvl w:val="1"/>
                <w:numId w:val="29"/>
              </w:numPr>
              <w:ind w:left="828" w:hanging="357"/>
              <w:rPr>
                <w:sz w:val="22"/>
                <w:szCs w:val="22"/>
              </w:rPr>
            </w:pPr>
            <w:r>
              <w:rPr>
                <w:sz w:val="22"/>
                <w:szCs w:val="22"/>
              </w:rPr>
              <w:t>EWRS Anfrage ans BMG zur Koordinierung weitergegeben.</w:t>
            </w:r>
          </w:p>
          <w:p>
            <w:pPr>
              <w:pStyle w:val="Listenabsatz"/>
              <w:numPr>
                <w:ilvl w:val="1"/>
                <w:numId w:val="29"/>
              </w:numPr>
              <w:ind w:left="828" w:hanging="357"/>
              <w:rPr>
                <w:sz w:val="22"/>
                <w:szCs w:val="22"/>
              </w:rPr>
            </w:pPr>
            <w:r>
              <w:rPr>
                <w:sz w:val="22"/>
                <w:szCs w:val="22"/>
              </w:rPr>
              <w:t>Noch keine konkreten Anfragen zu Patientenübernahmen.</w:t>
            </w:r>
          </w:p>
          <w:p>
            <w:pPr>
              <w:pStyle w:val="Listenabsatz"/>
              <w:numPr>
                <w:ilvl w:val="1"/>
                <w:numId w:val="29"/>
              </w:numPr>
              <w:ind w:left="828" w:hanging="357"/>
              <w:rPr>
                <w:sz w:val="22"/>
                <w:szCs w:val="22"/>
              </w:rPr>
            </w:pPr>
            <w:r>
              <w:rPr>
                <w:sz w:val="22"/>
                <w:szCs w:val="22"/>
              </w:rPr>
              <w:t>Dokumente zu Migration und Asylsuchenden müssen aktualisiert werden.</w:t>
            </w:r>
          </w:p>
          <w:p>
            <w:pPr>
              <w:pStyle w:val="Listenabsatz"/>
              <w:numPr>
                <w:ilvl w:val="2"/>
                <w:numId w:val="29"/>
              </w:numPr>
              <w:ind w:left="1190" w:hanging="357"/>
              <w:rPr>
                <w:sz w:val="22"/>
                <w:szCs w:val="22"/>
              </w:rPr>
            </w:pPr>
            <w:r>
              <w:rPr>
                <w:sz w:val="22"/>
                <w:szCs w:val="22"/>
              </w:rPr>
              <w:t xml:space="preserve">Mehrere FG wurden in Hinblick auf COVID auf den erwarteten Migrationsfluss aus Ukraine angesprochen. </w:t>
            </w:r>
          </w:p>
          <w:p>
            <w:pPr>
              <w:pStyle w:val="Listenabsatz"/>
              <w:numPr>
                <w:ilvl w:val="1"/>
                <w:numId w:val="29"/>
              </w:numPr>
              <w:ind w:left="828" w:hanging="357"/>
              <w:rPr>
                <w:sz w:val="22"/>
                <w:szCs w:val="22"/>
              </w:rPr>
            </w:pPr>
            <w:r>
              <w:rPr>
                <w:sz w:val="22"/>
                <w:szCs w:val="22"/>
              </w:rPr>
              <w:t>Extra Koordinierungsstelle oder über Lagezentrum?</w:t>
            </w:r>
          </w:p>
          <w:p>
            <w:pPr>
              <w:pStyle w:val="Listenabsatz"/>
              <w:numPr>
                <w:ilvl w:val="2"/>
                <w:numId w:val="29"/>
              </w:numPr>
              <w:ind w:left="1190" w:hanging="357"/>
              <w:rPr>
                <w:sz w:val="22"/>
                <w:szCs w:val="22"/>
              </w:rPr>
            </w:pPr>
            <w:r>
              <w:rPr>
                <w:sz w:val="22"/>
                <w:szCs w:val="22"/>
              </w:rPr>
              <w:t xml:space="preserve">ZIG bietet an, Koordination zu übernehmen.  </w:t>
            </w:r>
          </w:p>
          <w:p>
            <w:pPr>
              <w:rPr>
                <w:i/>
                <w:sz w:val="22"/>
                <w:szCs w:val="22"/>
              </w:rPr>
            </w:pPr>
            <w:proofErr w:type="spellStart"/>
            <w:r>
              <w:rPr>
                <w:i/>
                <w:sz w:val="22"/>
                <w:szCs w:val="22"/>
              </w:rPr>
              <w:t>ToDo</w:t>
            </w:r>
            <w:proofErr w:type="spellEnd"/>
            <w:r>
              <w:rPr>
                <w:i/>
                <w:sz w:val="22"/>
                <w:szCs w:val="22"/>
              </w:rPr>
              <w:t xml:space="preserve">: Abstimmungstermin, Montag 8:30 Uhr, FF Rexroth, Hanefeld, Themen: Koordinierung, Anpassung Papiere an COVID </w:t>
            </w:r>
          </w:p>
          <w:p>
            <w:pPr>
              <w:rPr>
                <w:b/>
                <w:sz w:val="22"/>
                <w:szCs w:val="22"/>
              </w:rPr>
            </w:pP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Niebank</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70" w:hanging="357"/>
              <w:rPr>
                <w:sz w:val="22"/>
                <w:szCs w:val="22"/>
              </w:rPr>
            </w:pPr>
            <w:r>
              <w:rPr>
                <w:b/>
                <w:sz w:val="22"/>
                <w:szCs w:val="22"/>
              </w:rPr>
              <w:t xml:space="preserve">Version 2.18 der CWA: So werden die G-Regeln jetzt abgebildet </w:t>
            </w:r>
            <w:r>
              <w:rPr>
                <w:sz w:val="22"/>
                <w:szCs w:val="22"/>
              </w:rPr>
              <w:t xml:space="preserve">(Folien </w:t>
            </w:r>
            <w:hyperlink r:id="rId13" w:history="1">
              <w:r>
                <w:rPr>
                  <w:rStyle w:val="Hyperlink"/>
                  <w:sz w:val="22"/>
                  <w:szCs w:val="22"/>
                </w:rPr>
                <w:t>h</w:t>
              </w:r>
              <w:r>
                <w:rPr>
                  <w:rStyle w:val="Hyperlink"/>
                  <w:sz w:val="22"/>
                  <w:szCs w:val="22"/>
                </w:rPr>
                <w:t>i</w:t>
              </w:r>
              <w:r>
                <w:rPr>
                  <w:rStyle w:val="Hyperlink"/>
                  <w:sz w:val="22"/>
                  <w:szCs w:val="22"/>
                </w:rPr>
                <w:t>er</w:t>
              </w:r>
            </w:hyperlink>
            <w:r>
              <w:rPr>
                <w:sz w:val="22"/>
                <w:szCs w:val="22"/>
              </w:rPr>
              <w:t>)</w:t>
            </w:r>
          </w:p>
          <w:p>
            <w:pPr>
              <w:pStyle w:val="Listenabsatz"/>
              <w:numPr>
                <w:ilvl w:val="1"/>
                <w:numId w:val="5"/>
              </w:numPr>
              <w:ind w:left="828" w:hanging="357"/>
              <w:rPr>
                <w:sz w:val="22"/>
                <w:szCs w:val="22"/>
              </w:rPr>
            </w:pPr>
            <w:r>
              <w:rPr>
                <w:sz w:val="22"/>
                <w:szCs w:val="22"/>
              </w:rPr>
              <w:t xml:space="preserve">Hintergrund: EU Digital </w:t>
            </w:r>
            <w:proofErr w:type="spellStart"/>
            <w:r>
              <w:rPr>
                <w:sz w:val="22"/>
                <w:szCs w:val="22"/>
              </w:rPr>
              <w:t>Covid</w:t>
            </w:r>
            <w:proofErr w:type="spellEnd"/>
            <w:r>
              <w:rPr>
                <w:sz w:val="22"/>
                <w:szCs w:val="22"/>
              </w:rPr>
              <w:t xml:space="preserve"> </w:t>
            </w:r>
            <w:proofErr w:type="spellStart"/>
            <w:r>
              <w:rPr>
                <w:sz w:val="22"/>
                <w:szCs w:val="22"/>
              </w:rPr>
              <w:t>Certificate</w:t>
            </w:r>
            <w:proofErr w:type="spellEnd"/>
            <w:r>
              <w:rPr>
                <w:sz w:val="22"/>
                <w:szCs w:val="22"/>
              </w:rPr>
              <w:t xml:space="preserve"> (DCC)</w:t>
            </w:r>
          </w:p>
          <w:p>
            <w:pPr>
              <w:pStyle w:val="Listenabsatz"/>
              <w:numPr>
                <w:ilvl w:val="2"/>
                <w:numId w:val="5"/>
              </w:numPr>
              <w:ind w:left="1190" w:hanging="357"/>
              <w:rPr>
                <w:sz w:val="22"/>
                <w:szCs w:val="22"/>
              </w:rPr>
            </w:pPr>
            <w:r>
              <w:rPr>
                <w:sz w:val="22"/>
                <w:szCs w:val="22"/>
              </w:rPr>
              <w:t>Impf-, Genesenen-, Testzertifikat</w:t>
            </w:r>
          </w:p>
          <w:p>
            <w:pPr>
              <w:pStyle w:val="Listenabsatz"/>
              <w:numPr>
                <w:ilvl w:val="2"/>
                <w:numId w:val="5"/>
              </w:numPr>
              <w:ind w:left="1190" w:hanging="357"/>
              <w:rPr>
                <w:sz w:val="22"/>
                <w:szCs w:val="22"/>
              </w:rPr>
            </w:pPr>
            <w:r>
              <w:rPr>
                <w:sz w:val="22"/>
                <w:szCs w:val="22"/>
              </w:rPr>
              <w:t>Kompatibel zwischen allen EU- und weiteren Ländern</w:t>
            </w:r>
          </w:p>
          <w:p>
            <w:pPr>
              <w:pStyle w:val="Listenabsatz"/>
              <w:numPr>
                <w:ilvl w:val="1"/>
                <w:numId w:val="5"/>
              </w:numPr>
              <w:ind w:left="828" w:hanging="357"/>
              <w:rPr>
                <w:sz w:val="22"/>
                <w:szCs w:val="22"/>
              </w:rPr>
            </w:pPr>
            <w:r>
              <w:rPr>
                <w:sz w:val="22"/>
                <w:szCs w:val="22"/>
              </w:rPr>
              <w:lastRenderedPageBreak/>
              <w:t>DDC-Datenstruktur</w:t>
            </w:r>
          </w:p>
          <w:p>
            <w:pPr>
              <w:pStyle w:val="Listenabsatz"/>
              <w:numPr>
                <w:ilvl w:val="2"/>
                <w:numId w:val="5"/>
              </w:numPr>
              <w:ind w:left="1190" w:hanging="357"/>
              <w:rPr>
                <w:sz w:val="22"/>
                <w:szCs w:val="22"/>
              </w:rPr>
            </w:pPr>
            <w:r>
              <w:rPr>
                <w:sz w:val="22"/>
                <w:szCs w:val="22"/>
              </w:rPr>
              <w:t>Fakten sind interoperabel statisch dokumentiert.</w:t>
            </w:r>
          </w:p>
          <w:p>
            <w:pPr>
              <w:pStyle w:val="Listenabsatz"/>
              <w:numPr>
                <w:ilvl w:val="2"/>
                <w:numId w:val="5"/>
              </w:numPr>
              <w:ind w:left="1190" w:hanging="357"/>
              <w:rPr>
                <w:sz w:val="22"/>
                <w:szCs w:val="22"/>
              </w:rPr>
            </w:pPr>
            <w:r>
              <w:rPr>
                <w:sz w:val="22"/>
                <w:szCs w:val="22"/>
              </w:rPr>
              <w:t>Regeln für Bewertung sind konfigurierbar und kontextabhängig.</w:t>
            </w:r>
          </w:p>
          <w:p>
            <w:pPr>
              <w:pStyle w:val="Listenabsatz"/>
              <w:numPr>
                <w:ilvl w:val="2"/>
                <w:numId w:val="5"/>
              </w:numPr>
              <w:ind w:left="1190" w:hanging="357"/>
              <w:rPr>
                <w:sz w:val="22"/>
                <w:szCs w:val="22"/>
              </w:rPr>
            </w:pPr>
            <w:r>
              <w:rPr>
                <w:sz w:val="22"/>
                <w:szCs w:val="22"/>
              </w:rPr>
              <w:t>Ein paar Gültigkeitskriterien sind EU-weit einheitlich. Aber teilweise abweichend von STIKO-Empfehlungen und deutschen Verordnungen.</w:t>
            </w:r>
          </w:p>
          <w:p>
            <w:pPr>
              <w:pStyle w:val="Listenabsatz"/>
              <w:numPr>
                <w:ilvl w:val="2"/>
                <w:numId w:val="5"/>
              </w:numPr>
              <w:ind w:left="1190" w:hanging="357"/>
              <w:rPr>
                <w:sz w:val="22"/>
                <w:szCs w:val="22"/>
              </w:rPr>
            </w:pPr>
            <w:r>
              <w:rPr>
                <w:sz w:val="22"/>
                <w:szCs w:val="22"/>
              </w:rPr>
              <w:t xml:space="preserve">Grundimmunisierung ab 2.Impfung 9 Monaten gültig. </w:t>
            </w:r>
            <w:proofErr w:type="spellStart"/>
            <w:r>
              <w:rPr>
                <w:sz w:val="22"/>
                <w:szCs w:val="22"/>
              </w:rPr>
              <w:t>Johnson&amp;Johnson</w:t>
            </w:r>
            <w:proofErr w:type="spellEnd"/>
            <w:r>
              <w:rPr>
                <w:sz w:val="22"/>
                <w:szCs w:val="22"/>
              </w:rPr>
              <w:t xml:space="preserve"> ab der ersten Impfung 270 Tage gültig, nach Genesung einzige Dosis ausreichend.</w:t>
            </w:r>
          </w:p>
          <w:p>
            <w:pPr>
              <w:pStyle w:val="Listenabsatz"/>
              <w:numPr>
                <w:ilvl w:val="2"/>
                <w:numId w:val="5"/>
              </w:numPr>
              <w:ind w:left="1190" w:hanging="357"/>
              <w:rPr>
                <w:sz w:val="22"/>
                <w:szCs w:val="22"/>
              </w:rPr>
            </w:pPr>
            <w:r>
              <w:rPr>
                <w:sz w:val="22"/>
                <w:szCs w:val="22"/>
              </w:rPr>
              <w:t>Auffrischungsimpfungen sind unbegrenzt gültig</w:t>
            </w:r>
          </w:p>
          <w:p>
            <w:pPr>
              <w:pStyle w:val="Listenabsatz"/>
              <w:numPr>
                <w:ilvl w:val="2"/>
                <w:numId w:val="5"/>
              </w:numPr>
              <w:ind w:left="1190" w:hanging="357"/>
              <w:rPr>
                <w:sz w:val="22"/>
                <w:szCs w:val="22"/>
              </w:rPr>
            </w:pPr>
            <w:r>
              <w:rPr>
                <w:sz w:val="22"/>
                <w:szCs w:val="22"/>
              </w:rPr>
              <w:t>Name, Geburtsdatum, Ausstellungsdatum, technischer Gültigkeitsablauf (in D auf ein Jahr festgelegt), Aussteller (in Deutschland RKI), Ausgebende Stelle, Signatur</w:t>
            </w:r>
          </w:p>
          <w:p>
            <w:pPr>
              <w:pStyle w:val="Listenabsatz"/>
              <w:numPr>
                <w:ilvl w:val="2"/>
                <w:numId w:val="5"/>
              </w:numPr>
              <w:ind w:left="1190" w:hanging="357"/>
              <w:rPr>
                <w:sz w:val="22"/>
                <w:szCs w:val="22"/>
              </w:rPr>
            </w:pPr>
            <w:r>
              <w:rPr>
                <w:sz w:val="22"/>
                <w:szCs w:val="22"/>
              </w:rPr>
              <w:t>Impfzertifikat: Impfdatum, Impfstoff, Dosis</w:t>
            </w:r>
          </w:p>
          <w:p>
            <w:pPr>
              <w:pStyle w:val="Listenabsatz"/>
              <w:numPr>
                <w:ilvl w:val="2"/>
                <w:numId w:val="5"/>
              </w:numPr>
              <w:ind w:left="1190" w:hanging="357"/>
              <w:rPr>
                <w:sz w:val="22"/>
                <w:szCs w:val="22"/>
              </w:rPr>
            </w:pPr>
            <w:proofErr w:type="spellStart"/>
            <w:r>
              <w:rPr>
                <w:sz w:val="22"/>
                <w:szCs w:val="22"/>
              </w:rPr>
              <w:t>Genesenenzertifikat</w:t>
            </w:r>
            <w:proofErr w:type="spellEnd"/>
            <w:r>
              <w:rPr>
                <w:sz w:val="22"/>
                <w:szCs w:val="22"/>
              </w:rPr>
              <w:t>: Datum Probenahme, über Regeln festgelegter Gültigkeitsbeginn und -ende</w:t>
            </w:r>
          </w:p>
          <w:p>
            <w:pPr>
              <w:pStyle w:val="Listenabsatz"/>
              <w:numPr>
                <w:ilvl w:val="2"/>
                <w:numId w:val="5"/>
              </w:numPr>
              <w:ind w:left="1190" w:hanging="357"/>
              <w:rPr>
                <w:sz w:val="22"/>
                <w:szCs w:val="22"/>
              </w:rPr>
            </w:pPr>
            <w:r>
              <w:rPr>
                <w:sz w:val="22"/>
                <w:szCs w:val="22"/>
              </w:rPr>
              <w:t>Testzertifikat: Datum Probenahme, Art des Tests</w:t>
            </w:r>
          </w:p>
          <w:p>
            <w:pPr>
              <w:pStyle w:val="Listenabsatz"/>
              <w:numPr>
                <w:ilvl w:val="1"/>
                <w:numId w:val="5"/>
              </w:numPr>
              <w:ind w:left="828" w:hanging="357"/>
              <w:rPr>
                <w:sz w:val="22"/>
                <w:szCs w:val="22"/>
              </w:rPr>
            </w:pPr>
            <w:proofErr w:type="spellStart"/>
            <w:r>
              <w:rPr>
                <w:sz w:val="22"/>
                <w:szCs w:val="22"/>
              </w:rPr>
              <w:t>Genesenenzertifikat</w:t>
            </w:r>
            <w:proofErr w:type="spellEnd"/>
            <w:r>
              <w:rPr>
                <w:sz w:val="22"/>
                <w:szCs w:val="22"/>
              </w:rPr>
              <w:t xml:space="preserve"> auf Antigen-Schnelltest-Basis</w:t>
            </w:r>
          </w:p>
          <w:p>
            <w:pPr>
              <w:pStyle w:val="Listenabsatz"/>
              <w:numPr>
                <w:ilvl w:val="2"/>
                <w:numId w:val="5"/>
              </w:numPr>
              <w:ind w:left="1190" w:hanging="357"/>
              <w:rPr>
                <w:sz w:val="22"/>
                <w:szCs w:val="22"/>
              </w:rPr>
            </w:pPr>
            <w:r>
              <w:rPr>
                <w:sz w:val="22"/>
                <w:szCs w:val="22"/>
              </w:rPr>
              <w:t>Neu seit dieser Woche: für Länder optional, wenn nicht genug Kapazitäten für PCR Tests vorhanden.</w:t>
            </w:r>
          </w:p>
          <w:p>
            <w:pPr>
              <w:pStyle w:val="Listenabsatz"/>
              <w:numPr>
                <w:ilvl w:val="2"/>
                <w:numId w:val="5"/>
              </w:numPr>
              <w:ind w:left="1190" w:hanging="357"/>
              <w:rPr>
                <w:sz w:val="22"/>
                <w:szCs w:val="22"/>
              </w:rPr>
            </w:pPr>
            <w:r>
              <w:rPr>
                <w:sz w:val="22"/>
                <w:szCs w:val="22"/>
              </w:rPr>
              <w:t>Alle Länder müssen Zertifikate der anderen Länder anerkennen.</w:t>
            </w:r>
          </w:p>
          <w:p>
            <w:pPr>
              <w:pStyle w:val="Listenabsatz"/>
              <w:numPr>
                <w:ilvl w:val="2"/>
                <w:numId w:val="5"/>
              </w:numPr>
              <w:ind w:left="1190" w:hanging="357"/>
              <w:rPr>
                <w:sz w:val="22"/>
                <w:szCs w:val="22"/>
              </w:rPr>
            </w:pPr>
            <w:r>
              <w:rPr>
                <w:sz w:val="22"/>
                <w:szCs w:val="22"/>
              </w:rPr>
              <w:t>Art des Tests wird nicht angegeben, kann beim Zertifikat nicht unterschieden werden.</w:t>
            </w:r>
          </w:p>
          <w:p>
            <w:pPr>
              <w:pStyle w:val="Listenabsatz"/>
              <w:numPr>
                <w:ilvl w:val="1"/>
                <w:numId w:val="5"/>
              </w:numPr>
              <w:ind w:left="828" w:hanging="357"/>
              <w:rPr>
                <w:sz w:val="22"/>
                <w:szCs w:val="22"/>
              </w:rPr>
            </w:pPr>
            <w:r>
              <w:rPr>
                <w:sz w:val="22"/>
                <w:szCs w:val="22"/>
              </w:rPr>
              <w:t>Regelbasierte Bewertung</w:t>
            </w:r>
          </w:p>
          <w:p>
            <w:pPr>
              <w:pStyle w:val="Listenabsatz"/>
              <w:numPr>
                <w:ilvl w:val="2"/>
                <w:numId w:val="5"/>
              </w:numPr>
              <w:ind w:left="1190" w:hanging="357"/>
              <w:rPr>
                <w:sz w:val="22"/>
                <w:szCs w:val="22"/>
              </w:rPr>
            </w:pPr>
            <w:r>
              <w:rPr>
                <w:sz w:val="22"/>
                <w:szCs w:val="22"/>
              </w:rPr>
              <w:t>Nach EU-Regelwerk: gültig oder ungültig</w:t>
            </w:r>
          </w:p>
          <w:p>
            <w:pPr>
              <w:pStyle w:val="Listenabsatz"/>
              <w:numPr>
                <w:ilvl w:val="2"/>
                <w:numId w:val="5"/>
              </w:numPr>
              <w:ind w:left="1190" w:hanging="357"/>
              <w:rPr>
                <w:sz w:val="22"/>
                <w:szCs w:val="22"/>
              </w:rPr>
            </w:pPr>
            <w:r>
              <w:rPr>
                <w:sz w:val="22"/>
                <w:szCs w:val="22"/>
              </w:rPr>
              <w:t>Neu: innerdeutsches G-Regelwerk: Ergebnis der Prüfung ist höchster erreichter G-Status. Wie mit technisch abgelaufenen Zertifikaten umgegangen wird, ist noch nicht klar.</w:t>
            </w:r>
          </w:p>
          <w:p>
            <w:pPr>
              <w:pStyle w:val="Listenabsatz"/>
              <w:numPr>
                <w:ilvl w:val="1"/>
                <w:numId w:val="5"/>
              </w:numPr>
              <w:ind w:left="828" w:hanging="357"/>
              <w:rPr>
                <w:sz w:val="22"/>
                <w:szCs w:val="22"/>
              </w:rPr>
            </w:pPr>
            <w:r>
              <w:rPr>
                <w:sz w:val="22"/>
                <w:szCs w:val="22"/>
              </w:rPr>
              <w:t>Regelbasierte Zertifikatsausstellung: betroffene Systeme</w:t>
            </w:r>
          </w:p>
          <w:p>
            <w:pPr>
              <w:pStyle w:val="Listenabsatz"/>
              <w:numPr>
                <w:ilvl w:val="2"/>
                <w:numId w:val="5"/>
              </w:numPr>
              <w:ind w:left="1190" w:hanging="357"/>
              <w:rPr>
                <w:sz w:val="22"/>
                <w:szCs w:val="22"/>
                <w:lang w:val="en-US"/>
              </w:rPr>
            </w:pPr>
            <w:r>
              <w:rPr>
                <w:sz w:val="22"/>
                <w:szCs w:val="22"/>
                <w:lang w:val="en-US"/>
              </w:rPr>
              <w:t xml:space="preserve">Wallet-Apps, </w:t>
            </w:r>
            <w:proofErr w:type="spellStart"/>
            <w:r>
              <w:rPr>
                <w:sz w:val="22"/>
                <w:szCs w:val="22"/>
                <w:lang w:val="en-US"/>
              </w:rPr>
              <w:t>wie</w:t>
            </w:r>
            <w:proofErr w:type="spellEnd"/>
            <w:r>
              <w:rPr>
                <w:sz w:val="22"/>
                <w:szCs w:val="22"/>
                <w:lang w:val="en-US"/>
              </w:rPr>
              <w:t xml:space="preserve"> CWA, </w:t>
            </w:r>
            <w:proofErr w:type="spellStart"/>
            <w:r>
              <w:rPr>
                <w:sz w:val="22"/>
                <w:szCs w:val="22"/>
                <w:lang w:val="en-US"/>
              </w:rPr>
              <w:t>CovPass</w:t>
            </w:r>
            <w:proofErr w:type="spellEnd"/>
            <w:r>
              <w:rPr>
                <w:sz w:val="22"/>
                <w:szCs w:val="22"/>
                <w:lang w:val="en-US"/>
              </w:rPr>
              <w:t xml:space="preserve"> </w:t>
            </w:r>
          </w:p>
          <w:p>
            <w:pPr>
              <w:pStyle w:val="Listenabsatz"/>
              <w:numPr>
                <w:ilvl w:val="2"/>
                <w:numId w:val="5"/>
              </w:numPr>
              <w:ind w:left="1190" w:hanging="357"/>
              <w:rPr>
                <w:sz w:val="22"/>
                <w:szCs w:val="22"/>
                <w:lang w:val="en-US"/>
              </w:rPr>
            </w:pPr>
            <w:r>
              <w:rPr>
                <w:sz w:val="22"/>
                <w:szCs w:val="22"/>
                <w:lang w:val="en-US"/>
              </w:rPr>
              <w:t xml:space="preserve">Validation-Apps: </w:t>
            </w:r>
            <w:proofErr w:type="spellStart"/>
            <w:r>
              <w:rPr>
                <w:sz w:val="22"/>
                <w:szCs w:val="22"/>
                <w:lang w:val="en-US"/>
              </w:rPr>
              <w:t>CovPassCheck</w:t>
            </w:r>
            <w:proofErr w:type="spellEnd"/>
            <w:r>
              <w:rPr>
                <w:sz w:val="22"/>
                <w:szCs w:val="22"/>
                <w:lang w:val="en-US"/>
              </w:rPr>
              <w:t xml:space="preserve">, </w:t>
            </w:r>
            <w:proofErr w:type="spellStart"/>
            <w:r>
              <w:rPr>
                <w:sz w:val="22"/>
                <w:szCs w:val="22"/>
                <w:lang w:val="en-US"/>
              </w:rPr>
              <w:t>ggf</w:t>
            </w:r>
            <w:proofErr w:type="spellEnd"/>
            <w:r>
              <w:rPr>
                <w:sz w:val="22"/>
                <w:szCs w:val="22"/>
                <w:lang w:val="en-US"/>
              </w:rPr>
              <w:t xml:space="preserve">. </w:t>
            </w:r>
            <w:proofErr w:type="spellStart"/>
            <w:r>
              <w:rPr>
                <w:sz w:val="22"/>
                <w:szCs w:val="22"/>
                <w:lang w:val="en-US"/>
              </w:rPr>
              <w:t>Drittanbieter</w:t>
            </w:r>
            <w:proofErr w:type="spellEnd"/>
          </w:p>
          <w:p>
            <w:pPr>
              <w:pStyle w:val="Listenabsatz"/>
              <w:numPr>
                <w:ilvl w:val="2"/>
                <w:numId w:val="5"/>
              </w:numPr>
              <w:ind w:left="1190" w:hanging="357"/>
              <w:rPr>
                <w:sz w:val="22"/>
                <w:szCs w:val="22"/>
              </w:rPr>
            </w:pPr>
            <w:r>
              <w:rPr>
                <w:sz w:val="22"/>
                <w:szCs w:val="22"/>
              </w:rPr>
              <w:t>Validation Services: Remote-Überprüfung online-hochgeladener Zertifikate, z.B. für Veranstalter</w:t>
            </w:r>
          </w:p>
          <w:p>
            <w:pPr>
              <w:pStyle w:val="Listenabsatz"/>
              <w:numPr>
                <w:ilvl w:val="2"/>
                <w:numId w:val="5"/>
              </w:numPr>
              <w:ind w:left="1190" w:hanging="357"/>
              <w:rPr>
                <w:sz w:val="22"/>
                <w:szCs w:val="22"/>
              </w:rPr>
            </w:pPr>
            <w:r>
              <w:rPr>
                <w:sz w:val="22"/>
                <w:szCs w:val="22"/>
              </w:rPr>
              <w:t>Bei Ausgebern (Impfzentren, Teststellen, Apotheken, Arztpraxen) durch Software unterstützt, Webportal, Leitfäden</w:t>
            </w:r>
          </w:p>
          <w:p>
            <w:pPr>
              <w:pStyle w:val="Listenabsatz"/>
              <w:numPr>
                <w:ilvl w:val="2"/>
                <w:numId w:val="5"/>
              </w:numPr>
              <w:ind w:left="1190" w:hanging="357"/>
              <w:rPr>
                <w:sz w:val="22"/>
                <w:szCs w:val="22"/>
              </w:rPr>
            </w:pPr>
            <w:r>
              <w:rPr>
                <w:sz w:val="22"/>
                <w:szCs w:val="22"/>
              </w:rPr>
              <w:t xml:space="preserve">Neu in 2 Wochen: halbautomatische Neuausstellung aus Wallet-Apps, nach Zustimmung perspektivisch auch für </w:t>
            </w:r>
            <w:proofErr w:type="spellStart"/>
            <w:r>
              <w:rPr>
                <w:sz w:val="22"/>
                <w:szCs w:val="22"/>
              </w:rPr>
              <w:t>Genesenenzertifikate</w:t>
            </w:r>
            <w:proofErr w:type="spellEnd"/>
            <w:r>
              <w:rPr>
                <w:sz w:val="22"/>
                <w:szCs w:val="22"/>
              </w:rPr>
              <w:t xml:space="preserve"> und bei abgelaufener technischer Gültigkeit.</w:t>
            </w:r>
          </w:p>
          <w:p>
            <w:pPr>
              <w:pStyle w:val="Listenabsatz"/>
              <w:numPr>
                <w:ilvl w:val="1"/>
                <w:numId w:val="5"/>
              </w:numPr>
              <w:ind w:left="828" w:hanging="357"/>
              <w:rPr>
                <w:sz w:val="22"/>
                <w:szCs w:val="22"/>
              </w:rPr>
            </w:pPr>
            <w:r>
              <w:rPr>
                <w:sz w:val="22"/>
                <w:szCs w:val="22"/>
              </w:rPr>
              <w:t>Problemfälle bei Impfzertifikaten</w:t>
            </w:r>
          </w:p>
          <w:p>
            <w:pPr>
              <w:pStyle w:val="Listenabsatz"/>
              <w:numPr>
                <w:ilvl w:val="2"/>
                <w:numId w:val="5"/>
              </w:numPr>
              <w:ind w:left="1190" w:hanging="357"/>
              <w:rPr>
                <w:sz w:val="22"/>
                <w:szCs w:val="22"/>
              </w:rPr>
            </w:pPr>
            <w:r>
              <w:rPr>
                <w:sz w:val="22"/>
                <w:szCs w:val="22"/>
              </w:rPr>
              <w:t xml:space="preserve">Janssen 1/1: Unterscheidung Einmalimpfung oder </w:t>
            </w:r>
            <w:proofErr w:type="spellStart"/>
            <w:r>
              <w:rPr>
                <w:sz w:val="22"/>
                <w:szCs w:val="22"/>
              </w:rPr>
              <w:t>Genesenenimpfung</w:t>
            </w:r>
            <w:proofErr w:type="spellEnd"/>
            <w:r>
              <w:rPr>
                <w:sz w:val="22"/>
                <w:szCs w:val="22"/>
              </w:rPr>
              <w:t xml:space="preserve"> unklar, werden in D unterschiedlich bewertet</w:t>
            </w:r>
          </w:p>
          <w:p>
            <w:pPr>
              <w:pStyle w:val="Listenabsatz"/>
              <w:numPr>
                <w:ilvl w:val="2"/>
                <w:numId w:val="5"/>
              </w:numPr>
              <w:ind w:left="1190" w:hanging="357"/>
              <w:rPr>
                <w:sz w:val="22"/>
                <w:szCs w:val="22"/>
              </w:rPr>
            </w:pPr>
            <w:r>
              <w:rPr>
                <w:sz w:val="22"/>
                <w:szCs w:val="22"/>
              </w:rPr>
              <w:t xml:space="preserve">Beliebiger &lt;Impfstoff 2/1: Zweitimpfung nach Janssen oder nach </w:t>
            </w:r>
            <w:proofErr w:type="spellStart"/>
            <w:r>
              <w:rPr>
                <w:sz w:val="22"/>
                <w:szCs w:val="22"/>
              </w:rPr>
              <w:t>Genesenenimpfung</w:t>
            </w:r>
            <w:proofErr w:type="spellEnd"/>
            <w:r>
              <w:rPr>
                <w:sz w:val="22"/>
                <w:szCs w:val="22"/>
              </w:rPr>
              <w:t>?</w:t>
            </w:r>
          </w:p>
          <w:p>
            <w:pPr>
              <w:pStyle w:val="Listenabsatz"/>
              <w:numPr>
                <w:ilvl w:val="2"/>
                <w:numId w:val="5"/>
              </w:numPr>
              <w:ind w:left="1190" w:hanging="357"/>
              <w:rPr>
                <w:sz w:val="22"/>
                <w:szCs w:val="22"/>
              </w:rPr>
            </w:pPr>
            <w:r>
              <w:rPr>
                <w:sz w:val="22"/>
                <w:szCs w:val="22"/>
              </w:rPr>
              <w:t xml:space="preserve">2/2 (alte Kodierung) nach </w:t>
            </w:r>
            <w:proofErr w:type="spellStart"/>
            <w:r>
              <w:rPr>
                <w:sz w:val="22"/>
                <w:szCs w:val="22"/>
              </w:rPr>
              <w:t>Genesenenimpfung</w:t>
            </w:r>
            <w:proofErr w:type="spellEnd"/>
            <w:r>
              <w:rPr>
                <w:sz w:val="22"/>
                <w:szCs w:val="22"/>
              </w:rPr>
              <w:t>: beide Zertifikate müssen vorliegen</w:t>
            </w:r>
          </w:p>
          <w:p>
            <w:pPr>
              <w:pStyle w:val="Listenabsatz"/>
              <w:numPr>
                <w:ilvl w:val="2"/>
                <w:numId w:val="5"/>
              </w:numPr>
              <w:ind w:left="1190" w:hanging="357"/>
              <w:rPr>
                <w:sz w:val="22"/>
                <w:szCs w:val="22"/>
              </w:rPr>
            </w:pPr>
            <w:r>
              <w:rPr>
                <w:sz w:val="22"/>
                <w:szCs w:val="22"/>
              </w:rPr>
              <w:lastRenderedPageBreak/>
              <w:t>2/1 (neue Kodierung) nach Einmalimpfung Janssen: zählt als Auffrischimpfung, wenn das erste Zertifikat gelöscht wird.</w:t>
            </w:r>
          </w:p>
          <w:p>
            <w:pPr>
              <w:pStyle w:val="Listenabsatz"/>
              <w:numPr>
                <w:ilvl w:val="1"/>
                <w:numId w:val="5"/>
              </w:numPr>
              <w:ind w:left="828" w:hanging="357"/>
              <w:rPr>
                <w:sz w:val="22"/>
                <w:szCs w:val="22"/>
              </w:rPr>
            </w:pPr>
            <w:r>
              <w:rPr>
                <w:sz w:val="22"/>
                <w:szCs w:val="22"/>
              </w:rPr>
              <w:t xml:space="preserve">Differenzierung bei </w:t>
            </w:r>
            <w:proofErr w:type="spellStart"/>
            <w:r>
              <w:rPr>
                <w:sz w:val="22"/>
                <w:szCs w:val="22"/>
              </w:rPr>
              <w:t>Genesenenzertifikaten</w:t>
            </w:r>
            <w:proofErr w:type="spellEnd"/>
          </w:p>
          <w:p>
            <w:pPr>
              <w:pStyle w:val="Listenabsatz"/>
              <w:numPr>
                <w:ilvl w:val="2"/>
                <w:numId w:val="5"/>
              </w:numPr>
              <w:ind w:left="1190" w:hanging="357"/>
              <w:rPr>
                <w:sz w:val="22"/>
                <w:szCs w:val="22"/>
              </w:rPr>
            </w:pPr>
            <w:r>
              <w:rPr>
                <w:sz w:val="22"/>
                <w:szCs w:val="22"/>
              </w:rPr>
              <w:t>Ungeimpft genesen</w:t>
            </w:r>
          </w:p>
          <w:p>
            <w:pPr>
              <w:pStyle w:val="Listenabsatz"/>
              <w:numPr>
                <w:ilvl w:val="2"/>
                <w:numId w:val="5"/>
              </w:numPr>
              <w:ind w:left="1190" w:hanging="357"/>
              <w:rPr>
                <w:sz w:val="22"/>
                <w:szCs w:val="22"/>
              </w:rPr>
            </w:pPr>
            <w:r>
              <w:rPr>
                <w:sz w:val="22"/>
                <w:szCs w:val="22"/>
              </w:rPr>
              <w:t>Unvollständig geimpft und genesen</w:t>
            </w:r>
          </w:p>
          <w:p>
            <w:pPr>
              <w:pStyle w:val="Listenabsatz"/>
              <w:numPr>
                <w:ilvl w:val="2"/>
                <w:numId w:val="5"/>
              </w:numPr>
              <w:ind w:left="1190" w:hanging="357"/>
              <w:rPr>
                <w:sz w:val="22"/>
                <w:szCs w:val="22"/>
              </w:rPr>
            </w:pPr>
            <w:r>
              <w:rPr>
                <w:sz w:val="22"/>
                <w:szCs w:val="22"/>
              </w:rPr>
              <w:t>Vollständig geimpft und genesen</w:t>
            </w:r>
          </w:p>
          <w:p>
            <w:pPr>
              <w:pStyle w:val="Listenabsatz"/>
              <w:ind w:left="828"/>
              <w:rPr>
                <w:sz w:val="22"/>
                <w:szCs w:val="22"/>
              </w:rPr>
            </w:pPr>
          </w:p>
          <w:p>
            <w:pPr>
              <w:pStyle w:val="Listenabsatz"/>
              <w:numPr>
                <w:ilvl w:val="1"/>
                <w:numId w:val="5"/>
              </w:numPr>
              <w:ind w:left="828" w:hanging="357"/>
              <w:rPr>
                <w:sz w:val="22"/>
                <w:szCs w:val="22"/>
              </w:rPr>
            </w:pPr>
            <w:r>
              <w:rPr>
                <w:sz w:val="22"/>
                <w:szCs w:val="22"/>
              </w:rPr>
              <w:t xml:space="preserve">Wird die grundsätzliche Sinnhaftigkeit diskutiert? Vielerorts fallen Beschränkungen weg. Ergänzungen im Regelwerk spielen im Moment keine so große Rolle mehr. </w:t>
            </w:r>
          </w:p>
          <w:p>
            <w:pPr>
              <w:pStyle w:val="Listenabsatz"/>
              <w:numPr>
                <w:ilvl w:val="2"/>
                <w:numId w:val="5"/>
              </w:numPr>
              <w:ind w:left="1190" w:hanging="357"/>
              <w:rPr>
                <w:sz w:val="22"/>
                <w:szCs w:val="22"/>
              </w:rPr>
            </w:pPr>
            <w:r>
              <w:rPr>
                <w:sz w:val="22"/>
                <w:szCs w:val="22"/>
              </w:rPr>
              <w:t xml:space="preserve">Das könnte sich im Herbst wieder ändern. Im Moment gelten die Regeln noch. </w:t>
            </w:r>
          </w:p>
          <w:p>
            <w:pPr>
              <w:pStyle w:val="Listenabsatz"/>
              <w:ind w:left="828"/>
              <w:rPr>
                <w:sz w:val="22"/>
                <w:szCs w:val="22"/>
              </w:rPr>
            </w:pPr>
          </w:p>
          <w:p>
            <w:pPr>
              <w:pStyle w:val="Listenabsatz"/>
              <w:numPr>
                <w:ilvl w:val="0"/>
                <w:numId w:val="5"/>
              </w:numPr>
              <w:ind w:left="470" w:hanging="357"/>
              <w:rPr>
                <w:b/>
                <w:sz w:val="22"/>
                <w:szCs w:val="22"/>
              </w:rPr>
            </w:pPr>
            <w:r>
              <w:rPr>
                <w:b/>
                <w:sz w:val="22"/>
                <w:szCs w:val="22"/>
              </w:rPr>
              <w:t xml:space="preserve">Science-Blog: Wie viele Menschen nutzen die CWA "aktiv"? </w:t>
            </w:r>
            <w:r>
              <w:rPr>
                <w:sz w:val="22"/>
                <w:szCs w:val="22"/>
              </w:rPr>
              <w:t xml:space="preserve">(Folien </w:t>
            </w:r>
            <w:hyperlink r:id="rId14" w:history="1">
              <w:r>
                <w:rPr>
                  <w:rStyle w:val="Hyperlink"/>
                  <w:sz w:val="22"/>
                  <w:szCs w:val="22"/>
                </w:rPr>
                <w:t>hi</w:t>
              </w:r>
              <w:r>
                <w:rPr>
                  <w:rStyle w:val="Hyperlink"/>
                  <w:sz w:val="22"/>
                  <w:szCs w:val="22"/>
                </w:rPr>
                <w:t>e</w:t>
              </w:r>
              <w:r>
                <w:rPr>
                  <w:rStyle w:val="Hyperlink"/>
                  <w:sz w:val="22"/>
                  <w:szCs w:val="22"/>
                </w:rPr>
                <w:t>r</w:t>
              </w:r>
            </w:hyperlink>
            <w:r>
              <w:rPr>
                <w:sz w:val="22"/>
                <w:szCs w:val="22"/>
              </w:rPr>
              <w:t>)</w:t>
            </w:r>
          </w:p>
          <w:p>
            <w:pPr>
              <w:pStyle w:val="Listenabsatz"/>
              <w:numPr>
                <w:ilvl w:val="1"/>
                <w:numId w:val="5"/>
              </w:numPr>
              <w:ind w:left="828" w:hanging="357"/>
              <w:rPr>
                <w:sz w:val="22"/>
                <w:szCs w:val="22"/>
              </w:rPr>
            </w:pPr>
            <w:r>
              <w:rPr>
                <w:sz w:val="22"/>
                <w:szCs w:val="22"/>
              </w:rPr>
              <w:t>Aktiv Nutzende</w:t>
            </w:r>
          </w:p>
          <w:p>
            <w:pPr>
              <w:pStyle w:val="Listenabsatz"/>
              <w:numPr>
                <w:ilvl w:val="2"/>
                <w:numId w:val="5"/>
              </w:numPr>
              <w:ind w:left="1190" w:hanging="357"/>
              <w:rPr>
                <w:sz w:val="22"/>
                <w:szCs w:val="22"/>
              </w:rPr>
            </w:pPr>
            <w:r>
              <w:rPr>
                <w:sz w:val="22"/>
                <w:szCs w:val="22"/>
              </w:rPr>
              <w:t>„Im eigentlichen Sinn“: Abruf eines Testergebnisses, Warnung Anderer, Risikoermittlung</w:t>
            </w:r>
          </w:p>
          <w:p>
            <w:pPr>
              <w:pStyle w:val="Listenabsatz"/>
              <w:numPr>
                <w:ilvl w:val="2"/>
                <w:numId w:val="5"/>
              </w:numPr>
              <w:ind w:left="1190" w:hanging="357"/>
              <w:rPr>
                <w:sz w:val="22"/>
                <w:szCs w:val="22"/>
              </w:rPr>
            </w:pPr>
            <w:r>
              <w:rPr>
                <w:sz w:val="22"/>
                <w:szCs w:val="22"/>
              </w:rPr>
              <w:t>„Im erweiterten Sinn“: Nutzung für Zertifikate</w:t>
            </w:r>
          </w:p>
          <w:p>
            <w:pPr>
              <w:pStyle w:val="Listenabsatz"/>
              <w:numPr>
                <w:ilvl w:val="2"/>
                <w:numId w:val="5"/>
              </w:numPr>
              <w:ind w:left="1190" w:hanging="357"/>
              <w:rPr>
                <w:sz w:val="22"/>
                <w:szCs w:val="22"/>
              </w:rPr>
            </w:pPr>
            <w:r>
              <w:rPr>
                <w:sz w:val="22"/>
                <w:szCs w:val="22"/>
              </w:rPr>
              <w:t>„Potentiell“: noch installiert</w:t>
            </w:r>
          </w:p>
          <w:p>
            <w:pPr>
              <w:pStyle w:val="Listenabsatz"/>
              <w:numPr>
                <w:ilvl w:val="1"/>
                <w:numId w:val="5"/>
              </w:numPr>
              <w:ind w:left="828" w:hanging="357"/>
              <w:rPr>
                <w:sz w:val="22"/>
                <w:szCs w:val="22"/>
              </w:rPr>
            </w:pPr>
            <w:r>
              <w:rPr>
                <w:sz w:val="22"/>
                <w:szCs w:val="22"/>
              </w:rPr>
              <w:t>Aktiv Nutzende - Warnende</w:t>
            </w:r>
          </w:p>
          <w:p>
            <w:pPr>
              <w:pStyle w:val="Listenabsatz"/>
              <w:numPr>
                <w:ilvl w:val="2"/>
                <w:numId w:val="5"/>
              </w:numPr>
              <w:ind w:left="1190" w:hanging="357"/>
              <w:rPr>
                <w:sz w:val="22"/>
                <w:szCs w:val="22"/>
              </w:rPr>
            </w:pPr>
            <w:r>
              <w:rPr>
                <w:sz w:val="22"/>
                <w:szCs w:val="22"/>
              </w:rPr>
              <w:t>Wie viele Personen warnen und wie hoch ist die Zahl der Neuinfektionen: Schätzung von 29,7 Mio. Nutzenden</w:t>
            </w:r>
          </w:p>
          <w:p>
            <w:pPr>
              <w:pStyle w:val="Listenabsatz"/>
              <w:numPr>
                <w:ilvl w:val="1"/>
                <w:numId w:val="5"/>
              </w:numPr>
              <w:ind w:left="828" w:hanging="357"/>
              <w:rPr>
                <w:sz w:val="22"/>
                <w:szCs w:val="22"/>
              </w:rPr>
            </w:pPr>
            <w:r>
              <w:rPr>
                <w:sz w:val="22"/>
                <w:szCs w:val="22"/>
              </w:rPr>
              <w:t>Aktiv Nutzende – CWA-Datenspende</w:t>
            </w:r>
          </w:p>
          <w:p>
            <w:pPr>
              <w:pStyle w:val="Listenabsatz"/>
              <w:numPr>
                <w:ilvl w:val="2"/>
                <w:numId w:val="5"/>
              </w:numPr>
              <w:ind w:left="1190" w:hanging="357"/>
              <w:rPr>
                <w:sz w:val="22"/>
                <w:szCs w:val="22"/>
              </w:rPr>
            </w:pPr>
            <w:r>
              <w:rPr>
                <w:sz w:val="22"/>
                <w:szCs w:val="22"/>
              </w:rPr>
              <w:t>Datenspendende in Bezug zum Spenderanteil, ähnliche Schätzung: 29,4 Mio. Nutzende</w:t>
            </w:r>
          </w:p>
          <w:p>
            <w:pPr>
              <w:pStyle w:val="Listenabsatz"/>
              <w:numPr>
                <w:ilvl w:val="1"/>
                <w:numId w:val="5"/>
              </w:numPr>
              <w:ind w:left="828" w:hanging="357"/>
              <w:rPr>
                <w:sz w:val="22"/>
                <w:szCs w:val="22"/>
              </w:rPr>
            </w:pPr>
            <w:r>
              <w:rPr>
                <w:sz w:val="22"/>
                <w:szCs w:val="22"/>
              </w:rPr>
              <w:t>Aktiv Nutzende - Heuristik</w:t>
            </w:r>
          </w:p>
          <w:p>
            <w:pPr>
              <w:pStyle w:val="Listenabsatz"/>
              <w:numPr>
                <w:ilvl w:val="2"/>
                <w:numId w:val="5"/>
              </w:numPr>
              <w:ind w:left="1190" w:hanging="357"/>
              <w:rPr>
                <w:sz w:val="22"/>
                <w:szCs w:val="22"/>
              </w:rPr>
            </w:pPr>
            <w:r>
              <w:rPr>
                <w:sz w:val="22"/>
                <w:szCs w:val="22"/>
              </w:rPr>
              <w:t>Wechsel des Smartphones nach ca. 2,6 Jahren, 1,7 Jahre CWA-Betrieb ergibt 39,3% Neuinstallationen, davon 2/3 Neu-Accounts: Schätzung von 28,3 Mio. Nutzenden</w:t>
            </w:r>
          </w:p>
          <w:p>
            <w:pPr>
              <w:pStyle w:val="Listenabsatz"/>
              <w:numPr>
                <w:ilvl w:val="1"/>
                <w:numId w:val="5"/>
              </w:numPr>
              <w:ind w:left="828" w:hanging="357"/>
              <w:rPr>
                <w:sz w:val="22"/>
                <w:szCs w:val="22"/>
                <w:lang w:val="en-US"/>
              </w:rPr>
            </w:pPr>
            <w:proofErr w:type="spellStart"/>
            <w:r>
              <w:rPr>
                <w:sz w:val="22"/>
                <w:szCs w:val="22"/>
                <w:lang w:val="en-US"/>
              </w:rPr>
              <w:t>Aktiv</w:t>
            </w:r>
            <w:proofErr w:type="spellEnd"/>
            <w:r>
              <w:rPr>
                <w:sz w:val="22"/>
                <w:szCs w:val="22"/>
                <w:lang w:val="en-US"/>
              </w:rPr>
              <w:t xml:space="preserve"> </w:t>
            </w:r>
            <w:proofErr w:type="spellStart"/>
            <w:r>
              <w:rPr>
                <w:sz w:val="22"/>
                <w:szCs w:val="22"/>
                <w:lang w:val="en-US"/>
              </w:rPr>
              <w:t>Nutzende</w:t>
            </w:r>
            <w:proofErr w:type="spellEnd"/>
            <w:r>
              <w:rPr>
                <w:sz w:val="22"/>
                <w:szCs w:val="22"/>
                <w:lang w:val="en-US"/>
              </w:rPr>
              <w:t xml:space="preserve"> – Google Play / Apple App Store</w:t>
            </w:r>
          </w:p>
          <w:p>
            <w:pPr>
              <w:pStyle w:val="Listenabsatz"/>
              <w:numPr>
                <w:ilvl w:val="2"/>
                <w:numId w:val="5"/>
              </w:numPr>
              <w:ind w:left="1190" w:hanging="357"/>
              <w:rPr>
                <w:sz w:val="22"/>
                <w:szCs w:val="22"/>
              </w:rPr>
            </w:pPr>
            <w:r>
              <w:rPr>
                <w:sz w:val="22"/>
                <w:szCs w:val="22"/>
              </w:rPr>
              <w:t>Google monatlich: 13,8 Mio.</w:t>
            </w:r>
          </w:p>
          <w:p>
            <w:pPr>
              <w:pStyle w:val="Listenabsatz"/>
              <w:numPr>
                <w:ilvl w:val="2"/>
                <w:numId w:val="5"/>
              </w:numPr>
              <w:ind w:left="1190" w:hanging="357"/>
              <w:rPr>
                <w:sz w:val="22"/>
                <w:szCs w:val="22"/>
              </w:rPr>
            </w:pPr>
            <w:r>
              <w:rPr>
                <w:sz w:val="22"/>
                <w:szCs w:val="22"/>
              </w:rPr>
              <w:t>Apple monatlich: 11,7 Mio.</w:t>
            </w:r>
          </w:p>
          <w:p>
            <w:pPr>
              <w:pStyle w:val="Listenabsatz"/>
              <w:numPr>
                <w:ilvl w:val="2"/>
                <w:numId w:val="5"/>
              </w:numPr>
              <w:ind w:left="1190" w:hanging="357"/>
              <w:rPr>
                <w:sz w:val="22"/>
                <w:szCs w:val="22"/>
              </w:rPr>
            </w:pPr>
            <w:r>
              <w:rPr>
                <w:sz w:val="22"/>
                <w:szCs w:val="22"/>
              </w:rPr>
              <w:t>Insg. 25,5 Mio. Nutzenden, keine Berücksichtigung der Funktionalität.</w:t>
            </w:r>
          </w:p>
          <w:p>
            <w:pPr>
              <w:pStyle w:val="Listenabsatz"/>
              <w:numPr>
                <w:ilvl w:val="1"/>
                <w:numId w:val="5"/>
              </w:numPr>
              <w:ind w:left="828" w:hanging="357"/>
              <w:rPr>
                <w:sz w:val="22"/>
                <w:szCs w:val="22"/>
              </w:rPr>
            </w:pPr>
            <w:r>
              <w:rPr>
                <w:sz w:val="22"/>
                <w:szCs w:val="22"/>
              </w:rPr>
              <w:t>Aktiv Nutzende – CWA-Backend-Daten</w:t>
            </w:r>
          </w:p>
          <w:p>
            <w:pPr>
              <w:pStyle w:val="Listenabsatz"/>
              <w:numPr>
                <w:ilvl w:val="2"/>
                <w:numId w:val="5"/>
              </w:numPr>
              <w:ind w:left="1190" w:hanging="357"/>
              <w:rPr>
                <w:sz w:val="22"/>
                <w:szCs w:val="22"/>
              </w:rPr>
            </w:pPr>
            <w:r>
              <w:rPr>
                <w:sz w:val="22"/>
                <w:szCs w:val="22"/>
              </w:rPr>
              <w:t>File-Downloads innerhalb 46 Tagen: 24,9 Mio. aktiv Nutzende</w:t>
            </w:r>
          </w:p>
          <w:p>
            <w:pPr>
              <w:pStyle w:val="Listenabsatz"/>
              <w:numPr>
                <w:ilvl w:val="1"/>
                <w:numId w:val="5"/>
              </w:numPr>
              <w:ind w:left="828" w:hanging="357"/>
              <w:rPr>
                <w:sz w:val="22"/>
                <w:szCs w:val="22"/>
              </w:rPr>
            </w:pPr>
            <w:r>
              <w:rPr>
                <w:sz w:val="22"/>
                <w:szCs w:val="22"/>
              </w:rPr>
              <w:t>Aktiv Nutzende – Übersicht</w:t>
            </w:r>
          </w:p>
          <w:p>
            <w:pPr>
              <w:pStyle w:val="Listenabsatz"/>
              <w:numPr>
                <w:ilvl w:val="2"/>
                <w:numId w:val="5"/>
              </w:numPr>
              <w:ind w:left="1190" w:hanging="357"/>
              <w:rPr>
                <w:sz w:val="22"/>
                <w:szCs w:val="22"/>
              </w:rPr>
            </w:pPr>
            <w:r>
              <w:rPr>
                <w:sz w:val="22"/>
                <w:szCs w:val="22"/>
              </w:rPr>
              <w:t>Ca. 35% der Bevölkerung und knapp die Hälfte der Zielgruppe nutzt die App aktiv.</w:t>
            </w:r>
          </w:p>
          <w:p>
            <w:pPr>
              <w:pStyle w:val="Listenabsatz"/>
              <w:numPr>
                <w:ilvl w:val="1"/>
                <w:numId w:val="5"/>
              </w:numPr>
              <w:ind w:left="828" w:hanging="357"/>
              <w:rPr>
                <w:sz w:val="22"/>
                <w:szCs w:val="22"/>
              </w:rPr>
            </w:pPr>
            <w:r>
              <w:rPr>
                <w:sz w:val="22"/>
                <w:szCs w:val="22"/>
              </w:rPr>
              <w:t>Check-In Funktionalität wird zunehmend genutzt.</w:t>
            </w:r>
          </w:p>
          <w:p>
            <w:pPr>
              <w:pStyle w:val="Listenabsatz"/>
              <w:numPr>
                <w:ilvl w:val="1"/>
                <w:numId w:val="5"/>
              </w:numPr>
              <w:ind w:left="828" w:hanging="357"/>
              <w:rPr>
                <w:sz w:val="22"/>
                <w:szCs w:val="22"/>
              </w:rPr>
            </w:pPr>
            <w:r>
              <w:rPr>
                <w:sz w:val="22"/>
                <w:szCs w:val="22"/>
              </w:rPr>
              <w:t>Wird nächste Woche im Blog erscheinen. Ging durch viele Abstimmungsrunden mit dem BMG.</w:t>
            </w:r>
          </w:p>
          <w:p>
            <w:pPr>
              <w:pStyle w:val="Listenabsatz"/>
              <w:ind w:left="828"/>
              <w:rPr>
                <w:sz w:val="22"/>
                <w:szCs w:val="22"/>
              </w:rPr>
            </w:pPr>
          </w:p>
          <w:p>
            <w:pPr>
              <w:pStyle w:val="Listenabsatz"/>
              <w:numPr>
                <w:ilvl w:val="0"/>
                <w:numId w:val="5"/>
              </w:numPr>
              <w:ind w:left="470" w:hanging="357"/>
              <w:rPr>
                <w:b/>
                <w:sz w:val="22"/>
                <w:szCs w:val="22"/>
              </w:rPr>
            </w:pPr>
            <w:r>
              <w:rPr>
                <w:sz w:val="22"/>
                <w:szCs w:val="22"/>
              </w:rPr>
              <w:t>Jetzt sollte die strategische Ausrichtung und die Möglichkeit der Weiternutzung als Vorbereitung für den Herbst überlegt werden. Ergebnisoffene Diskussion, was ist sinnvoll und was kann geleistet werden. Die App im Herbst wieder zu beleben ist schwierig.</w:t>
            </w:r>
          </w:p>
          <w:p>
            <w:pPr>
              <w:pStyle w:val="Listenabsatz"/>
              <w:numPr>
                <w:ilvl w:val="0"/>
                <w:numId w:val="5"/>
              </w:numPr>
              <w:ind w:left="470" w:hanging="357"/>
              <w:rPr>
                <w:sz w:val="22"/>
                <w:szCs w:val="22"/>
              </w:rPr>
            </w:pPr>
            <w:r>
              <w:rPr>
                <w:sz w:val="22"/>
                <w:szCs w:val="22"/>
              </w:rPr>
              <w:t>Backend-Daten: Gehen die Befunde von Laboren direkt an die Handys der Benutzer?</w:t>
            </w:r>
          </w:p>
          <w:p>
            <w:pPr>
              <w:pStyle w:val="Listenabsatz"/>
              <w:numPr>
                <w:ilvl w:val="1"/>
                <w:numId w:val="5"/>
              </w:numPr>
              <w:ind w:left="828" w:hanging="357"/>
              <w:rPr>
                <w:sz w:val="22"/>
                <w:szCs w:val="22"/>
              </w:rPr>
            </w:pPr>
            <w:r>
              <w:rPr>
                <w:sz w:val="22"/>
                <w:szCs w:val="22"/>
              </w:rPr>
              <w:lastRenderedPageBreak/>
              <w:t>Testergebnisse werden anonym ins Backend eingestellt. Die Apps schauen regelmäßig nach, ob ein Ergebnis da ist.</w:t>
            </w:r>
          </w:p>
          <w:p>
            <w:pPr>
              <w:pStyle w:val="Listenabsatz"/>
              <w:numPr>
                <w:ilvl w:val="0"/>
                <w:numId w:val="5"/>
              </w:numPr>
              <w:ind w:left="470" w:hanging="357"/>
              <w:rPr>
                <w:sz w:val="22"/>
                <w:szCs w:val="22"/>
              </w:rPr>
            </w:pPr>
            <w:r>
              <w:rPr>
                <w:sz w:val="22"/>
                <w:szCs w:val="22"/>
              </w:rPr>
              <w:t>Zu Beginn der Pandemie wäre die CWA am sinnvollsten gewesen, wenn sie die GA hätte unterstützen können. Wie kann die Zusammenarbeit der App mit den GA verbessert werden?</w:t>
            </w:r>
          </w:p>
          <w:p>
            <w:pPr>
              <w:pStyle w:val="Listenabsatz"/>
              <w:numPr>
                <w:ilvl w:val="1"/>
                <w:numId w:val="5"/>
              </w:numPr>
              <w:ind w:left="828" w:hanging="357"/>
              <w:rPr>
                <w:sz w:val="22"/>
                <w:szCs w:val="22"/>
              </w:rPr>
            </w:pPr>
            <w:r>
              <w:rPr>
                <w:sz w:val="22"/>
                <w:szCs w:val="22"/>
              </w:rPr>
              <w:t xml:space="preserve">Basiert auf individueller Information für Individuum. </w:t>
            </w:r>
          </w:p>
          <w:p>
            <w:pPr>
              <w:pStyle w:val="Listenabsatz"/>
              <w:numPr>
                <w:ilvl w:val="1"/>
                <w:numId w:val="5"/>
              </w:numPr>
              <w:ind w:left="828" w:hanging="357"/>
              <w:rPr>
                <w:sz w:val="22"/>
                <w:szCs w:val="22"/>
              </w:rPr>
            </w:pPr>
            <w:r>
              <w:rPr>
                <w:sz w:val="22"/>
                <w:szCs w:val="22"/>
              </w:rPr>
              <w:t>Es wurde in Gesprächen mit GA über Use Cases nachgedacht. Durch Überlastung der GA kaum Weiterentwicklung in diese Richtung.</w:t>
            </w:r>
          </w:p>
          <w:p>
            <w:pPr>
              <w:pStyle w:val="Listenabsatz"/>
              <w:numPr>
                <w:ilvl w:val="1"/>
                <w:numId w:val="5"/>
              </w:numPr>
              <w:ind w:left="828" w:hanging="357"/>
              <w:rPr>
                <w:sz w:val="22"/>
                <w:szCs w:val="22"/>
              </w:rPr>
            </w:pPr>
            <w:r>
              <w:rPr>
                <w:sz w:val="22"/>
                <w:szCs w:val="22"/>
              </w:rPr>
              <w:t>Ein wurden ein paar Features entwickelt, z.B. Kontakt</w:t>
            </w:r>
            <w:r>
              <w:rPr>
                <w:sz w:val="22"/>
                <w:szCs w:val="22"/>
              </w:rPr>
              <w:softHyphen/>
              <w:t>tagebuch auslesen und dem GA zu Verfügung stellen oder die Stellvertreterwarnung, d.h. bei Events Code anfordern und stellvertretende CWA-Nutzer warnen. Diese wurden von den GA kaum genutzt.</w:t>
            </w:r>
          </w:p>
          <w:p>
            <w:pPr>
              <w:pStyle w:val="Listenabsatz"/>
              <w:numPr>
                <w:ilvl w:val="1"/>
                <w:numId w:val="5"/>
              </w:numPr>
              <w:ind w:left="828" w:hanging="357"/>
              <w:rPr>
                <w:sz w:val="22"/>
                <w:szCs w:val="22"/>
              </w:rPr>
            </w:pPr>
            <w:r>
              <w:rPr>
                <w:sz w:val="22"/>
                <w:szCs w:val="22"/>
              </w:rPr>
              <w:t>Wie kann die Information über unerkannte Kontakte ans GA weitergeleitet werden? Müsste dann obligatorisch und personenbezogen sein. Schwierig, personenbezogene Daten wirken sich neg. auf Akzeptanz der App aus.</w:t>
            </w:r>
          </w:p>
          <w:p>
            <w:pPr>
              <w:pStyle w:val="Listenabsatz"/>
              <w:numPr>
                <w:ilvl w:val="1"/>
                <w:numId w:val="5"/>
              </w:numPr>
              <w:ind w:left="828" w:hanging="357"/>
              <w:rPr>
                <w:sz w:val="22"/>
                <w:szCs w:val="22"/>
              </w:rPr>
            </w:pPr>
            <w:r>
              <w:rPr>
                <w:sz w:val="22"/>
                <w:szCs w:val="22"/>
              </w:rPr>
              <w:t>Viele derjenigen, die durch die App gewarnt wurden, wären aus Kapazitätsgründen nie vom GA gewarnt worden. Was wäre die Alternative zur App, wenn die GA es nicht schaffen alle zu warnen?</w:t>
            </w:r>
          </w:p>
          <w:p>
            <w:pPr>
              <w:pStyle w:val="Listenabsatz"/>
              <w:numPr>
                <w:ilvl w:val="1"/>
                <w:numId w:val="5"/>
              </w:numPr>
              <w:ind w:left="828" w:hanging="357"/>
              <w:rPr>
                <w:sz w:val="22"/>
                <w:szCs w:val="22"/>
              </w:rPr>
            </w:pPr>
            <w:r>
              <w:rPr>
                <w:sz w:val="22"/>
                <w:szCs w:val="22"/>
              </w:rPr>
              <w:t xml:space="preserve">Konzept und Pilotstudie wären sinnvoll. Projekt über mehrere Jahre, vielleicht als Pandemievorbereitung. </w:t>
            </w:r>
          </w:p>
          <w:p>
            <w:pPr>
              <w:pStyle w:val="Listenabsatz"/>
              <w:numPr>
                <w:ilvl w:val="1"/>
                <w:numId w:val="5"/>
              </w:numPr>
              <w:ind w:left="828" w:hanging="357"/>
              <w:rPr>
                <w:sz w:val="22"/>
                <w:szCs w:val="22"/>
              </w:rPr>
            </w:pPr>
            <w:r>
              <w:rPr>
                <w:sz w:val="22"/>
                <w:szCs w:val="22"/>
              </w:rPr>
              <w:t>Bei Kommunikation mit GA sollte immer DEMIS mitgedacht werden.</w:t>
            </w:r>
          </w:p>
          <w:p>
            <w:pPr>
              <w:pStyle w:val="Listenabsatz"/>
              <w:numPr>
                <w:ilvl w:val="0"/>
                <w:numId w:val="5"/>
              </w:numPr>
              <w:ind w:left="470" w:hanging="357"/>
              <w:rPr>
                <w:sz w:val="22"/>
                <w:szCs w:val="22"/>
              </w:rPr>
            </w:pPr>
            <w:r>
              <w:rPr>
                <w:sz w:val="22"/>
                <w:szCs w:val="22"/>
              </w:rPr>
              <w:t>Apple hat Frist bis September eingeräumt, bis dahin können Zertifikate zusammen mit Risikoeinschätzung in einer App betrieben werden. Idee, in Zukunft nicht mehr auf Google und Apple zurückzugreifen.</w:t>
            </w:r>
          </w:p>
          <w:p>
            <w:pPr>
              <w:pStyle w:val="Listenabsatz"/>
              <w:numPr>
                <w:ilvl w:val="0"/>
                <w:numId w:val="5"/>
              </w:numPr>
              <w:ind w:left="470" w:hanging="357"/>
              <w:rPr>
                <w:sz w:val="22"/>
                <w:szCs w:val="22"/>
              </w:rPr>
            </w:pPr>
            <w:r>
              <w:rPr>
                <w:sz w:val="22"/>
                <w:szCs w:val="22"/>
              </w:rPr>
              <w:t xml:space="preserve">Wenn keine neue, sehr virulente Variante kommt, wird das Kontaktpersonenmanagement außerhalb von Risikosettings eingestellt werden. </w:t>
            </w:r>
          </w:p>
          <w:p>
            <w:pPr>
              <w:pStyle w:val="Listenabsatz"/>
              <w:numPr>
                <w:ilvl w:val="1"/>
                <w:numId w:val="5"/>
              </w:numPr>
              <w:ind w:left="828" w:hanging="357"/>
              <w:rPr>
                <w:sz w:val="22"/>
                <w:szCs w:val="22"/>
              </w:rPr>
            </w:pPr>
            <w:r>
              <w:rPr>
                <w:sz w:val="22"/>
                <w:szCs w:val="22"/>
              </w:rPr>
              <w:t xml:space="preserve">Ist dann nicht die Warnung besonders sinnvoll? </w:t>
            </w:r>
          </w:p>
          <w:p>
            <w:pPr>
              <w:pStyle w:val="Listenabsatz"/>
              <w:numPr>
                <w:ilvl w:val="0"/>
                <w:numId w:val="5"/>
              </w:numPr>
              <w:ind w:left="470" w:hanging="357"/>
              <w:rPr>
                <w:sz w:val="22"/>
                <w:szCs w:val="22"/>
              </w:rPr>
            </w:pPr>
            <w:r>
              <w:rPr>
                <w:sz w:val="22"/>
                <w:szCs w:val="22"/>
              </w:rPr>
              <w:t xml:space="preserve">Keine extra Ressourcen für CWA, 2 MA aus Abt. 3 sind zurzeit dauerhaft für CWA abgestellt. Wenn Ausbau geplant ist, kann dies nicht aus Hausmitteln bestritten werden. </w:t>
            </w:r>
          </w:p>
          <w:p>
            <w:pPr>
              <w:pStyle w:val="Listenabsatz"/>
              <w:numPr>
                <w:ilvl w:val="0"/>
                <w:numId w:val="5"/>
              </w:numPr>
              <w:ind w:left="470" w:hanging="357"/>
              <w:rPr>
                <w:sz w:val="22"/>
                <w:szCs w:val="22"/>
              </w:rPr>
            </w:pPr>
            <w:r>
              <w:rPr>
                <w:sz w:val="22"/>
                <w:szCs w:val="22"/>
              </w:rPr>
              <w:t xml:space="preserve">Es sollte viel stärker thematisiert werden, von welchen Daueraufgaben sich das RKI in Hinblick auf den Strategiewechsel trennen kann. </w:t>
            </w:r>
          </w:p>
          <w:p>
            <w:pPr>
              <w:pStyle w:val="Listenabsatz"/>
              <w:numPr>
                <w:ilvl w:val="0"/>
                <w:numId w:val="5"/>
              </w:numPr>
              <w:ind w:left="470" w:hanging="357"/>
              <w:rPr>
                <w:sz w:val="22"/>
                <w:szCs w:val="22"/>
              </w:rPr>
            </w:pPr>
            <w:r>
              <w:rPr>
                <w:sz w:val="22"/>
                <w:szCs w:val="22"/>
              </w:rPr>
              <w:t xml:space="preserve">Kosten für Betrieb: viele Millionen </w:t>
            </w:r>
          </w:p>
          <w:p>
            <w:pPr>
              <w:pStyle w:val="Listenabsatz"/>
              <w:numPr>
                <w:ilvl w:val="0"/>
                <w:numId w:val="5"/>
              </w:numPr>
              <w:ind w:left="470" w:hanging="357"/>
              <w:rPr>
                <w:sz w:val="22"/>
                <w:szCs w:val="22"/>
              </w:rPr>
            </w:pPr>
            <w:r>
              <w:rPr>
                <w:sz w:val="22"/>
                <w:szCs w:val="22"/>
              </w:rPr>
              <w:t>Perspektivisch wird es keine Quarantäne von Kontaktpersonen mehr geben, eine Warnung wird nicht mehr nötig sein. Anlass für CWA fällt weg.</w:t>
            </w:r>
          </w:p>
          <w:p>
            <w:pPr>
              <w:pStyle w:val="Listenabsatz"/>
              <w:numPr>
                <w:ilvl w:val="0"/>
                <w:numId w:val="5"/>
              </w:numPr>
              <w:ind w:left="470" w:hanging="357"/>
              <w:rPr>
                <w:sz w:val="22"/>
                <w:szCs w:val="22"/>
              </w:rPr>
            </w:pPr>
            <w:r>
              <w:rPr>
                <w:sz w:val="22"/>
                <w:szCs w:val="22"/>
              </w:rPr>
              <w:t xml:space="preserve">Es wird ein neues Infektionsschutzgesetz geschrieben werden, nach dem Vorbild des Schweizer </w:t>
            </w:r>
            <w:proofErr w:type="spellStart"/>
            <w:r>
              <w:rPr>
                <w:sz w:val="22"/>
                <w:szCs w:val="22"/>
              </w:rPr>
              <w:t>Epidemiengesetzes</w:t>
            </w:r>
            <w:proofErr w:type="spellEnd"/>
            <w:r>
              <w:rPr>
                <w:sz w:val="22"/>
                <w:szCs w:val="22"/>
              </w:rPr>
              <w:t>. Festlegung von Maßnahmen, die zu bestimmten Situation aktiviert werden können. Hier klare Haltung zu einer App wie CWA.</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r>
              <w:rPr>
                <w:sz w:val="22"/>
                <w:szCs w:val="22"/>
              </w:rPr>
              <w:t>(Benzler)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FG31</w:t>
            </w:r>
          </w:p>
          <w:p>
            <w:pPr>
              <w:rPr>
                <w:sz w:val="22"/>
                <w:szCs w:val="22"/>
              </w:rPr>
            </w:pPr>
            <w:r>
              <w:rPr>
                <w:sz w:val="22"/>
                <w:szCs w:val="22"/>
              </w:rPr>
              <w:t>(Kirchner)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Schmich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r>
              <w:rPr>
                <w:sz w:val="22"/>
                <w:szCs w:val="22"/>
              </w:rPr>
              <w:t>Wieler</w:t>
            </w:r>
          </w:p>
          <w:p>
            <w:pPr>
              <w:rPr>
                <w:sz w:val="22"/>
                <w:szCs w:val="22"/>
              </w:rPr>
            </w:pPr>
          </w:p>
        </w:tc>
      </w:tr>
      <w:tr>
        <w:tc>
          <w:tcPr>
            <w:tcW w:w="684" w:type="dxa"/>
          </w:tcPr>
          <w:p>
            <w:pPr>
              <w:rPr>
                <w:b/>
              </w:rPr>
            </w:pPr>
            <w:r>
              <w:lastRenderedPageBreak/>
              <w:br w:type="page"/>
            </w:r>
            <w:r>
              <w:rPr>
                <w:b/>
              </w:rPr>
              <w:t>4</w:t>
            </w:r>
          </w:p>
        </w:tc>
        <w:tc>
          <w:tcPr>
            <w:tcW w:w="6795" w:type="dxa"/>
          </w:tcPr>
          <w:p>
            <w:pPr>
              <w:spacing w:line="276" w:lineRule="auto"/>
              <w:rPr>
                <w:b/>
                <w:sz w:val="28"/>
              </w:rPr>
            </w:pPr>
            <w:r>
              <w:rPr>
                <w:b/>
                <w:sz w:val="28"/>
              </w:rPr>
              <w:t>Aktuelle Risikobewertung</w:t>
            </w:r>
          </w:p>
          <w:p>
            <w:pPr>
              <w:pStyle w:val="Listenabsatz"/>
              <w:numPr>
                <w:ilvl w:val="0"/>
                <w:numId w:val="25"/>
              </w:numPr>
              <w:ind w:left="453" w:hanging="340"/>
              <w:rPr>
                <w:sz w:val="22"/>
                <w:szCs w:val="22"/>
              </w:rPr>
            </w:pPr>
            <w:r>
              <w:rPr>
                <w:sz w:val="22"/>
                <w:szCs w:val="22"/>
              </w:rPr>
              <w:t xml:space="preserve">Entscheidung des BMG bezüglich Nicht-Veröffentlichung (Vorschlag </w:t>
            </w:r>
            <w:hyperlink r:id="rId15" w:history="1">
              <w:r>
                <w:rPr>
                  <w:rStyle w:val="Hyperlink"/>
                  <w:sz w:val="22"/>
                  <w:szCs w:val="22"/>
                </w:rPr>
                <w:t>hi</w:t>
              </w:r>
              <w:r>
                <w:rPr>
                  <w:rStyle w:val="Hyperlink"/>
                  <w:sz w:val="22"/>
                  <w:szCs w:val="22"/>
                </w:rPr>
                <w:t>e</w:t>
              </w:r>
              <w:r>
                <w:rPr>
                  <w:rStyle w:val="Hyperlink"/>
                  <w:sz w:val="22"/>
                  <w:szCs w:val="22"/>
                </w:rPr>
                <w:t>r</w:t>
              </w:r>
            </w:hyperlink>
            <w:r>
              <w:rPr>
                <w:sz w:val="22"/>
                <w:szCs w:val="22"/>
              </w:rPr>
              <w:t>)</w:t>
            </w:r>
          </w:p>
          <w:p>
            <w:pPr>
              <w:pStyle w:val="Listenabsatz"/>
              <w:numPr>
                <w:ilvl w:val="1"/>
                <w:numId w:val="5"/>
              </w:numPr>
              <w:ind w:left="828" w:hanging="357"/>
              <w:rPr>
                <w:sz w:val="22"/>
                <w:szCs w:val="22"/>
              </w:rPr>
            </w:pPr>
            <w:r>
              <w:rPr>
                <w:sz w:val="22"/>
                <w:szCs w:val="22"/>
              </w:rPr>
              <w:lastRenderedPageBreak/>
              <w:t xml:space="preserve">Reduzierung des Risikos von sehr hoch auf hoch wurde vom BMG abgelehnt. Text der Risikobewertung ist nicht mehr auf aktuellem Stand. </w:t>
            </w:r>
          </w:p>
          <w:p>
            <w:pPr>
              <w:pStyle w:val="Listenabsatz"/>
              <w:numPr>
                <w:ilvl w:val="1"/>
                <w:numId w:val="5"/>
              </w:numPr>
              <w:ind w:left="828" w:hanging="357"/>
              <w:rPr>
                <w:sz w:val="22"/>
                <w:szCs w:val="22"/>
              </w:rPr>
            </w:pPr>
            <w:r>
              <w:rPr>
                <w:sz w:val="22"/>
                <w:szCs w:val="22"/>
              </w:rPr>
              <w:t>Vorschlag: Risikobewertung auf sehr hoch belassen und Text der überarbeiteten Risikobewertung verwenden.</w:t>
            </w:r>
          </w:p>
          <w:p>
            <w:pPr>
              <w:pStyle w:val="Listenabsatz"/>
              <w:numPr>
                <w:ilvl w:val="1"/>
                <w:numId w:val="5"/>
              </w:numPr>
              <w:ind w:left="828" w:hanging="357"/>
              <w:rPr>
                <w:sz w:val="22"/>
                <w:szCs w:val="22"/>
              </w:rPr>
            </w:pPr>
            <w:r>
              <w:rPr>
                <w:sz w:val="22"/>
                <w:szCs w:val="22"/>
              </w:rPr>
              <w:t>Im Text sind weitere Anpassungen nötig, damit nicht inkonsistent zur Risikobewertung.</w:t>
            </w:r>
          </w:p>
          <w:p>
            <w:pPr>
              <w:pStyle w:val="Listenabsatz"/>
              <w:numPr>
                <w:ilvl w:val="1"/>
                <w:numId w:val="5"/>
              </w:numPr>
              <w:ind w:left="828" w:hanging="357"/>
              <w:rPr>
                <w:sz w:val="22"/>
                <w:szCs w:val="22"/>
              </w:rPr>
            </w:pPr>
            <w:r>
              <w:rPr>
                <w:sz w:val="22"/>
                <w:szCs w:val="22"/>
              </w:rPr>
              <w:t>Argument ist höhere Übertragbarkeit von BA.2 und noch wenige Erkenntnisse zu den Auswirkungen der zunehmenden Verbreitung von BA.2.</w:t>
            </w:r>
          </w:p>
          <w:p>
            <w:pPr>
              <w:pStyle w:val="Listenabsatz"/>
              <w:numPr>
                <w:ilvl w:val="1"/>
                <w:numId w:val="5"/>
              </w:numPr>
              <w:ind w:left="828" w:hanging="357"/>
              <w:rPr>
                <w:sz w:val="22"/>
                <w:szCs w:val="22"/>
              </w:rPr>
            </w:pPr>
            <w:r>
              <w:rPr>
                <w:sz w:val="22"/>
                <w:szCs w:val="22"/>
              </w:rPr>
              <w:t>Rückfrage, ob die inhaltlichen Anpassungen die Einschätzung des RKI bez. der Unsicherheit des Verlaufs in den nächsten Wochen wiederspiegeln? In diesem Fall sollte dies konkret im Text ergänzt werden. Da es sich bei der Risikobewertung um die fachliche Einschätzung des RKI handelt.</w:t>
            </w:r>
          </w:p>
          <w:p>
            <w:pPr>
              <w:pStyle w:val="Listenabsatz"/>
              <w:numPr>
                <w:ilvl w:val="1"/>
                <w:numId w:val="5"/>
              </w:numPr>
              <w:ind w:left="828" w:hanging="357"/>
              <w:rPr>
                <w:sz w:val="22"/>
                <w:szCs w:val="22"/>
              </w:rPr>
            </w:pPr>
            <w:r>
              <w:rPr>
                <w:sz w:val="22"/>
                <w:szCs w:val="22"/>
              </w:rPr>
              <w:t xml:space="preserve">Text ist veraltet. „Hoch“ wurde vom BMG verwehrt. </w:t>
            </w:r>
          </w:p>
          <w:p>
            <w:pPr>
              <w:pStyle w:val="Listenabsatz"/>
              <w:numPr>
                <w:ilvl w:val="1"/>
                <w:numId w:val="5"/>
              </w:numPr>
              <w:ind w:left="828" w:hanging="357"/>
              <w:rPr>
                <w:sz w:val="22"/>
                <w:szCs w:val="22"/>
              </w:rPr>
            </w:pPr>
            <w:r>
              <w:rPr>
                <w:sz w:val="22"/>
                <w:szCs w:val="22"/>
              </w:rPr>
              <w:t xml:space="preserve">Weitere Option, Risikobewertung von der Webseite zu nehmen, wäre sehr eskalierend. </w:t>
            </w:r>
          </w:p>
          <w:p>
            <w:pPr>
              <w:pStyle w:val="Listenabsatz"/>
              <w:numPr>
                <w:ilvl w:val="1"/>
                <w:numId w:val="5"/>
              </w:numPr>
              <w:ind w:left="828" w:hanging="357"/>
              <w:rPr>
                <w:sz w:val="22"/>
                <w:szCs w:val="22"/>
              </w:rPr>
            </w:pPr>
            <w:r>
              <w:rPr>
                <w:sz w:val="22"/>
                <w:szCs w:val="22"/>
              </w:rPr>
              <w:t xml:space="preserve">Weitere Möglichkeit wäre, Risikobewertung nicht zu überarbeiten und nicht mehr darauf zu verweisen. </w:t>
            </w:r>
          </w:p>
          <w:p>
            <w:pPr>
              <w:pStyle w:val="Listenabsatz"/>
              <w:numPr>
                <w:ilvl w:val="1"/>
                <w:numId w:val="5"/>
              </w:numPr>
              <w:ind w:left="828" w:hanging="357"/>
              <w:rPr>
                <w:sz w:val="22"/>
                <w:szCs w:val="22"/>
              </w:rPr>
            </w:pPr>
            <w:r>
              <w:rPr>
                <w:sz w:val="22"/>
                <w:szCs w:val="22"/>
              </w:rPr>
              <w:t>Veraltete Version auf Webseite fällt negativ auf uns zurück. Aktualisierung des Textes und nicht dazu twittern ist besser.</w:t>
            </w:r>
          </w:p>
          <w:p>
            <w:pPr>
              <w:rPr>
                <w:i/>
                <w:sz w:val="22"/>
                <w:szCs w:val="22"/>
              </w:rPr>
            </w:pPr>
            <w:proofErr w:type="spellStart"/>
            <w:r>
              <w:rPr>
                <w:i/>
                <w:sz w:val="22"/>
                <w:szCs w:val="22"/>
              </w:rPr>
              <w:t>ToDo</w:t>
            </w:r>
            <w:proofErr w:type="spellEnd"/>
            <w:r>
              <w:rPr>
                <w:i/>
                <w:sz w:val="22"/>
                <w:szCs w:val="22"/>
              </w:rPr>
              <w:t xml:space="preserve">: Überarbeitung, wie besprochen mit Hinweis auf BA.2 (Entwicklung noch schwer einzuschätzen)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bookmarkStart w:id="0" w:name="_GoBack"/>
            <w:bookmarkEnd w:id="0"/>
          </w:p>
          <w:p>
            <w:pPr>
              <w:rPr>
                <w:sz w:val="22"/>
                <w:szCs w:val="22"/>
              </w:rPr>
            </w:pPr>
          </w:p>
          <w:p>
            <w:pPr>
              <w:rPr>
                <w:sz w:val="22"/>
                <w:szCs w:val="22"/>
              </w:rPr>
            </w:pPr>
            <w:r>
              <w:rPr>
                <w:sz w:val="22"/>
                <w:szCs w:val="22"/>
              </w:rPr>
              <w:t>Wieler</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r>
              <w:rPr>
                <w:sz w:val="22"/>
                <w:szCs w:val="22"/>
              </w:rPr>
              <w:t>Wenchel</w:t>
            </w:r>
          </w:p>
          <w:p>
            <w:pPr>
              <w:rPr>
                <w:sz w:val="22"/>
                <w:szCs w:val="22"/>
              </w:rPr>
            </w:pPr>
          </w:p>
          <w:p>
            <w:pPr>
              <w:rPr>
                <w:sz w:val="22"/>
                <w:szCs w:val="22"/>
              </w:rPr>
            </w:pPr>
          </w:p>
        </w:tc>
      </w:tr>
      <w:tr>
        <w:tc>
          <w:tcPr>
            <w:tcW w:w="684" w:type="dxa"/>
          </w:tcPr>
          <w:p>
            <w:pPr>
              <w:rPr>
                <w:b/>
              </w:rPr>
            </w:pPr>
            <w:r>
              <w:rPr>
                <w:b/>
              </w:rPr>
              <w:lastRenderedPageBreak/>
              <w:t>5</w:t>
            </w:r>
          </w:p>
        </w:tc>
        <w:tc>
          <w:tcPr>
            <w:tcW w:w="6795" w:type="dxa"/>
          </w:tcPr>
          <w:p>
            <w:pPr>
              <w:pStyle w:val="1"/>
              <w:spacing w:after="0"/>
            </w:pPr>
            <w:r>
              <w:t xml:space="preserve">Expertenbeirat </w:t>
            </w:r>
            <w:r>
              <w:rPr>
                <w:i/>
                <w:color w:val="95B3D7" w:themeColor="accent1" w:themeTint="99"/>
                <w:sz w:val="20"/>
              </w:rPr>
              <w:t>(</w:t>
            </w:r>
            <w:proofErr w:type="spellStart"/>
            <w:r>
              <w:rPr>
                <w:i/>
                <w:color w:val="95B3D7" w:themeColor="accent1" w:themeTint="99"/>
                <w:sz w:val="20"/>
              </w:rPr>
              <w:t>mo.</w:t>
            </w:r>
            <w:proofErr w:type="spellEnd"/>
            <w:r>
              <w:rPr>
                <w:i/>
                <w:color w:val="95B3D7" w:themeColor="accent1" w:themeTint="99"/>
                <w:sz w:val="20"/>
              </w:rPr>
              <w:t xml:space="preserve"> Vorbereitung, mi. Nachbereitung)</w:t>
            </w:r>
          </w:p>
          <w:p>
            <w:pPr>
              <w:pStyle w:val="Listenabsatz"/>
              <w:numPr>
                <w:ilvl w:val="0"/>
                <w:numId w:val="25"/>
              </w:numPr>
              <w:ind w:left="453" w:hanging="340"/>
              <w:rPr>
                <w:sz w:val="22"/>
                <w:szCs w:val="22"/>
              </w:rPr>
            </w:pPr>
            <w:r>
              <w:rPr>
                <w:sz w:val="22"/>
                <w:szCs w:val="22"/>
              </w:rPr>
              <w:t xml:space="preserve">  (nicht berichtet) </w:t>
            </w:r>
          </w:p>
          <w:p>
            <w:pPr>
              <w:spacing w:line="276" w:lineRule="auto"/>
              <w:rPr>
                <w:b/>
                <w:sz w:val="22"/>
                <w:szCs w:val="22"/>
              </w:rPr>
            </w:pPr>
          </w:p>
        </w:tc>
        <w:tc>
          <w:tcPr>
            <w:tcW w:w="1492" w:type="dxa"/>
          </w:tcPr>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Schul- und Kitapaket versendet</w:t>
            </w:r>
          </w:p>
          <w:p>
            <w:pPr>
              <w:pStyle w:val="Listenabsatz"/>
              <w:numPr>
                <w:ilvl w:val="0"/>
                <w:numId w:val="25"/>
              </w:numPr>
              <w:ind w:left="453" w:hanging="340"/>
              <w:rPr>
                <w:sz w:val="22"/>
                <w:szCs w:val="22"/>
              </w:rPr>
            </w:pPr>
            <w:r>
              <w:rPr>
                <w:sz w:val="22"/>
                <w:szCs w:val="22"/>
              </w:rPr>
              <w:t>Infoblatt zu Pflege- und Gesundheitsberufen mit Impfstoff</w:t>
            </w:r>
            <w:r>
              <w:rPr>
                <w:sz w:val="22"/>
                <w:szCs w:val="22"/>
              </w:rPr>
              <w:softHyphen/>
              <w:t>übersicht vorbereitet, in fachlicher Abstimmung mit RKI</w:t>
            </w:r>
          </w:p>
          <w:p>
            <w:pPr>
              <w:pStyle w:val="Listenabsatz"/>
              <w:numPr>
                <w:ilvl w:val="0"/>
                <w:numId w:val="25"/>
              </w:numPr>
              <w:ind w:left="453" w:hanging="340"/>
              <w:rPr>
                <w:sz w:val="22"/>
                <w:szCs w:val="22"/>
              </w:rPr>
            </w:pPr>
            <w:proofErr w:type="spellStart"/>
            <w:r>
              <w:rPr>
                <w:sz w:val="22"/>
                <w:szCs w:val="22"/>
              </w:rPr>
              <w:t>Novavax</w:t>
            </w:r>
            <w:proofErr w:type="spellEnd"/>
            <w:r>
              <w:rPr>
                <w:sz w:val="22"/>
                <w:szCs w:val="22"/>
              </w:rPr>
              <w:t xml:space="preserve"> hat noch keine Zulassung als </w:t>
            </w:r>
            <w:proofErr w:type="spellStart"/>
            <w:r>
              <w:rPr>
                <w:sz w:val="22"/>
                <w:szCs w:val="22"/>
              </w:rPr>
              <w:t>booster</w:t>
            </w:r>
            <w:proofErr w:type="spellEnd"/>
            <w:r>
              <w:rPr>
                <w:sz w:val="22"/>
                <w:szCs w:val="22"/>
              </w:rPr>
              <w:t xml:space="preserve">. Befürchtung im Steuerungskreis, dass dies den Anreiz für Impfvorsichtige verringert. </w:t>
            </w:r>
          </w:p>
          <w:p>
            <w:pPr>
              <w:pStyle w:val="Listenabsatz"/>
              <w:numPr>
                <w:ilvl w:val="1"/>
                <w:numId w:val="5"/>
              </w:numPr>
              <w:ind w:left="828" w:hanging="357"/>
              <w:rPr>
                <w:sz w:val="22"/>
                <w:szCs w:val="22"/>
              </w:rPr>
            </w:pPr>
            <w:r>
              <w:rPr>
                <w:sz w:val="22"/>
                <w:szCs w:val="22"/>
              </w:rPr>
              <w:t xml:space="preserve">STIKO: Bei Kontraindikationen kann damit </w:t>
            </w:r>
            <w:proofErr w:type="spellStart"/>
            <w:r>
              <w:rPr>
                <w:sz w:val="22"/>
                <w:szCs w:val="22"/>
              </w:rPr>
              <w:t>geboostert</w:t>
            </w:r>
            <w:proofErr w:type="spellEnd"/>
            <w:r>
              <w:rPr>
                <w:sz w:val="22"/>
                <w:szCs w:val="22"/>
              </w:rPr>
              <w:t xml:space="preserve"> werden, STIKO erstellt FAQ hierzu. -&gt; Infoblatt soll vom RKI kritisch geprüft werden.</w:t>
            </w:r>
          </w:p>
          <w:p>
            <w:pPr>
              <w:pStyle w:val="Listenabsatz"/>
              <w:numPr>
                <w:ilvl w:val="1"/>
                <w:numId w:val="5"/>
              </w:numPr>
              <w:ind w:left="828" w:hanging="357"/>
              <w:rPr>
                <w:sz w:val="22"/>
                <w:szCs w:val="22"/>
              </w:rPr>
            </w:pPr>
            <w:proofErr w:type="spellStart"/>
            <w:r>
              <w:rPr>
                <w:sz w:val="22"/>
                <w:szCs w:val="22"/>
              </w:rPr>
              <w:t>Novavax</w:t>
            </w:r>
            <w:proofErr w:type="spellEnd"/>
            <w:r>
              <w:rPr>
                <w:sz w:val="22"/>
                <w:szCs w:val="22"/>
              </w:rPr>
              <w:t xml:space="preserve"> ist noch nicht fürs </w:t>
            </w:r>
            <w:proofErr w:type="spellStart"/>
            <w:r>
              <w:rPr>
                <w:sz w:val="22"/>
                <w:szCs w:val="22"/>
              </w:rPr>
              <w:t>boostern</w:t>
            </w:r>
            <w:proofErr w:type="spellEnd"/>
            <w:r>
              <w:rPr>
                <w:sz w:val="22"/>
                <w:szCs w:val="22"/>
              </w:rPr>
              <w:t xml:space="preserve"> zugelassen, bei Unverträglichkeit aber möglich.</w:t>
            </w:r>
          </w:p>
          <w:p>
            <w:pPr>
              <w:pStyle w:val="Listenabsatz"/>
              <w:numPr>
                <w:ilvl w:val="1"/>
                <w:numId w:val="5"/>
              </w:numPr>
              <w:ind w:left="828" w:hanging="357"/>
              <w:rPr>
                <w:sz w:val="22"/>
                <w:szCs w:val="22"/>
              </w:rPr>
            </w:pPr>
            <w:r>
              <w:rPr>
                <w:sz w:val="22"/>
                <w:szCs w:val="22"/>
              </w:rPr>
              <w:t>Punkt für Steuerungskreis heute Nachmittag</w:t>
            </w:r>
          </w:p>
          <w:p>
            <w:pPr>
              <w:pStyle w:val="Listenabsatz"/>
              <w:numPr>
                <w:ilvl w:val="0"/>
                <w:numId w:val="25"/>
              </w:numPr>
              <w:ind w:left="453" w:hanging="340"/>
              <w:rPr>
                <w:sz w:val="22"/>
                <w:szCs w:val="22"/>
              </w:rPr>
            </w:pPr>
            <w:r>
              <w:rPr>
                <w:sz w:val="22"/>
                <w:szCs w:val="22"/>
              </w:rPr>
              <w:t xml:space="preserve">Handreichung zur einrichtungsbezogenen Impfpflicht ist in Abstimmung. </w:t>
            </w:r>
          </w:p>
          <w:p>
            <w:pPr>
              <w:pStyle w:val="Listenabsatz"/>
              <w:numPr>
                <w:ilvl w:val="0"/>
                <w:numId w:val="25"/>
              </w:numPr>
              <w:ind w:left="453" w:hanging="340"/>
              <w:rPr>
                <w:sz w:val="22"/>
                <w:szCs w:val="22"/>
              </w:rPr>
            </w:pPr>
            <w:r>
              <w:rPr>
                <w:sz w:val="22"/>
                <w:szCs w:val="22"/>
              </w:rPr>
              <w:t>„Impfen hilft“ Kampagne wird vorangetrieben.</w:t>
            </w:r>
          </w:p>
          <w:p>
            <w:pPr>
              <w:pStyle w:val="Listenabsatz"/>
              <w:numPr>
                <w:ilvl w:val="0"/>
                <w:numId w:val="25"/>
              </w:numPr>
              <w:ind w:left="453" w:hanging="340"/>
              <w:rPr>
                <w:sz w:val="22"/>
                <w:szCs w:val="22"/>
              </w:rPr>
            </w:pPr>
            <w:r>
              <w:rPr>
                <w:sz w:val="22"/>
                <w:szCs w:val="22"/>
              </w:rPr>
              <w:t>Regionale und lokale Aktionen für spezielle Zielgruppen werden mit Informationsangeboten unterstützt.</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Wenig Presseanfragen, COVID ist im Zuge der Ukrainekrise in der Aufmerksamkeit nach unten gerückt.</w:t>
            </w:r>
          </w:p>
          <w:p>
            <w:pPr>
              <w:pStyle w:val="Listenabsatz"/>
              <w:numPr>
                <w:ilvl w:val="0"/>
                <w:numId w:val="5"/>
              </w:numPr>
              <w:ind w:left="453" w:hanging="340"/>
              <w:rPr>
                <w:sz w:val="22"/>
                <w:szCs w:val="22"/>
              </w:rPr>
            </w:pPr>
            <w:r>
              <w:rPr>
                <w:sz w:val="22"/>
                <w:szCs w:val="22"/>
              </w:rPr>
              <w:lastRenderedPageBreak/>
              <w:t xml:space="preserve">Risikobewertung wird nach Überarbeitung auf der Webseite in der Spalte mit aktualisierten Dokumenten erscheinen. </w:t>
            </w:r>
          </w:p>
          <w:p>
            <w:pPr>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(nicht berichtet)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p>
            <w:pPr>
              <w:rPr>
                <w:sz w:val="22"/>
                <w:szCs w:val="22"/>
              </w:rPr>
            </w:pPr>
            <w:r>
              <w:rPr>
                <w:sz w:val="22"/>
                <w:szCs w:val="22"/>
              </w:rPr>
              <w:t>P1</w:t>
            </w: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line="276" w:lineRule="auto"/>
              <w:ind w:left="340" w:hanging="340"/>
              <w:rPr>
                <w:b/>
                <w:sz w:val="22"/>
              </w:rPr>
            </w:pPr>
            <w:r>
              <w:rPr>
                <w:b/>
                <w:sz w:val="22"/>
              </w:rPr>
              <w:t>RKI-intern</w:t>
            </w:r>
          </w:p>
          <w:p>
            <w:pPr>
              <w:pStyle w:val="Listenabsatz"/>
              <w:numPr>
                <w:ilvl w:val="0"/>
                <w:numId w:val="5"/>
              </w:numPr>
              <w:ind w:left="453" w:hanging="340"/>
              <w:rPr>
                <w:sz w:val="22"/>
                <w:szCs w:val="22"/>
              </w:rPr>
            </w:pPr>
            <w:r>
              <w:rPr>
                <w:sz w:val="22"/>
                <w:szCs w:val="22"/>
              </w:rPr>
              <w:t>Gründe für Bericht zur Einstellung der Testzahlerfassung?</w:t>
            </w:r>
          </w:p>
          <w:p>
            <w:pPr>
              <w:pStyle w:val="Listenabsatz"/>
              <w:numPr>
                <w:ilvl w:val="1"/>
                <w:numId w:val="5"/>
              </w:numPr>
              <w:ind w:left="828" w:hanging="357"/>
              <w:rPr>
                <w:sz w:val="22"/>
                <w:szCs w:val="22"/>
              </w:rPr>
            </w:pPr>
            <w:r>
              <w:rPr>
                <w:sz w:val="22"/>
                <w:szCs w:val="22"/>
              </w:rPr>
              <w:t xml:space="preserve">Großer Aufwand ohne zusätzliche Mittel, war von Anfang an als Übergang gedacht. </w:t>
            </w:r>
          </w:p>
          <w:p>
            <w:pPr>
              <w:pStyle w:val="Listenabsatz"/>
              <w:numPr>
                <w:ilvl w:val="1"/>
                <w:numId w:val="5"/>
              </w:numPr>
              <w:ind w:left="828" w:hanging="357"/>
              <w:rPr>
                <w:sz w:val="22"/>
                <w:szCs w:val="22"/>
              </w:rPr>
            </w:pPr>
            <w:proofErr w:type="spellStart"/>
            <w:r>
              <w:rPr>
                <w:sz w:val="22"/>
                <w:szCs w:val="22"/>
              </w:rPr>
              <w:t>Positivenanteil</w:t>
            </w:r>
            <w:proofErr w:type="spellEnd"/>
            <w:r>
              <w:rPr>
                <w:sz w:val="22"/>
                <w:szCs w:val="22"/>
              </w:rPr>
              <w:t xml:space="preserve"> unterscheidet sich nur minimal von ARS-Daten.</w:t>
            </w:r>
          </w:p>
          <w:p>
            <w:pPr>
              <w:pStyle w:val="Listenabsatz"/>
              <w:numPr>
                <w:ilvl w:val="1"/>
                <w:numId w:val="5"/>
              </w:numPr>
              <w:ind w:left="828" w:hanging="357"/>
              <w:rPr>
                <w:sz w:val="22"/>
                <w:szCs w:val="22"/>
              </w:rPr>
            </w:pPr>
            <w:r>
              <w:rPr>
                <w:sz w:val="22"/>
                <w:szCs w:val="22"/>
              </w:rPr>
              <w:t>Vorschlag ans BMG §7.4 zu reinstallieren, dann könnte ein Großteil der Abfrage über DEMIS aktualisiert werden, mit deutlich geringerem Aufwand und größerer Vollständigkeit.</w:t>
            </w:r>
          </w:p>
          <w:p>
            <w:pPr>
              <w:pStyle w:val="Listenabsatz"/>
              <w:numPr>
                <w:ilvl w:val="1"/>
                <w:numId w:val="5"/>
              </w:numPr>
              <w:ind w:left="828" w:hanging="357"/>
              <w:rPr>
                <w:sz w:val="22"/>
                <w:szCs w:val="22"/>
              </w:rPr>
            </w:pPr>
            <w:r>
              <w:rPr>
                <w:sz w:val="22"/>
                <w:szCs w:val="22"/>
              </w:rPr>
              <w:t>Testkapazitäten könnten weiter abgefragt werden, die Frage ist wie oft das erforderlich wäre.</w:t>
            </w:r>
          </w:p>
          <w:p>
            <w:pPr>
              <w:pStyle w:val="Listenabsatz"/>
              <w:numPr>
                <w:ilvl w:val="1"/>
                <w:numId w:val="5"/>
              </w:numPr>
              <w:ind w:left="828" w:hanging="357"/>
              <w:rPr>
                <w:sz w:val="22"/>
                <w:szCs w:val="22"/>
              </w:rPr>
            </w:pPr>
            <w:r>
              <w:rPr>
                <w:sz w:val="22"/>
                <w:szCs w:val="22"/>
              </w:rPr>
              <w:t>Gründe als Stichpunkte voranstellen, als Fortschritt der Digitalisierung beschreiben.</w:t>
            </w:r>
          </w:p>
          <w:p>
            <w:pPr>
              <w:pStyle w:val="Listenabsatz"/>
              <w:ind w:left="828"/>
              <w:rPr>
                <w:sz w:val="22"/>
                <w:szCs w:val="22"/>
              </w:rPr>
            </w:pPr>
          </w:p>
          <w:p>
            <w:pPr>
              <w:pStyle w:val="Listenabsatz"/>
              <w:numPr>
                <w:ilvl w:val="0"/>
                <w:numId w:val="5"/>
              </w:numPr>
              <w:ind w:left="453" w:hanging="340"/>
              <w:rPr>
                <w:sz w:val="22"/>
                <w:szCs w:val="22"/>
              </w:rPr>
            </w:pPr>
            <w:r>
              <w:rPr>
                <w:sz w:val="22"/>
                <w:szCs w:val="22"/>
              </w:rPr>
              <w:t>Diskrepanz der Isolationszeit von Bewohnern und Beschäftigten</w:t>
            </w:r>
          </w:p>
          <w:p>
            <w:pPr>
              <w:pStyle w:val="Listenabsatz"/>
              <w:numPr>
                <w:ilvl w:val="1"/>
                <w:numId w:val="5"/>
              </w:numPr>
              <w:ind w:left="828" w:hanging="357"/>
              <w:rPr>
                <w:sz w:val="22"/>
                <w:szCs w:val="22"/>
              </w:rPr>
            </w:pPr>
            <w:r>
              <w:rPr>
                <w:sz w:val="22"/>
                <w:szCs w:val="22"/>
              </w:rPr>
              <w:t>Grafik wurde anpasst, parallel Erläuterungstext mitan</w:t>
            </w:r>
            <w:r>
              <w:rPr>
                <w:sz w:val="22"/>
                <w:szCs w:val="22"/>
              </w:rPr>
              <w:softHyphen/>
              <w:t xml:space="preserve">gepasst -&gt; Vorabstimmung mit Fr. </w:t>
            </w:r>
            <w:r>
              <w:rPr>
                <w:sz w:val="22"/>
                <w:szCs w:val="22"/>
                <w:highlight w:val="yellow"/>
              </w:rPr>
              <w:t>Ma??,</w:t>
            </w:r>
            <w:r>
              <w:rPr>
                <w:sz w:val="22"/>
                <w:szCs w:val="22"/>
              </w:rPr>
              <w:t xml:space="preserve"> dann an AGI</w:t>
            </w:r>
          </w:p>
          <w:p>
            <w:pPr>
              <w:pStyle w:val="Listenabsatz"/>
              <w:ind w:left="828"/>
              <w:rPr>
                <w:sz w:val="22"/>
                <w:szCs w:val="22"/>
              </w:rPr>
            </w:pPr>
          </w:p>
          <w:p>
            <w:pPr>
              <w:pStyle w:val="Listenabsatz"/>
              <w:numPr>
                <w:ilvl w:val="0"/>
                <w:numId w:val="5"/>
              </w:numPr>
              <w:ind w:left="453" w:hanging="340"/>
              <w:rPr>
                <w:sz w:val="22"/>
                <w:szCs w:val="22"/>
              </w:rPr>
            </w:pPr>
            <w:r>
              <w:rPr>
                <w:sz w:val="22"/>
                <w:szCs w:val="22"/>
              </w:rPr>
              <w:t xml:space="preserve">Evaluation von Testungen in Einrichtungen als Vorbereitung auf den Herbst 2022 wurde auf Montag verschoben. </w:t>
            </w: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Seifried</w:t>
            </w: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r>
              <w:rPr>
                <w:sz w:val="22"/>
                <w:szCs w:val="22"/>
              </w:rPr>
              <w:t>Niebank</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p>
            <w:pPr>
              <w:ind w:left="113"/>
              <w:rPr>
                <w:i/>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Gestern Daten aus UK: unter Omikron 80% Schutz vor Hospitalisierung, 95% Schutz vor Mortalität; kein Unterschied bei Wirksamkeit der Impfung zwischen BA.1 und BA.2.</w:t>
            </w:r>
          </w:p>
          <w:p>
            <w:pPr>
              <w:pStyle w:val="Listenabsatz"/>
              <w:numPr>
                <w:ilvl w:val="0"/>
                <w:numId w:val="5"/>
              </w:numPr>
              <w:ind w:left="453" w:hanging="340"/>
              <w:rPr>
                <w:sz w:val="22"/>
                <w:szCs w:val="22"/>
              </w:rPr>
            </w:pPr>
            <w:r>
              <w:rPr>
                <w:sz w:val="22"/>
                <w:szCs w:val="22"/>
              </w:rPr>
              <w:t xml:space="preserve">Publikation der BKK </w:t>
            </w:r>
            <w:proofErr w:type="spellStart"/>
            <w:r>
              <w:rPr>
                <w:sz w:val="22"/>
                <w:szCs w:val="22"/>
              </w:rPr>
              <w:t>Provita</w:t>
            </w:r>
            <w:proofErr w:type="spellEnd"/>
            <w:r>
              <w:rPr>
                <w:sz w:val="22"/>
                <w:szCs w:val="22"/>
              </w:rPr>
              <w:t xml:space="preserve"> auf Basis von Abrechnungsdaten: deutlich mehr Impfnebenwirkungen, Interview in der Welt</w:t>
            </w:r>
          </w:p>
          <w:p>
            <w:pPr>
              <w:pStyle w:val="Listenabsatz"/>
              <w:numPr>
                <w:ilvl w:val="1"/>
                <w:numId w:val="5"/>
              </w:numPr>
              <w:ind w:left="828" w:hanging="357"/>
              <w:rPr>
                <w:sz w:val="22"/>
                <w:szCs w:val="22"/>
              </w:rPr>
            </w:pPr>
            <w:r>
              <w:rPr>
                <w:sz w:val="22"/>
                <w:szCs w:val="22"/>
              </w:rPr>
              <w:t>BMG will Pressemitteilung dazu machen.</w:t>
            </w:r>
          </w:p>
          <w:p>
            <w:pPr>
              <w:pStyle w:val="Listenabsatz"/>
              <w:numPr>
                <w:ilvl w:val="1"/>
                <w:numId w:val="5"/>
              </w:numPr>
              <w:ind w:left="828" w:hanging="357"/>
              <w:rPr>
                <w:sz w:val="22"/>
                <w:szCs w:val="22"/>
              </w:rPr>
            </w:pPr>
            <w:r>
              <w:rPr>
                <w:sz w:val="22"/>
                <w:szCs w:val="22"/>
              </w:rPr>
              <w:t>BKK Dachverband hat sich davon distanziert.</w:t>
            </w:r>
          </w:p>
          <w:p>
            <w:pPr>
              <w:rPr>
                <w:sz w:val="22"/>
                <w:szCs w:val="22"/>
              </w:rPr>
            </w:pP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(Wichmann)</w:t>
            </w:r>
          </w:p>
        </w:tc>
      </w:tr>
      <w:tr>
        <w:tc>
          <w:tcPr>
            <w:tcW w:w="684" w:type="dxa"/>
          </w:tcPr>
          <w:p>
            <w:pPr>
              <w:rPr>
                <w:b/>
              </w:rPr>
            </w:pPr>
            <w:r>
              <w:rPr>
                <w:b/>
              </w:rPr>
              <w:t>10</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hatte in den letzten 4 Wochen 637 Proben, davon: </w:t>
            </w:r>
          </w:p>
          <w:p>
            <w:pPr>
              <w:pStyle w:val="Listenabsatz"/>
              <w:numPr>
                <w:ilvl w:val="1"/>
                <w:numId w:val="5"/>
              </w:numPr>
              <w:ind w:left="828" w:hanging="357"/>
              <w:rPr>
                <w:sz w:val="22"/>
                <w:szCs w:val="22"/>
              </w:rPr>
            </w:pPr>
            <w:r>
              <w:rPr>
                <w:sz w:val="22"/>
                <w:szCs w:val="22"/>
              </w:rPr>
              <w:t>168 SARS-CoV-2</w:t>
            </w:r>
          </w:p>
          <w:p>
            <w:pPr>
              <w:pStyle w:val="Listenabsatz"/>
              <w:numPr>
                <w:ilvl w:val="1"/>
                <w:numId w:val="5"/>
              </w:numPr>
              <w:ind w:left="828" w:hanging="357"/>
              <w:rPr>
                <w:sz w:val="22"/>
                <w:szCs w:val="22"/>
              </w:rPr>
            </w:pPr>
            <w:r>
              <w:rPr>
                <w:sz w:val="22"/>
                <w:szCs w:val="22"/>
              </w:rPr>
              <w:t xml:space="preserve">91 </w:t>
            </w:r>
            <w:proofErr w:type="spellStart"/>
            <w:r>
              <w:rPr>
                <w:sz w:val="22"/>
                <w:szCs w:val="22"/>
              </w:rPr>
              <w:t>Rhinovirus</w:t>
            </w:r>
            <w:proofErr w:type="spellEnd"/>
          </w:p>
          <w:p>
            <w:pPr>
              <w:pStyle w:val="Listenabsatz"/>
              <w:numPr>
                <w:ilvl w:val="1"/>
                <w:numId w:val="5"/>
              </w:numPr>
              <w:ind w:left="828" w:hanging="357"/>
              <w:rPr>
                <w:sz w:val="22"/>
                <w:szCs w:val="22"/>
              </w:rPr>
            </w:pPr>
            <w:r>
              <w:rPr>
                <w:sz w:val="22"/>
                <w:szCs w:val="22"/>
              </w:rPr>
              <w:t>16 Influenzavirus</w:t>
            </w:r>
          </w:p>
          <w:p>
            <w:pPr>
              <w:pStyle w:val="Listenabsatz"/>
              <w:numPr>
                <w:ilvl w:val="1"/>
                <w:numId w:val="5"/>
              </w:numPr>
              <w:ind w:left="828" w:hanging="357"/>
              <w:rPr>
                <w:sz w:val="22"/>
                <w:szCs w:val="22"/>
              </w:rPr>
            </w:pPr>
            <w:r>
              <w:rPr>
                <w:sz w:val="22"/>
                <w:szCs w:val="22"/>
              </w:rPr>
              <w:t xml:space="preserve">56 saisonale (endemische) Coronaviren </w:t>
            </w:r>
          </w:p>
          <w:p>
            <w:pPr>
              <w:pStyle w:val="Listenabsatz"/>
              <w:numPr>
                <w:ilvl w:val="1"/>
                <w:numId w:val="5"/>
              </w:numPr>
              <w:ind w:left="828" w:hanging="357"/>
              <w:rPr>
                <w:sz w:val="22"/>
                <w:szCs w:val="22"/>
              </w:rPr>
            </w:pPr>
            <w:r>
              <w:rPr>
                <w:sz w:val="22"/>
                <w:szCs w:val="22"/>
                <w:highlight w:val="yellow"/>
              </w:rPr>
              <w:t>??</w:t>
            </w:r>
            <w:r>
              <w:rPr>
                <w:sz w:val="22"/>
                <w:szCs w:val="22"/>
              </w:rPr>
              <w:t xml:space="preserve"> Parainfluenzavirus</w:t>
            </w:r>
          </w:p>
          <w:p>
            <w:pPr>
              <w:pStyle w:val="Listenabsatz"/>
              <w:numPr>
                <w:ilvl w:val="1"/>
                <w:numId w:val="5"/>
              </w:numPr>
              <w:ind w:left="828" w:hanging="357"/>
              <w:rPr>
                <w:sz w:val="22"/>
                <w:szCs w:val="22"/>
              </w:rPr>
            </w:pPr>
            <w:r>
              <w:rPr>
                <w:sz w:val="22"/>
                <w:szCs w:val="22"/>
                <w:highlight w:val="yellow"/>
              </w:rPr>
              <w:t>??</w:t>
            </w:r>
            <w:r>
              <w:rPr>
                <w:sz w:val="22"/>
                <w:szCs w:val="22"/>
              </w:rPr>
              <w:t xml:space="preserve"> Metapneumovirus</w:t>
            </w:r>
          </w:p>
          <w:p>
            <w:pPr>
              <w:pStyle w:val="Listenabsatz"/>
              <w:numPr>
                <w:ilvl w:val="1"/>
                <w:numId w:val="5"/>
              </w:numPr>
              <w:ind w:left="828" w:hanging="357"/>
              <w:rPr>
                <w:sz w:val="22"/>
                <w:szCs w:val="22"/>
              </w:rPr>
            </w:pPr>
            <w:r>
              <w:rPr>
                <w:sz w:val="22"/>
                <w:szCs w:val="22"/>
                <w:highlight w:val="yellow"/>
              </w:rPr>
              <w:lastRenderedPageBreak/>
              <w:t>??</w:t>
            </w:r>
            <w:r>
              <w:rPr>
                <w:sz w:val="22"/>
                <w:szCs w:val="22"/>
              </w:rPr>
              <w:t xml:space="preserve"> RSV</w:t>
            </w:r>
          </w:p>
          <w:p>
            <w:pPr>
              <w:pStyle w:val="Listenabsatz"/>
              <w:ind w:left="907"/>
              <w:rPr>
                <w:sz w:val="22"/>
                <w:szCs w:val="22"/>
              </w:rPr>
            </w:pP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einige Isolate von BA.1 und BA.2</w:t>
            </w: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(Nitsche)</w:t>
            </w: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berichtet)</w:t>
            </w:r>
          </w:p>
          <w:p>
            <w:pPr>
              <w:rPr>
                <w:sz w:val="22"/>
                <w:szCs w:val="22"/>
              </w:rPr>
            </w:pP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 (nicht berichtet)</w:t>
            </w:r>
          </w:p>
          <w:p>
            <w:pPr>
              <w:pStyle w:val="Listenabsatz"/>
              <w:ind w:left="453"/>
              <w:rPr>
                <w:sz w:val="22"/>
                <w:szCs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 xml:space="preserve">Internationale Kommunikation (Folien </w:t>
            </w:r>
            <w:hyperlink r:id="rId16" w:history="1">
              <w:r>
                <w:rPr>
                  <w:rStyle w:val="Hyperlink"/>
                  <w:sz w:val="22"/>
                </w:rPr>
                <w:t>hi</w:t>
              </w:r>
              <w:r>
                <w:rPr>
                  <w:rStyle w:val="Hyperlink"/>
                  <w:sz w:val="22"/>
                </w:rPr>
                <w:t>e</w:t>
              </w:r>
              <w:r>
                <w:rPr>
                  <w:rStyle w:val="Hyperlink"/>
                  <w:sz w:val="22"/>
                </w:rPr>
                <w:t>r</w:t>
              </w:r>
            </w:hyperlink>
            <w:r>
              <w:rPr>
                <w:sz w:val="22"/>
              </w:rPr>
              <w:t>)</w:t>
            </w:r>
          </w:p>
          <w:p>
            <w:pPr>
              <w:pStyle w:val="Listenabsatz"/>
              <w:numPr>
                <w:ilvl w:val="1"/>
                <w:numId w:val="5"/>
              </w:numPr>
              <w:ind w:left="828" w:hanging="357"/>
              <w:rPr>
                <w:sz w:val="22"/>
                <w:szCs w:val="22"/>
              </w:rPr>
            </w:pPr>
            <w:r>
              <w:rPr>
                <w:sz w:val="22"/>
                <w:szCs w:val="22"/>
              </w:rPr>
              <w:t>2020-2022 gingen im Schnitt ca. 350 Aktivitäten/Woche ein.</w:t>
            </w:r>
          </w:p>
          <w:p>
            <w:pPr>
              <w:pStyle w:val="Listenabsatz"/>
              <w:numPr>
                <w:ilvl w:val="1"/>
                <w:numId w:val="5"/>
              </w:numPr>
              <w:ind w:left="828" w:hanging="357"/>
              <w:rPr>
                <w:sz w:val="22"/>
                <w:szCs w:val="22"/>
              </w:rPr>
            </w:pPr>
            <w:r>
              <w:rPr>
                <w:sz w:val="22"/>
                <w:szCs w:val="22"/>
              </w:rPr>
              <w:t xml:space="preserve">Ende 2. KW </w:t>
            </w:r>
            <w:proofErr w:type="spellStart"/>
            <w:r>
              <w:rPr>
                <w:sz w:val="22"/>
                <w:szCs w:val="22"/>
              </w:rPr>
              <w:t>Depriorisierung</w:t>
            </w:r>
            <w:proofErr w:type="spellEnd"/>
            <w:r>
              <w:rPr>
                <w:sz w:val="22"/>
                <w:szCs w:val="22"/>
              </w:rPr>
              <w:t xml:space="preserve"> der int. </w:t>
            </w:r>
            <w:proofErr w:type="spellStart"/>
            <w:r>
              <w:rPr>
                <w:sz w:val="22"/>
                <w:szCs w:val="22"/>
              </w:rPr>
              <w:t>KoNa</w:t>
            </w:r>
            <w:proofErr w:type="spellEnd"/>
            <w:r>
              <w:rPr>
                <w:sz w:val="22"/>
                <w:szCs w:val="22"/>
              </w:rPr>
              <w:t xml:space="preserve">, seitdem wurde weniger </w:t>
            </w:r>
            <w:proofErr w:type="spellStart"/>
            <w:r>
              <w:rPr>
                <w:sz w:val="22"/>
                <w:szCs w:val="22"/>
              </w:rPr>
              <w:t>depriorisiert</w:t>
            </w:r>
            <w:proofErr w:type="spellEnd"/>
            <w:r>
              <w:rPr>
                <w:sz w:val="22"/>
                <w:szCs w:val="22"/>
              </w:rPr>
              <w:t xml:space="preserve">. </w:t>
            </w:r>
          </w:p>
          <w:p>
            <w:pPr>
              <w:pStyle w:val="Listenabsatz"/>
              <w:numPr>
                <w:ilvl w:val="1"/>
                <w:numId w:val="5"/>
              </w:numPr>
              <w:ind w:left="828" w:hanging="357"/>
              <w:rPr>
                <w:sz w:val="22"/>
                <w:szCs w:val="22"/>
              </w:rPr>
            </w:pPr>
            <w:r>
              <w:rPr>
                <w:sz w:val="22"/>
                <w:szCs w:val="22"/>
              </w:rPr>
              <w:t>66% der Aktivitäten aus dem Ausland, davon 74% aus Österreich, 9% aus Polen, 5% aus der Schweiz.</w:t>
            </w:r>
          </w:p>
          <w:p>
            <w:pPr>
              <w:pStyle w:val="Listenabsatz"/>
              <w:numPr>
                <w:ilvl w:val="0"/>
                <w:numId w:val="5"/>
              </w:numPr>
              <w:ind w:left="453" w:hanging="340"/>
              <w:rPr>
                <w:sz w:val="22"/>
              </w:rPr>
            </w:pPr>
            <w:r>
              <w:rPr>
                <w:sz w:val="22"/>
                <w:szCs w:val="22"/>
              </w:rPr>
              <w:t>Plan für weitere Reduktion: Anfrage an Länder, ob noch Interesse besteht, Fälle zu teilen und Informationen zu erhalten.</w:t>
            </w:r>
            <w:r>
              <w:rPr>
                <w:sz w:val="22"/>
              </w:rPr>
              <w:t xml:space="preserve"> </w:t>
            </w:r>
          </w:p>
          <w:p>
            <w:pPr>
              <w:pStyle w:val="Listenabsatz"/>
              <w:numPr>
                <w:ilvl w:val="1"/>
                <w:numId w:val="5"/>
              </w:numPr>
              <w:ind w:left="828" w:hanging="357"/>
              <w:rPr>
                <w:sz w:val="22"/>
                <w:szCs w:val="22"/>
              </w:rPr>
            </w:pPr>
            <w:r>
              <w:rPr>
                <w:sz w:val="22"/>
                <w:szCs w:val="22"/>
              </w:rPr>
              <w:t>Außer bei besonderen Varianten sagen alle, die sich bisher zurückgemeldet haben, dass sie die Information nicht mehr erhalten möchten.</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w:t>
            </w:r>
            <w:proofErr w:type="gramStart"/>
            <w:r>
              <w:rPr>
                <w:sz w:val="22"/>
                <w:szCs w:val="22"/>
              </w:rPr>
              <w:t>an der Heiden</w:t>
            </w:r>
            <w:proofErr w:type="gramEnd"/>
            <w:r>
              <w:rPr>
                <w:sz w:val="22"/>
                <w:szCs w:val="22"/>
              </w:rPr>
              <w:t>)</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Erinnerung an Zwischenbericht</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28.02.2022,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13:09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 w:numId="31">
    <w:abstractNumId w:val="4"/>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105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paragraph" w:customStyle="1" w:styleId="1">
    <w:name w:val="Ü1"/>
    <w:basedOn w:val="Standard"/>
    <w:link w:val="1Zchn"/>
    <w:qFormat/>
    <w:pPr>
      <w:spacing w:after="120" w:line="276" w:lineRule="auto"/>
    </w:pPr>
    <w:rPr>
      <w:b/>
      <w:sz w:val="28"/>
    </w:rPr>
  </w:style>
  <w:style w:type="character" w:customStyle="1" w:styleId="1Zchn">
    <w:name w:val="Ü1 Zchn"/>
    <w:basedOn w:val="Absatz-Standardschriftart"/>
    <w:link w:val="1"/>
    <w:rPr>
      <w:b/>
      <w:sz w:val="28"/>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8209522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907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WA_G-Regeln_2022-02-25.ppt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2-02-25-Lage-AG\LageNational_2022-02-25.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Lagezentrum-Internationale-Kommunikation_2022-02-25.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rki.local\daten\Wissdaten\RKI_nCoV-Lage\1.Lagemanagement\1.3.Besprechungen_TKs\1.Lage_AG\2022-02-25-Lage-AG\COVID-19_internat.%20Lage_2022-02-25.pptx" TargetMode="External"/><Relationship Id="rId5" Type="http://schemas.openxmlformats.org/officeDocument/2006/relationships/webSettings" Target="webSettings.xml"/><Relationship Id="rId15" Type="http://schemas.openxmlformats.org/officeDocument/2006/relationships/hyperlink" Target="Risikobewertung%20zu%20COVID-2022-02-25-Krisenstab-korr.doc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CWA_evaluation_active_users_2022-02-25.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44194-5457-4E01-8658-3E24B796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2435</Words>
  <Characters>15347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Sailer, Andrea</cp:lastModifiedBy>
  <cp:revision>3</cp:revision>
  <cp:lastPrinted>2020-05-06T16:43:00Z</cp:lastPrinted>
  <dcterms:created xsi:type="dcterms:W3CDTF">2022-02-28T07:21:00Z</dcterms:created>
  <dcterms:modified xsi:type="dcterms:W3CDTF">2022-02-28T07:25:00Z</dcterms:modified>
</cp:coreProperties>
</file>