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09.03.2022,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Michael Bosnjak</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contextualSpacing w:val="0"/>
        <w:rPr>
          <w:sz w:val="22"/>
          <w:szCs w:val="22"/>
        </w:rPr>
      </w:pPr>
      <w:r>
        <w:rPr>
          <w:sz w:val="22"/>
          <w:szCs w:val="22"/>
        </w:rPr>
        <w:t>Tanja Jung-</w:t>
      </w:r>
      <w:proofErr w:type="spellStart"/>
      <w:r>
        <w:rPr>
          <w:sz w:val="22"/>
          <w:szCs w:val="22"/>
        </w:rPr>
        <w:t>Sendzik</w:t>
      </w:r>
      <w:proofErr w:type="spellEnd"/>
    </w:p>
    <w:p>
      <w:pPr>
        <w:pStyle w:val="Listenabsatz"/>
        <w:numPr>
          <w:ilvl w:val="0"/>
          <w:numId w:val="2"/>
        </w:numPr>
        <w:spacing w:after="0"/>
        <w:contextualSpacing w:val="0"/>
        <w:rPr>
          <w:sz w:val="22"/>
          <w:szCs w:val="22"/>
        </w:rPr>
      </w:pPr>
      <w:r>
        <w:rPr>
          <w:sz w:val="22"/>
          <w:szCs w:val="22"/>
        </w:rPr>
        <w:t>FG11</w:t>
      </w:r>
    </w:p>
    <w:p>
      <w:pPr>
        <w:pStyle w:val="Listenabsatz"/>
        <w:numPr>
          <w:ilvl w:val="1"/>
          <w:numId w:val="2"/>
        </w:numPr>
        <w:spacing w:after="0"/>
        <w:contextualSpacing w:val="0"/>
        <w:rPr>
          <w:sz w:val="22"/>
          <w:szCs w:val="22"/>
        </w:rPr>
      </w:pPr>
      <w:r>
        <w:rPr>
          <w:sz w:val="22"/>
          <w:szCs w:val="22"/>
        </w:rPr>
        <w:t>Sangeeta Banerji (Protokoll)</w:t>
      </w:r>
    </w:p>
    <w:p>
      <w:pPr>
        <w:pStyle w:val="Listenabsatz"/>
        <w:numPr>
          <w:ilvl w:val="0"/>
          <w:numId w:val="2"/>
        </w:numPr>
        <w:spacing w:after="0"/>
        <w:contextualSpacing w:val="0"/>
        <w:rPr>
          <w:sz w:val="22"/>
          <w:szCs w:val="22"/>
        </w:rPr>
      </w:pPr>
      <w:r>
        <w:rPr>
          <w:sz w:val="22"/>
          <w:szCs w:val="22"/>
        </w:rPr>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 xml:space="preserve">Ralf </w:t>
      </w:r>
      <w:proofErr w:type="spellStart"/>
      <w:r>
        <w:rPr>
          <w:sz w:val="22"/>
          <w:szCs w:val="22"/>
        </w:rPr>
        <w:t>Dürrwald</w:t>
      </w:r>
      <w:proofErr w:type="spellEnd"/>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1"/>
          <w:numId w:val="2"/>
        </w:numPr>
        <w:spacing w:after="0"/>
        <w:contextualSpacing w:val="0"/>
        <w:rPr>
          <w:sz w:val="22"/>
          <w:szCs w:val="22"/>
        </w:rPr>
      </w:pPr>
      <w:r>
        <w:rPr>
          <w:sz w:val="22"/>
          <w:szCs w:val="22"/>
        </w:rPr>
        <w:t>Claudia Sievers</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 xml:space="preserve">Thomas Harder </w:t>
      </w:r>
    </w:p>
    <w:p>
      <w:pPr>
        <w:pStyle w:val="Listenabsatz"/>
        <w:numPr>
          <w:ilvl w:val="0"/>
          <w:numId w:val="2"/>
        </w:numPr>
        <w:spacing w:after="0"/>
        <w:contextualSpacing w:val="0"/>
        <w:rPr>
          <w:sz w:val="22"/>
          <w:szCs w:val="22"/>
        </w:rPr>
      </w:pPr>
      <w:r>
        <w:rPr>
          <w:sz w:val="22"/>
          <w:szCs w:val="22"/>
        </w:rPr>
        <w:t>FG35</w:t>
      </w:r>
    </w:p>
    <w:p>
      <w:pPr>
        <w:pStyle w:val="Listenabsatz"/>
        <w:numPr>
          <w:ilvl w:val="1"/>
          <w:numId w:val="2"/>
        </w:numPr>
        <w:spacing w:after="0"/>
        <w:contextualSpacing w:val="0"/>
        <w:rPr>
          <w:sz w:val="22"/>
          <w:szCs w:val="22"/>
        </w:rPr>
      </w:pPr>
      <w:r>
        <w:rPr>
          <w:sz w:val="22"/>
          <w:szCs w:val="22"/>
        </w:rPr>
        <w:t>Christina Frank</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Udo Buchholz</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Kristin Tolksdorf</w:t>
      </w:r>
    </w:p>
    <w:p>
      <w:pPr>
        <w:pStyle w:val="Listenabsatz"/>
        <w:numPr>
          <w:ilvl w:val="1"/>
          <w:numId w:val="2"/>
        </w:numPr>
        <w:spacing w:after="0"/>
        <w:contextualSpacing w:val="0"/>
        <w:rPr>
          <w:sz w:val="22"/>
          <w:szCs w:val="22"/>
        </w:rPr>
      </w:pPr>
      <w:r>
        <w:rPr>
          <w:sz w:val="22"/>
          <w:szCs w:val="22"/>
        </w:rPr>
        <w:t xml:space="preserve">Luise </w:t>
      </w:r>
      <w:proofErr w:type="spellStart"/>
      <w:r>
        <w:rPr>
          <w:sz w:val="22"/>
          <w:szCs w:val="22"/>
        </w:rPr>
        <w:t>Goerlitz</w:t>
      </w:r>
      <w:proofErr w:type="spellEnd"/>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proofErr w:type="spellStart"/>
      <w:r>
        <w:rPr>
          <w:sz w:val="22"/>
          <w:szCs w:val="22"/>
        </w:rPr>
        <w:t>Muna</w:t>
      </w:r>
      <w:proofErr w:type="spellEnd"/>
      <w:r>
        <w:rPr>
          <w:sz w:val="22"/>
          <w:szCs w:val="22"/>
        </w:rPr>
        <w:t xml:space="preserve"> Abu Sin</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Christian Herzog</w:t>
      </w:r>
    </w:p>
    <w:p>
      <w:pPr>
        <w:pStyle w:val="Listenabsatz"/>
        <w:numPr>
          <w:ilvl w:val="0"/>
          <w:numId w:val="3"/>
        </w:numPr>
        <w:spacing w:after="0"/>
        <w:contextualSpacing w:val="0"/>
        <w:rPr>
          <w:sz w:val="22"/>
          <w:szCs w:val="22"/>
        </w:rPr>
      </w:pPr>
      <w:r>
        <w:rPr>
          <w:sz w:val="22"/>
          <w:szCs w:val="22"/>
        </w:rPr>
        <w:t>MF2</w:t>
      </w:r>
    </w:p>
    <w:p>
      <w:pPr>
        <w:pStyle w:val="Listenabsatz"/>
        <w:numPr>
          <w:ilvl w:val="1"/>
          <w:numId w:val="3"/>
        </w:numPr>
        <w:spacing w:after="0"/>
        <w:contextualSpacing w:val="0"/>
        <w:rPr>
          <w:sz w:val="22"/>
          <w:szCs w:val="22"/>
        </w:rPr>
      </w:pPr>
      <w:r>
        <w:rPr>
          <w:sz w:val="22"/>
          <w:szCs w:val="22"/>
        </w:rPr>
        <w:t>Torsten Semmler</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color w:val="000000" w:themeColor="text1"/>
          <w:sz w:val="22"/>
          <w:szCs w:val="22"/>
        </w:rPr>
        <w:t>Oliver Ommen</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montags)</w:t>
            </w:r>
          </w:p>
          <w:p>
            <w:pPr>
              <w:pStyle w:val="Liste2"/>
            </w:pPr>
            <w:proofErr w:type="spellStart"/>
            <w:r>
              <w:t>nicht</w:t>
            </w:r>
            <w:proofErr w:type="spellEnd"/>
            <w:r>
              <w:t xml:space="preserve"> </w:t>
            </w:r>
            <w:proofErr w:type="spellStart"/>
            <w:r>
              <w:t>berichtet</w:t>
            </w:r>
            <w:proofErr w:type="spellEnd"/>
          </w:p>
          <w:p>
            <w:pPr>
              <w:pStyle w:val="Liste2"/>
              <w:numPr>
                <w:ilvl w:val="0"/>
                <w:numId w:val="0"/>
              </w:numPr>
              <w:ind w:left="833"/>
            </w:pPr>
          </w:p>
          <w:p>
            <w:pPr>
              <w:pStyle w:val="Liste2"/>
              <w:numPr>
                <w:ilvl w:val="0"/>
                <w:numId w:val="0"/>
              </w:numPr>
            </w:pPr>
            <w:r>
              <w:t xml:space="preserve">ToDo: </w:t>
            </w:r>
          </w:p>
          <w:p>
            <w:pPr>
              <w:pStyle w:val="2"/>
            </w:pPr>
            <w:r>
              <w:t xml:space="preserve">National </w:t>
            </w:r>
          </w:p>
          <w:p>
            <w:pPr>
              <w:pStyle w:val="Liste2"/>
            </w:pPr>
            <w:proofErr w:type="spellStart"/>
            <w:r>
              <w:t>Fallzahlen</w:t>
            </w:r>
            <w:proofErr w:type="spellEnd"/>
            <w:r>
              <w:t xml:space="preserve">, </w:t>
            </w:r>
            <w:proofErr w:type="spellStart"/>
            <w:r>
              <w:t>Todesfälle</w:t>
            </w:r>
            <w:proofErr w:type="spellEnd"/>
            <w:r>
              <w:t xml:space="preserve">, Trend, </w:t>
            </w:r>
            <w:proofErr w:type="spellStart"/>
            <w:r>
              <w:t>Folien</w:t>
            </w:r>
            <w:proofErr w:type="spellEnd"/>
            <w:r>
              <w:t xml:space="preserve"> </w:t>
            </w:r>
            <w:hyperlink r:id="rId14" w:history="1">
              <w:proofErr w:type="spellStart"/>
              <w:r>
                <w:rPr>
                  <w:rStyle w:val="Hyperlink"/>
                </w:rPr>
                <w:t>hier</w:t>
              </w:r>
              <w:proofErr w:type="spellEnd"/>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16.242.070 (+215.854), davon 124.764 (+314) Todesfälle </w:t>
            </w:r>
          </w:p>
          <w:p>
            <w:pPr>
              <w:pStyle w:val="Liste2"/>
            </w:pPr>
            <w:r>
              <w:t xml:space="preserve">7-Tage-Inzidenz:  1319/100.000 </w:t>
            </w:r>
            <w:proofErr w:type="spellStart"/>
            <w:r>
              <w:t>Einw</w:t>
            </w:r>
            <w:proofErr w:type="spellEnd"/>
            <w:r>
              <w:t>.</w:t>
            </w:r>
          </w:p>
          <w:p>
            <w:pPr>
              <w:pStyle w:val="Liste2"/>
              <w:rPr>
                <w:lang w:val="de-DE"/>
              </w:rPr>
            </w:pPr>
            <w:r>
              <w:rPr>
                <w:lang w:val="de-DE"/>
              </w:rPr>
              <w:t>Impfmonitoring: Geimpfte mit 1. Dosis 63.537.436 (76,4%), mit vollständiger Impfung 63.887.598 (75,6%)</w:t>
            </w:r>
          </w:p>
          <w:p>
            <w:pPr>
              <w:pStyle w:val="Liste2"/>
              <w:rPr>
                <w:lang w:val="de-DE"/>
              </w:rPr>
            </w:pPr>
            <w:r>
              <w:rPr>
                <w:lang w:val="de-DE"/>
              </w:rPr>
              <w:t>Verlauf der 7-Tage-Inzidenz der Bundesländer:</w:t>
            </w:r>
          </w:p>
          <w:p>
            <w:pPr>
              <w:pStyle w:val="Liste3"/>
            </w:pPr>
            <w:r>
              <w:t>heterogener Verlauf, seit 3.3.22 Anstieg der bundesweiten Inzidenz</w:t>
            </w:r>
          </w:p>
          <w:p>
            <w:pPr>
              <w:pStyle w:val="Liste3"/>
            </w:pPr>
            <w:r>
              <w:t>Deutschlandkarte: LK Rosenheim hatte Probleme bei der Datenübertragung, daher ‚gelber Fleck‘</w:t>
            </w:r>
          </w:p>
          <w:p>
            <w:pPr>
              <w:pStyle w:val="Liste3"/>
            </w:pPr>
            <w:r>
              <w:t>Todesfälle: Anstieg seit KW 4</w:t>
            </w:r>
          </w:p>
          <w:p>
            <w:pPr>
              <w:pStyle w:val="Liste3"/>
            </w:pPr>
            <w:r>
              <w:t xml:space="preserve">keine Übersterblichkeit (siehe </w:t>
            </w:r>
            <w:hyperlink r:id="rId15" w:history="1">
              <w:r>
                <w:rPr>
                  <w:rStyle w:val="Hyperlink"/>
                </w:rPr>
                <w:t>Abbildung</w:t>
              </w:r>
            </w:hyperlink>
            <w:r>
              <w:t>)</w:t>
            </w:r>
          </w:p>
          <w:p>
            <w:pPr>
              <w:pStyle w:val="Liste2"/>
              <w:rPr>
                <w:rStyle w:val="TagMiZchn"/>
                <w:b w:val="0"/>
                <w:bCs/>
                <w:lang w:val="de-DE"/>
              </w:rPr>
            </w:pPr>
            <w:r>
              <w:rPr>
                <w:rStyle w:val="3Zchn"/>
                <w:lang w:val="de-DE"/>
              </w:rPr>
              <w:t>Testkapazität und Testungen</w:t>
            </w:r>
            <w:r>
              <w:rPr>
                <w:lang w:val="de-DE"/>
              </w:rPr>
              <w:t xml:space="preserve"> </w:t>
            </w:r>
            <w:r>
              <w:rPr>
                <w:rStyle w:val="TagMiZchn"/>
                <w:bCs/>
                <w:lang w:val="de-DE"/>
              </w:rPr>
              <w:t xml:space="preserve">(nur mittwochs) </w:t>
            </w:r>
          </w:p>
          <w:p>
            <w:pPr>
              <w:pStyle w:val="Liste2"/>
            </w:pPr>
            <w:proofErr w:type="spellStart"/>
            <w:r>
              <w:t>Folien</w:t>
            </w:r>
            <w:proofErr w:type="spellEnd"/>
            <w:r>
              <w:t xml:space="preserve"> </w:t>
            </w:r>
            <w:hyperlink r:id="rId16" w:history="1">
              <w:proofErr w:type="spellStart"/>
              <w:r>
                <w:rPr>
                  <w:rStyle w:val="Hyperlink"/>
                </w:rPr>
                <w:t>hier</w:t>
              </w:r>
              <w:proofErr w:type="spellEnd"/>
            </w:hyperlink>
          </w:p>
          <w:p>
            <w:pPr>
              <w:pStyle w:val="Liste2"/>
              <w:numPr>
                <w:ilvl w:val="0"/>
                <w:numId w:val="14"/>
              </w:numPr>
            </w:pPr>
            <w:proofErr w:type="spellStart"/>
            <w:r>
              <w:t>Positivenanteil</w:t>
            </w:r>
            <w:proofErr w:type="spellEnd"/>
            <w:r>
              <w:t xml:space="preserve"> </w:t>
            </w:r>
            <w:proofErr w:type="spellStart"/>
            <w:r>
              <w:t>gestiegen</w:t>
            </w:r>
            <w:proofErr w:type="spellEnd"/>
            <w:r>
              <w:t xml:space="preserve">, </w:t>
            </w:r>
            <w:proofErr w:type="spellStart"/>
            <w:r>
              <w:t>Auslastung</w:t>
            </w:r>
            <w:proofErr w:type="spellEnd"/>
            <w:r>
              <w:t xml:space="preserve"> </w:t>
            </w:r>
            <w:proofErr w:type="spellStart"/>
            <w:r>
              <w:t>konstant</w:t>
            </w:r>
            <w:proofErr w:type="spellEnd"/>
          </w:p>
          <w:p>
            <w:pPr>
              <w:pStyle w:val="Liste2"/>
              <w:rPr>
                <w:b/>
              </w:rPr>
            </w:pPr>
            <w:r>
              <w:rPr>
                <w:b/>
              </w:rPr>
              <w:t xml:space="preserve">ARS-Daten </w:t>
            </w:r>
          </w:p>
          <w:p>
            <w:pPr>
              <w:pStyle w:val="Liste2"/>
              <w:numPr>
                <w:ilvl w:val="0"/>
                <w:numId w:val="15"/>
              </w:numPr>
              <w:rPr>
                <w:highlight w:val="yellow"/>
              </w:rPr>
            </w:pPr>
            <w:proofErr w:type="spellStart"/>
            <w:r>
              <w:rPr>
                <w:highlight w:val="yellow"/>
              </w:rPr>
              <w:t>Folien</w:t>
            </w:r>
            <w:proofErr w:type="spellEnd"/>
            <w:r>
              <w:rPr>
                <w:highlight w:val="yellow"/>
              </w:rPr>
              <w:t xml:space="preserve"> </w:t>
            </w:r>
            <w:proofErr w:type="spellStart"/>
            <w:r>
              <w:rPr>
                <w:highlight w:val="yellow"/>
              </w:rPr>
              <w:t>hier</w:t>
            </w:r>
            <w:proofErr w:type="spellEnd"/>
          </w:p>
          <w:p>
            <w:pPr>
              <w:pStyle w:val="Liste2"/>
              <w:numPr>
                <w:ilvl w:val="0"/>
                <w:numId w:val="15"/>
              </w:numPr>
              <w:rPr>
                <w:lang w:val="de-DE"/>
              </w:rPr>
            </w:pPr>
            <w:r>
              <w:rPr>
                <w:lang w:val="de-DE"/>
              </w:rPr>
              <w:t>Testzahlen: Rückläufig, aber heterogenes Bild, Anstieg der Testungen in Arztpraxen, Testverzug bei &lt;50%, Ausbrüche rückläufig in medizinischen Einrichtungen, aber Anstieg in Arztpraxen</w:t>
            </w:r>
          </w:p>
          <w:p>
            <w:pPr>
              <w:pStyle w:val="Liste2"/>
              <w:rPr>
                <w:b/>
              </w:rPr>
            </w:pPr>
            <w:r>
              <w:rPr>
                <w:b/>
              </w:rPr>
              <w:t>VOC-</w:t>
            </w:r>
            <w:proofErr w:type="spellStart"/>
            <w:r>
              <w:rPr>
                <w:b/>
              </w:rPr>
              <w:t>Bericht</w:t>
            </w:r>
            <w:proofErr w:type="spellEnd"/>
          </w:p>
          <w:p>
            <w:pPr>
              <w:pStyle w:val="Liste2"/>
            </w:pPr>
            <w:proofErr w:type="spellStart"/>
            <w:r>
              <w:t>Folien</w:t>
            </w:r>
            <w:proofErr w:type="spellEnd"/>
            <w:r>
              <w:t xml:space="preserve"> </w:t>
            </w:r>
            <w:hyperlink r:id="rId17" w:history="1">
              <w:proofErr w:type="spellStart"/>
              <w:r>
                <w:rPr>
                  <w:rStyle w:val="Hyperlink"/>
                </w:rPr>
                <w:t>hier</w:t>
              </w:r>
              <w:proofErr w:type="spellEnd"/>
            </w:hyperlink>
          </w:p>
          <w:p>
            <w:pPr>
              <w:pStyle w:val="Liste2"/>
            </w:pPr>
            <w:r>
              <w:t>BA2: 48,2%, BA1: 51,2%</w:t>
            </w:r>
          </w:p>
          <w:p>
            <w:pPr>
              <w:pStyle w:val="Liste2"/>
              <w:rPr>
                <w:lang w:val="de-DE"/>
              </w:rPr>
            </w:pPr>
            <w:r>
              <w:rPr>
                <w:lang w:val="de-DE"/>
              </w:rPr>
              <w:t>Logistische Regression, adjustiert nach Bundesland, Meldewoche, Alter: Ab 35 Jahren gibt es Effekt der VOC (Delta vs. Omikron) auf die Hospitalisierungsinzidenz (kein Unterschied BA.1 und BA.2), aber bei Jüngeren kein VOC-Effekt erkennbar</w:t>
            </w:r>
          </w:p>
          <w:p>
            <w:pPr>
              <w:pStyle w:val="Liste2"/>
              <w:rPr>
                <w:lang w:val="de-DE"/>
              </w:rPr>
            </w:pPr>
            <w:r>
              <w:rPr>
                <w:lang w:val="de-DE"/>
              </w:rPr>
              <w:t xml:space="preserve">Geplante Publikation in </w:t>
            </w:r>
            <w:proofErr w:type="spellStart"/>
            <w:r>
              <w:rPr>
                <w:lang w:val="de-DE"/>
              </w:rPr>
              <w:t>Eurosurveillance</w:t>
            </w:r>
            <w:proofErr w:type="spellEnd"/>
            <w:r>
              <w:rPr>
                <w:lang w:val="de-DE"/>
              </w:rPr>
              <w:t xml:space="preserve">: diese soll bei Einreichung an Herrn </w:t>
            </w:r>
            <w:proofErr w:type="spellStart"/>
            <w:r>
              <w:rPr>
                <w:lang w:val="de-DE"/>
              </w:rPr>
              <w:t>Wieler</w:t>
            </w:r>
            <w:proofErr w:type="spellEnd"/>
            <w:r>
              <w:rPr>
                <w:lang w:val="de-DE"/>
              </w:rPr>
              <w:t xml:space="preserve"> geschickt werden zwecks Weiterleitung an den Minister</w:t>
            </w:r>
          </w:p>
          <w:p>
            <w:pPr>
              <w:pStyle w:val="Liste2"/>
            </w:pPr>
            <w:proofErr w:type="spellStart"/>
            <w:r>
              <w:t>Molekulare</w:t>
            </w:r>
            <w:proofErr w:type="spellEnd"/>
            <w:r>
              <w:t xml:space="preserve"> Surveillance (</w:t>
            </w:r>
            <w:proofErr w:type="spellStart"/>
            <w:r>
              <w:t>nur</w:t>
            </w:r>
            <w:proofErr w:type="spellEnd"/>
            <w:r>
              <w:t xml:space="preserve"> </w:t>
            </w:r>
            <w:proofErr w:type="spellStart"/>
            <w:r>
              <w:t>mittwochs</w:t>
            </w:r>
            <w:proofErr w:type="spellEnd"/>
            <w:r>
              <w:t>)</w:t>
            </w:r>
          </w:p>
          <w:p>
            <w:pPr>
              <w:pStyle w:val="Liste2"/>
              <w:numPr>
                <w:ilvl w:val="0"/>
                <w:numId w:val="16"/>
              </w:numPr>
            </w:pPr>
            <w:proofErr w:type="spellStart"/>
            <w:r>
              <w:t>nicht</w:t>
            </w:r>
            <w:proofErr w:type="spellEnd"/>
            <w:r>
              <w:t xml:space="preserve"> </w:t>
            </w:r>
            <w:proofErr w:type="spellStart"/>
            <w:r>
              <w:t>berichtet</w:t>
            </w:r>
            <w:proofErr w:type="spellEnd"/>
          </w:p>
          <w:p>
            <w:pPr>
              <w:pStyle w:val="Liste2"/>
            </w:pPr>
            <w:proofErr w:type="spellStart"/>
            <w:r>
              <w:rPr>
                <w:b/>
              </w:rPr>
              <w:t>Syndromische</w:t>
            </w:r>
            <w:proofErr w:type="spellEnd"/>
            <w:r>
              <w:rPr>
                <w:b/>
              </w:rPr>
              <w:t xml:space="preserve"> Surveillance</w:t>
            </w:r>
            <w:r>
              <w:rPr>
                <w:rStyle w:val="TagMiZchn"/>
              </w:rPr>
              <w:t xml:space="preserve"> (</w:t>
            </w:r>
            <w:proofErr w:type="spellStart"/>
            <w:r>
              <w:rPr>
                <w:rStyle w:val="TagMiZchn"/>
              </w:rPr>
              <w:t>nur</w:t>
            </w:r>
            <w:proofErr w:type="spellEnd"/>
            <w:r>
              <w:rPr>
                <w:rStyle w:val="TagMiZchn"/>
              </w:rPr>
              <w:t xml:space="preserve"> </w:t>
            </w:r>
            <w:proofErr w:type="spellStart"/>
            <w:r>
              <w:rPr>
                <w:rStyle w:val="TagMiZchn"/>
              </w:rPr>
              <w:t>mittwochs</w:t>
            </w:r>
            <w:proofErr w:type="spellEnd"/>
            <w:r>
              <w:rPr>
                <w:rStyle w:val="TagMiZchn"/>
              </w:rPr>
              <w:t>)</w:t>
            </w:r>
            <w:r>
              <w:rPr>
                <w:i/>
                <w:color w:val="D99594" w:themeColor="accent2" w:themeTint="99"/>
                <w:sz w:val="20"/>
                <w:szCs w:val="20"/>
              </w:rPr>
              <w:t xml:space="preserve"> </w:t>
            </w:r>
          </w:p>
          <w:p>
            <w:pPr>
              <w:pStyle w:val="Liste2"/>
            </w:pPr>
            <w:proofErr w:type="spellStart"/>
            <w:r>
              <w:t>Folien</w:t>
            </w:r>
            <w:proofErr w:type="spellEnd"/>
            <w:r>
              <w:t xml:space="preserve"> </w:t>
            </w:r>
            <w:hyperlink r:id="rId18" w:history="1">
              <w:proofErr w:type="spellStart"/>
              <w:r>
                <w:rPr>
                  <w:rStyle w:val="Hyperlink"/>
                </w:rPr>
                <w:t>hier</w:t>
              </w:r>
              <w:proofErr w:type="spellEnd"/>
            </w:hyperlink>
          </w:p>
          <w:p>
            <w:pPr>
              <w:pStyle w:val="Liste2"/>
              <w:numPr>
                <w:ilvl w:val="0"/>
                <w:numId w:val="12"/>
              </w:numPr>
              <w:ind w:hanging="67"/>
            </w:pPr>
            <w:proofErr w:type="spellStart"/>
            <w:r>
              <w:t>GrippeWeb</w:t>
            </w:r>
            <w:proofErr w:type="spellEnd"/>
            <w:r>
              <w:t xml:space="preserve">: </w:t>
            </w:r>
            <w:proofErr w:type="spellStart"/>
            <w:r>
              <w:t>Anstieg</w:t>
            </w:r>
            <w:proofErr w:type="spellEnd"/>
            <w:r>
              <w:t xml:space="preserve"> ARE </w:t>
            </w:r>
          </w:p>
          <w:p>
            <w:pPr>
              <w:pStyle w:val="Liste2"/>
              <w:numPr>
                <w:ilvl w:val="0"/>
                <w:numId w:val="12"/>
              </w:numPr>
              <w:ind w:hanging="67"/>
            </w:pPr>
            <w:proofErr w:type="spellStart"/>
            <w:r>
              <w:t>Konsultationsinzidenz</w:t>
            </w:r>
            <w:proofErr w:type="spellEnd"/>
            <w:r>
              <w:t xml:space="preserve"> </w:t>
            </w:r>
            <w:proofErr w:type="spellStart"/>
            <w:r>
              <w:t>steigend</w:t>
            </w:r>
            <w:proofErr w:type="spellEnd"/>
          </w:p>
          <w:p>
            <w:pPr>
              <w:pStyle w:val="Liste2"/>
              <w:numPr>
                <w:ilvl w:val="0"/>
                <w:numId w:val="12"/>
              </w:numPr>
              <w:ind w:hanging="67"/>
              <w:rPr>
                <w:lang w:val="de-DE"/>
              </w:rPr>
            </w:pPr>
            <w:r>
              <w:rPr>
                <w:lang w:val="de-DE"/>
              </w:rPr>
              <w:t>SEED: Nur Kleiner Anteil an COVID-ARE</w:t>
            </w:r>
          </w:p>
          <w:p>
            <w:pPr>
              <w:pStyle w:val="Liste2"/>
              <w:numPr>
                <w:ilvl w:val="0"/>
                <w:numId w:val="12"/>
              </w:numPr>
              <w:ind w:hanging="67"/>
              <w:rPr>
                <w:lang w:val="de-DE"/>
              </w:rPr>
            </w:pPr>
            <w:r>
              <w:rPr>
                <w:lang w:val="de-DE"/>
              </w:rPr>
              <w:t>Altersgruppen: Rückgang bei Kindern. Anstieg bei 15-34-Jährigen</w:t>
            </w:r>
          </w:p>
          <w:p>
            <w:pPr>
              <w:pStyle w:val="Liste2"/>
              <w:numPr>
                <w:ilvl w:val="0"/>
                <w:numId w:val="12"/>
              </w:numPr>
              <w:ind w:hanging="67"/>
              <w:rPr>
                <w:lang w:val="de-DE"/>
              </w:rPr>
            </w:pPr>
            <w:r>
              <w:rPr>
                <w:lang w:val="de-DE"/>
              </w:rPr>
              <w:lastRenderedPageBreak/>
              <w:t>ICOSARI-SARI: Seitwärtsbewegung</w:t>
            </w:r>
          </w:p>
          <w:p>
            <w:pPr>
              <w:pStyle w:val="Liste2"/>
              <w:numPr>
                <w:ilvl w:val="0"/>
                <w:numId w:val="12"/>
              </w:numPr>
              <w:ind w:hanging="67"/>
              <w:rPr>
                <w:lang w:val="de-DE"/>
              </w:rPr>
            </w:pPr>
            <w:r>
              <w:rPr>
                <w:lang w:val="de-DE"/>
              </w:rPr>
              <w:t>SARI+COVID: Seitwärtsbewegung, in der AG 35-59 zum ersten Mal unter 35% seit KW 31 in 2021</w:t>
            </w:r>
          </w:p>
          <w:p>
            <w:pPr>
              <w:pStyle w:val="Liste2"/>
              <w:numPr>
                <w:ilvl w:val="0"/>
                <w:numId w:val="12"/>
              </w:numPr>
              <w:ind w:hanging="67"/>
              <w:rPr>
                <w:lang w:val="de-DE"/>
              </w:rPr>
            </w:pPr>
            <w:r>
              <w:rPr>
                <w:lang w:val="de-DE"/>
              </w:rPr>
              <w:t>Ausbrüche: Kindergarten und Schulen: Rückgang des Anteils an Kindern. Peak in Schulen war Ende Januar; SEED und NRZ Daten korrelieren gut</w:t>
            </w:r>
          </w:p>
          <w:p>
            <w:pPr>
              <w:pStyle w:val="Liste2"/>
              <w:rPr>
                <w:rStyle w:val="TagMiZchn"/>
                <w:b w:val="0"/>
                <w:lang w:val="de-DE"/>
              </w:rPr>
            </w:pPr>
            <w:r>
              <w:rPr>
                <w:b/>
                <w:lang w:val="de-DE"/>
              </w:rPr>
              <w:t>Virologische Surveillance, NRZ Influenza-Daten</w:t>
            </w:r>
            <w:r>
              <w:rPr>
                <w:lang w:val="de-DE"/>
              </w:rPr>
              <w:t xml:space="preserve"> </w:t>
            </w:r>
            <w:r>
              <w:rPr>
                <w:rStyle w:val="TagMiZchn"/>
                <w:lang w:val="de-DE"/>
              </w:rPr>
              <w:t xml:space="preserve">(nur mittwochs) </w:t>
            </w:r>
          </w:p>
          <w:p>
            <w:pPr>
              <w:pStyle w:val="Liste2"/>
              <w:rPr>
                <w:highlight w:val="yellow"/>
              </w:rPr>
            </w:pPr>
            <w:proofErr w:type="spellStart"/>
            <w:r>
              <w:rPr>
                <w:highlight w:val="yellow"/>
              </w:rPr>
              <w:t>Folien</w:t>
            </w:r>
            <w:proofErr w:type="spellEnd"/>
            <w:r>
              <w:rPr>
                <w:highlight w:val="yellow"/>
              </w:rPr>
              <w:t xml:space="preserve"> </w:t>
            </w:r>
            <w:proofErr w:type="spellStart"/>
            <w:r>
              <w:rPr>
                <w:highlight w:val="yellow"/>
              </w:rPr>
              <w:t>hier</w:t>
            </w:r>
            <w:proofErr w:type="spellEnd"/>
          </w:p>
          <w:p>
            <w:pPr>
              <w:pStyle w:val="Liste2"/>
              <w:numPr>
                <w:ilvl w:val="0"/>
                <w:numId w:val="13"/>
              </w:numPr>
              <w:rPr>
                <w:lang w:val="de-DE"/>
              </w:rPr>
            </w:pPr>
            <w:r>
              <w:rPr>
                <w:lang w:val="de-DE"/>
              </w:rPr>
              <w:t>91 Einsendungen, davon:</w:t>
            </w:r>
          </w:p>
          <w:p>
            <w:pPr>
              <w:pStyle w:val="Liste2"/>
              <w:numPr>
                <w:ilvl w:val="0"/>
                <w:numId w:val="13"/>
              </w:numPr>
              <w:rPr>
                <w:lang w:val="de-DE"/>
              </w:rPr>
            </w:pPr>
            <w:r>
              <w:rPr>
                <w:lang w:val="de-DE"/>
              </w:rPr>
              <w:t xml:space="preserve">26% </w:t>
            </w:r>
            <w:proofErr w:type="spellStart"/>
            <w:r>
              <w:rPr>
                <w:lang w:val="de-DE"/>
              </w:rPr>
              <w:t>Rhinoviren</w:t>
            </w:r>
            <w:proofErr w:type="spellEnd"/>
          </w:p>
          <w:p>
            <w:pPr>
              <w:pStyle w:val="Liste2"/>
              <w:numPr>
                <w:ilvl w:val="0"/>
                <w:numId w:val="13"/>
              </w:numPr>
              <w:rPr>
                <w:lang w:val="de-DE"/>
              </w:rPr>
            </w:pPr>
            <w:r>
              <w:rPr>
                <w:lang w:val="de-DE"/>
              </w:rPr>
              <w:t>20% SARS-CoV-2 (100% Omikron, davon 34% B1.2)</w:t>
            </w:r>
          </w:p>
          <w:p>
            <w:pPr>
              <w:pStyle w:val="Liste2"/>
              <w:numPr>
                <w:ilvl w:val="0"/>
                <w:numId w:val="13"/>
              </w:numPr>
              <w:rPr>
                <w:lang w:val="de-DE"/>
              </w:rPr>
            </w:pPr>
            <w:r>
              <w:rPr>
                <w:lang w:val="de-DE"/>
              </w:rPr>
              <w:t>Influenza: 1 Nachweis</w:t>
            </w:r>
          </w:p>
          <w:p>
            <w:pPr>
              <w:pStyle w:val="Liste2"/>
              <w:numPr>
                <w:ilvl w:val="0"/>
                <w:numId w:val="13"/>
              </w:numPr>
              <w:rPr>
                <w:rStyle w:val="TagMiZchn"/>
                <w:b w:val="0"/>
                <w:i w:val="0"/>
                <w:color w:val="auto"/>
                <w:lang w:val="de-DE"/>
              </w:rPr>
            </w:pPr>
            <w:r>
              <w:rPr>
                <w:lang w:val="de-DE"/>
              </w:rPr>
              <w:t>Parainfluenza: 1 Nachweis</w:t>
            </w:r>
          </w:p>
          <w:p>
            <w:pPr>
              <w:pStyle w:val="Liste2"/>
              <w:rPr>
                <w:rStyle w:val="TagMiZchn"/>
                <w:b w:val="0"/>
                <w:bCs/>
                <w:lang w:val="de-DE"/>
              </w:rPr>
            </w:pPr>
            <w:r>
              <w:rPr>
                <w:b/>
                <w:lang w:val="de-DE"/>
              </w:rPr>
              <w:t>Zahlen zum DIVI-Intensivregister</w:t>
            </w:r>
            <w:r>
              <w:rPr>
                <w:lang w:val="de-DE"/>
              </w:rPr>
              <w:t xml:space="preserve"> </w:t>
            </w:r>
            <w:r>
              <w:rPr>
                <w:rStyle w:val="TagMiZchn"/>
                <w:bCs/>
                <w:lang w:val="de-DE"/>
              </w:rPr>
              <w:t>(nur mittwochs)</w:t>
            </w:r>
          </w:p>
          <w:p>
            <w:pPr>
              <w:pStyle w:val="Liste2"/>
              <w:numPr>
                <w:ilvl w:val="0"/>
                <w:numId w:val="11"/>
              </w:numPr>
              <w:rPr>
                <w:rStyle w:val="TagMiZchn"/>
                <w:bCs/>
                <w:lang w:val="de-DE"/>
              </w:rPr>
            </w:pPr>
            <w:r>
              <w:rPr>
                <w:lang w:val="de-DE"/>
              </w:rPr>
              <w:t xml:space="preserve">Folien </w:t>
            </w:r>
            <w:hyperlink r:id="rId19" w:history="1">
              <w:r>
                <w:rPr>
                  <w:rStyle w:val="Hyperlink"/>
                  <w:lang w:val="de-DE"/>
                </w:rPr>
                <w:t>hier</w:t>
              </w:r>
            </w:hyperlink>
          </w:p>
          <w:p>
            <w:pPr>
              <w:pStyle w:val="Liste2"/>
              <w:numPr>
                <w:ilvl w:val="0"/>
                <w:numId w:val="10"/>
              </w:numPr>
              <w:rPr>
                <w:lang w:val="de-DE"/>
              </w:rPr>
            </w:pPr>
            <w:r>
              <w:rPr>
                <w:lang w:val="de-DE"/>
              </w:rPr>
              <w:t>2126 COVID-19-Patienten (leichte Reduktion), konstante Neuaufnahme und konstante Sterbezahl auf ITS</w:t>
            </w:r>
          </w:p>
          <w:p>
            <w:pPr>
              <w:pStyle w:val="Liste2"/>
              <w:numPr>
                <w:ilvl w:val="0"/>
                <w:numId w:val="10"/>
              </w:numPr>
              <w:rPr>
                <w:lang w:val="de-DE"/>
              </w:rPr>
            </w:pPr>
            <w:r>
              <w:rPr>
                <w:lang w:val="de-DE"/>
              </w:rPr>
              <w:t>Heterogenes Bild in den BL, z.B. HH und Bremen: rückläufig und Sachsen-Anhalt, MeckPomm: Anstieg</w:t>
            </w:r>
          </w:p>
          <w:p>
            <w:pPr>
              <w:pStyle w:val="Liste2"/>
              <w:numPr>
                <w:ilvl w:val="0"/>
                <w:numId w:val="10"/>
              </w:numPr>
              <w:rPr>
                <w:lang w:val="de-DE"/>
              </w:rPr>
            </w:pPr>
            <w:r>
              <w:rPr>
                <w:lang w:val="de-DE"/>
              </w:rPr>
              <w:t xml:space="preserve">Rückgang ECMO/ invasive/nicht-invasive respiratorische Behandlung, Anstieg des Anteils ohne </w:t>
            </w:r>
            <w:proofErr w:type="spellStart"/>
            <w:r>
              <w:rPr>
                <w:lang w:val="de-DE"/>
              </w:rPr>
              <w:t>respiratorsiche</w:t>
            </w:r>
            <w:proofErr w:type="spellEnd"/>
            <w:r>
              <w:rPr>
                <w:lang w:val="de-DE"/>
              </w:rPr>
              <w:t xml:space="preserve"> Unterstützung (33%)</w:t>
            </w:r>
          </w:p>
          <w:p>
            <w:pPr>
              <w:pStyle w:val="Liste2"/>
              <w:numPr>
                <w:ilvl w:val="0"/>
                <w:numId w:val="10"/>
              </w:numPr>
              <w:rPr>
                <w:lang w:val="de-DE"/>
              </w:rPr>
            </w:pPr>
            <w:proofErr w:type="spellStart"/>
            <w:r>
              <w:rPr>
                <w:lang w:val="de-DE"/>
              </w:rPr>
              <w:t>SPoCK</w:t>
            </w:r>
            <w:proofErr w:type="spellEnd"/>
            <w:r>
              <w:rPr>
                <w:lang w:val="de-DE"/>
              </w:rPr>
              <w:t>: Rückläufige ITS-Belegung prognostiziert</w:t>
            </w:r>
          </w:p>
          <w:p>
            <w:pPr>
              <w:pStyle w:val="Liste2"/>
            </w:pPr>
            <w:proofErr w:type="spellStart"/>
            <w:r>
              <w:t>Modellierungen</w:t>
            </w:r>
            <w:proofErr w:type="spellEnd"/>
            <w:r>
              <w:t xml:space="preserve"> </w:t>
            </w:r>
            <w:r>
              <w:rPr>
                <w:b/>
                <w:i/>
                <w:color w:val="95B3D7" w:themeColor="accent1" w:themeTint="99"/>
                <w:sz w:val="20"/>
              </w:rPr>
              <w:t>(</w:t>
            </w:r>
            <w:proofErr w:type="spellStart"/>
            <w:r>
              <w:rPr>
                <w:b/>
                <w:i/>
                <w:color w:val="95B3D7" w:themeColor="accent1" w:themeTint="99"/>
                <w:sz w:val="20"/>
              </w:rPr>
              <w:t>nur</w:t>
            </w:r>
            <w:proofErr w:type="spellEnd"/>
            <w:r>
              <w:rPr>
                <w:b/>
                <w:i/>
                <w:color w:val="95B3D7" w:themeColor="accent1" w:themeTint="99"/>
                <w:sz w:val="20"/>
              </w:rPr>
              <w:t xml:space="preserve"> </w:t>
            </w:r>
            <w:proofErr w:type="spellStart"/>
            <w:r>
              <w:rPr>
                <w:b/>
                <w:i/>
                <w:color w:val="95B3D7" w:themeColor="accent1" w:themeTint="99"/>
                <w:sz w:val="20"/>
              </w:rPr>
              <w:t>montags</w:t>
            </w:r>
            <w:proofErr w:type="spellEnd"/>
            <w:r>
              <w:rPr>
                <w:b/>
                <w:i/>
                <w:color w:val="95B3D7" w:themeColor="accent1" w:themeTint="99"/>
                <w:sz w:val="20"/>
              </w:rPr>
              <w:t>)</w:t>
            </w:r>
          </w:p>
          <w:p>
            <w:pPr>
              <w:pStyle w:val="Liste2"/>
            </w:pPr>
            <w:r>
              <w:t>(nicht berichtet)</w:t>
            </w: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r>
              <w:rPr>
                <w:sz w:val="22"/>
                <w:szCs w:val="22"/>
              </w:rPr>
              <w:t>FG32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Rexroth</w:t>
            </w:r>
          </w:p>
          <w:p>
            <w:pPr>
              <w:rPr>
                <w:sz w:val="22"/>
                <w:szCs w:val="22"/>
              </w:rPr>
            </w:pPr>
          </w:p>
          <w:p>
            <w:pPr>
              <w:rPr>
                <w:sz w:val="22"/>
                <w:szCs w:val="22"/>
              </w:rPr>
            </w:pPr>
          </w:p>
          <w:p>
            <w:pPr>
              <w:rPr>
                <w:sz w:val="22"/>
                <w:szCs w:val="22"/>
              </w:rPr>
            </w:pPr>
            <w:r>
              <w:rPr>
                <w:sz w:val="22"/>
                <w:szCs w:val="22"/>
              </w:rPr>
              <w:t>Abu Sin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Sievers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Dürrwald</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br/>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montags)</w:t>
            </w:r>
          </w:p>
          <w:p>
            <w:pPr>
              <w:pStyle w:val="Liste1"/>
            </w:pPr>
            <w:r>
              <w:t>(nicht berichtet)</w:t>
            </w:r>
          </w:p>
          <w:p>
            <w:pPr>
              <w:pStyle w:val="Liste3"/>
              <w:numPr>
                <w:ilvl w:val="0"/>
                <w:numId w:val="0"/>
              </w:numPr>
            </w:pPr>
          </w:p>
          <w:p>
            <w:pPr>
              <w:pStyle w:val="Liste3"/>
              <w:numPr>
                <w:ilvl w:val="0"/>
                <w:numId w:val="0"/>
              </w:num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b/>
                <w:i/>
                <w:color w:val="C2D69B" w:themeColor="accent3" w:themeTint="99"/>
              </w:rPr>
            </w:pPr>
            <w:r>
              <w:rPr>
                <w:rStyle w:val="1Zchn"/>
              </w:rPr>
              <w:t>Update digitale Projekte</w:t>
            </w:r>
            <w:r>
              <w:rPr>
                <w:b/>
                <w:sz w:val="28"/>
              </w:rPr>
              <w:t xml:space="preserve"> </w:t>
            </w:r>
            <w:r>
              <w:rPr>
                <w:rStyle w:val="TagFrZchn"/>
              </w:rPr>
              <w:t>(nur montags)</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 xml:space="preserve">Diskussion der Änderungsvorschläge zur Risikobewertung </w:t>
            </w:r>
          </w:p>
          <w:p>
            <w:pPr>
              <w:pStyle w:val="Liste2"/>
              <w:numPr>
                <w:ilvl w:val="0"/>
                <w:numId w:val="0"/>
              </w:numPr>
              <w:ind w:left="833" w:hanging="360"/>
            </w:pPr>
            <w:proofErr w:type="spellStart"/>
            <w:r>
              <w:t>Keine</w:t>
            </w:r>
            <w:proofErr w:type="spellEnd"/>
            <w:r>
              <w:t xml:space="preserve"> </w:t>
            </w:r>
            <w:proofErr w:type="spellStart"/>
            <w:r>
              <w:t>Änderung</w:t>
            </w:r>
            <w:proofErr w:type="spellEnd"/>
            <w: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c>
          <w:tcPr>
            <w:tcW w:w="684" w:type="dxa"/>
          </w:tcPr>
          <w:p>
            <w:pPr>
              <w:rPr>
                <w:b/>
              </w:rPr>
            </w:pPr>
            <w:r>
              <w:rPr>
                <w:b/>
              </w:rPr>
              <w:t>5</w:t>
            </w:r>
          </w:p>
        </w:tc>
        <w:tc>
          <w:tcPr>
            <w:tcW w:w="6824" w:type="dxa"/>
          </w:tcPr>
          <w:p>
            <w:pPr>
              <w:pStyle w:val="1"/>
            </w:pPr>
            <w:r>
              <w:t xml:space="preserve">Expertenbeirat </w:t>
            </w:r>
            <w:r>
              <w:rPr>
                <w:i/>
                <w:color w:val="95B3D7" w:themeColor="accent1" w:themeTint="99"/>
                <w:sz w:val="20"/>
              </w:rPr>
              <w:t>(montags Vorbereitung, mittwochs Nachbereitung)</w:t>
            </w:r>
          </w:p>
          <w:p>
            <w:pPr>
              <w:pStyle w:val="Liste1"/>
            </w:pPr>
            <w:r>
              <w:t xml:space="preserve">  Stellungnahme herausgegeben zur Notwendigkeit von gesetzlichen Vorgaben bei Pandemiemaßnahmen</w:t>
            </w:r>
          </w:p>
          <w:p>
            <w:pPr>
              <w:pStyle w:val="1"/>
              <w:rPr>
                <w:sz w:val="22"/>
              </w:rPr>
            </w:pPr>
          </w:p>
        </w:tc>
        <w:tc>
          <w:tcPr>
            <w:tcW w:w="1463" w:type="dxa"/>
          </w:tcPr>
          <w:p>
            <w:pPr>
              <w:rPr>
                <w:sz w:val="22"/>
                <w:szCs w:val="22"/>
              </w:rPr>
            </w:pPr>
          </w:p>
        </w:tc>
      </w:tr>
      <w:tr>
        <w:trPr>
          <w:trHeight w:val="518"/>
        </w:trPr>
        <w:tc>
          <w:tcPr>
            <w:tcW w:w="684" w:type="dxa"/>
          </w:tcPr>
          <w:p>
            <w:pPr>
              <w:rPr>
                <w:b/>
              </w:rPr>
            </w:pPr>
            <w:r>
              <w:rPr>
                <w:b/>
              </w:rPr>
              <w:t>6</w:t>
            </w:r>
          </w:p>
        </w:tc>
        <w:tc>
          <w:tcPr>
            <w:tcW w:w="6824" w:type="dxa"/>
          </w:tcPr>
          <w:p>
            <w:pPr>
              <w:pStyle w:val="1"/>
            </w:pPr>
            <w:r>
              <w:t>Kommunikation</w:t>
            </w:r>
          </w:p>
          <w:p>
            <w:pPr>
              <w:pStyle w:val="2"/>
            </w:pPr>
            <w:r>
              <w:t>BZgA</w:t>
            </w:r>
          </w:p>
          <w:p>
            <w:pPr>
              <w:pStyle w:val="Liste1"/>
            </w:pPr>
            <w:r>
              <w:t>Dokument zur Quarantäne/ Isolierung in mehrere Sprachen übersetzt, u.a. Ukrainisch</w:t>
            </w:r>
          </w:p>
          <w:p>
            <w:pPr>
              <w:pStyle w:val="2"/>
            </w:pPr>
            <w:r>
              <w:lastRenderedPageBreak/>
              <w:t>Presse</w:t>
            </w:r>
          </w:p>
          <w:p>
            <w:pPr>
              <w:pStyle w:val="Liste1"/>
            </w:pPr>
            <w:r>
              <w:t>Artikel im Business-Insider über Änderungen in der Risikobewertung. Medienanwälte und Presse arbeiten an einer Reaktion. Vorschlag Krisenstab: Offensiv reagieren und Artikel als Fehlinterpretation bezeichnen. Auf Nachfrage aus dem Krisenstab, ob eine sprachliche Überarbeitung der Risikobewertung zur Vermeidung von weiteren Fehlinterpretationen sinnvoll sei, soll dies anwaltlich geprüft werden.</w:t>
            </w:r>
          </w:p>
          <w:p>
            <w:pPr>
              <w:pStyle w:val="Liste1"/>
            </w:pPr>
            <w:r>
              <w:t>Tweet zum Wochenbericht: Fallzahlen steigen, trotz Öffnungsmaßnahmen AHA-L Regeln einhalten und zum Schutz der vulnerablen Gruppen eigenverantwortlich handeln!</w:t>
            </w:r>
          </w:p>
          <w:p>
            <w:pPr>
              <w:pStyle w:val="Liste1"/>
              <w:numPr>
                <w:ilvl w:val="0"/>
                <w:numId w:val="0"/>
              </w:numPr>
              <w:ind w:left="473"/>
            </w:pPr>
          </w:p>
          <w:p>
            <w:pPr>
              <w:pStyle w:val="2"/>
            </w:pPr>
            <w:r>
              <w:t>P1</w:t>
            </w:r>
          </w:p>
          <w:p>
            <w:pPr>
              <w:pStyle w:val="Liste1"/>
              <w:rPr>
                <w:i/>
              </w:rPr>
            </w:pPr>
            <w:r>
              <w:t>Erarbeitung eines Flyers über Verhaltenstipps für das Frühjahr</w:t>
            </w:r>
          </w:p>
          <w:p>
            <w:pPr>
              <w:pStyle w:val="Liste1"/>
              <w:numPr>
                <w:ilvl w:val="0"/>
                <w:numId w:val="0"/>
              </w:numPr>
              <w:ind w:left="473" w:hanging="360"/>
            </w:pPr>
          </w:p>
          <w:p>
            <w:pPr>
              <w:pStyle w:val="Liste1"/>
              <w:numPr>
                <w:ilvl w:val="0"/>
                <w:numId w:val="0"/>
              </w:numPr>
              <w:ind w:left="473" w:hanging="360"/>
            </w:pPr>
            <w:proofErr w:type="spellStart"/>
            <w:r>
              <w:t>ToDo</w:t>
            </w:r>
            <w:proofErr w:type="spellEnd"/>
            <w:r>
              <w:t>:</w:t>
            </w:r>
          </w:p>
          <w:p>
            <w:pPr>
              <w:pStyle w:val="Liste1"/>
              <w:numPr>
                <w:ilvl w:val="0"/>
                <w:numId w:val="9"/>
              </w:numPr>
              <w:rPr>
                <w:i/>
              </w:rPr>
            </w:pPr>
            <w:r>
              <w:t>Sprechzettel vorbereiten für BPK zum Thema Impfeffektivität (Wenchel, Zuarbeit durch Leuker)</w:t>
            </w:r>
          </w:p>
          <w:p>
            <w:pPr>
              <w:pStyle w:val="Liste1"/>
              <w:numPr>
                <w:ilvl w:val="0"/>
                <w:numId w:val="9"/>
              </w:numPr>
              <w:rPr>
                <w:i/>
              </w:rPr>
            </w:pPr>
            <w:r>
              <w:t xml:space="preserve">Im Wochenbericht ebenfalls darauf hinweisen, dass durch Beendigung vieler Maßnahmen die Eigenverantwortung stärker in den Fokus rückt. Vulnerable Gruppen sind noch immer schutzbedürftig. </w:t>
            </w:r>
            <w:r>
              <w:br/>
            </w:r>
          </w:p>
        </w:tc>
        <w:tc>
          <w:tcPr>
            <w:tcW w:w="1463" w:type="dxa"/>
          </w:tcPr>
          <w:p>
            <w:pPr>
              <w:rPr>
                <w:sz w:val="22"/>
                <w:szCs w:val="22"/>
              </w:rPr>
            </w:pPr>
          </w:p>
          <w:p>
            <w:pPr>
              <w:rPr>
                <w:sz w:val="22"/>
                <w:szCs w:val="22"/>
              </w:rPr>
            </w:pPr>
          </w:p>
          <w:p>
            <w:pPr>
              <w:rPr>
                <w:sz w:val="22"/>
                <w:szCs w:val="22"/>
              </w:rPr>
            </w:pPr>
            <w:r>
              <w:rPr>
                <w:sz w:val="22"/>
                <w:szCs w:val="22"/>
              </w:rPr>
              <w:t>BZgA Ommen</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Presse Wenchel</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 Leuker</w:t>
            </w:r>
            <w:r>
              <w:rPr>
                <w:sz w:val="22"/>
                <w:szCs w:val="22"/>
              </w:rPr>
              <w:br/>
            </w:r>
          </w:p>
        </w:tc>
      </w:tr>
      <w:tr>
        <w:tc>
          <w:tcPr>
            <w:tcW w:w="684" w:type="dxa"/>
          </w:tcPr>
          <w:p>
            <w:pPr>
              <w:rPr>
                <w:b/>
              </w:rPr>
            </w:pPr>
            <w:r>
              <w:rPr>
                <w:b/>
              </w:rPr>
              <w:lastRenderedPageBreak/>
              <w:t>7</w:t>
            </w:r>
          </w:p>
        </w:tc>
        <w:tc>
          <w:tcPr>
            <w:tcW w:w="6824" w:type="dxa"/>
          </w:tcPr>
          <w:p>
            <w:pPr>
              <w:pStyle w:val="1"/>
            </w:pPr>
            <w:r>
              <w:t>RKI-Strategie Fragen</w:t>
            </w:r>
          </w:p>
          <w:p>
            <w:pPr>
              <w:pStyle w:val="2"/>
            </w:pPr>
            <w:r>
              <w:t>Allgemein</w:t>
            </w:r>
          </w:p>
          <w:p>
            <w:pPr>
              <w:pStyle w:val="Liste1"/>
              <w:numPr>
                <w:ilvl w:val="0"/>
                <w:numId w:val="8"/>
              </w:numPr>
            </w:pPr>
            <w:r>
              <w:t xml:space="preserve">Novellierung IfSG (ID5186) Dokument </w:t>
            </w:r>
            <w:hyperlink r:id="rId20" w:history="1">
              <w:r>
                <w:rPr>
                  <w:rStyle w:val="Hyperlink"/>
                </w:rPr>
                <w:t>hier</w:t>
              </w:r>
            </w:hyperlink>
          </w:p>
          <w:p>
            <w:pPr>
              <w:pStyle w:val="Liste1"/>
              <w:numPr>
                <w:ilvl w:val="0"/>
                <w:numId w:val="0"/>
              </w:numPr>
              <w:ind w:left="113"/>
            </w:pPr>
            <w:r>
              <w:t>Aufgrund der Kurzfristigkeit (Frist 09.3.2022) wurde entschieden, dass nur auf Abschnitte Stellung genommen wird, die direkt das RKI betreffen:</w:t>
            </w:r>
          </w:p>
          <w:p>
            <w:pPr>
              <w:pStyle w:val="Liste1"/>
              <w:numPr>
                <w:ilvl w:val="0"/>
                <w:numId w:val="8"/>
              </w:numPr>
            </w:pPr>
            <w:r>
              <w:t>Einrichtungsbezogene Erfassung der Impfquoten von Beschäftigten und Betreuten</w:t>
            </w:r>
          </w:p>
          <w:p>
            <w:pPr>
              <w:pStyle w:val="Liste1"/>
              <w:numPr>
                <w:ilvl w:val="0"/>
                <w:numId w:val="8"/>
              </w:numPr>
            </w:pPr>
            <w:r>
              <w:t xml:space="preserve">der novellierte Paragraph, wonach die Einrichtungen direkt an das RKI melden (wahrscheinlich über </w:t>
            </w:r>
            <w:proofErr w:type="spellStart"/>
            <w:r>
              <w:t>Voxco</w:t>
            </w:r>
            <w:proofErr w:type="spellEnd"/>
            <w:r>
              <w:t>) müssen und RKI diese Daten monatlich dem BMG sowie den BL und Kreisen in aggregierter Form bereitstellen soll, wurde von Krisenstab als extrem ressourcenaufwändig (Kommunikation mit ca. 14.000 Einrichtungen) eingestuft. Zudem sei es schwierig eine vollständige Meldung zu bekommen.  Da sowieso eine Meldung/Kommunikation der Einrichtungen mit den lokalen Gesundheitsämtern erfolgt, sei es die Etablierung einer Doppelstruktur.</w:t>
            </w:r>
          </w:p>
          <w:p>
            <w:pPr>
              <w:pStyle w:val="Liste1"/>
              <w:numPr>
                <w:ilvl w:val="0"/>
                <w:numId w:val="8"/>
              </w:numPr>
            </w:pPr>
            <w:r>
              <w:t>Daher Gegenvorschlag unterbreiten: Impfquotenerfassung von betroffenen Gesundheits- und Pflegeeinrichtungen über das Meldesystem, d.h. Meldung der Einrichtungen (nach Vorgaben des RKI) direkt an zuständiges GA und diese meldet über die Landesbehörden an das RKI, das wiederum die Daten in aggregierter Form monatlich bereitstellt.</w:t>
            </w:r>
          </w:p>
          <w:p>
            <w:pPr>
              <w:pStyle w:val="Liste1"/>
              <w:numPr>
                <w:ilvl w:val="0"/>
                <w:numId w:val="8"/>
              </w:numPr>
            </w:pPr>
            <w:r>
              <w:lastRenderedPageBreak/>
              <w:t>Falls Gegenvorschlag abgelehnt wird: Die Meldung der Einrichtungen an das RKI erfolgt nach RKI Vorgaben, um eine uniforme und vollständige Meldung zu gewährleisten.</w:t>
            </w:r>
          </w:p>
          <w:p>
            <w:pPr>
              <w:pStyle w:val="Liste1"/>
              <w:numPr>
                <w:ilvl w:val="0"/>
                <w:numId w:val="8"/>
              </w:numPr>
            </w:pPr>
            <w:r>
              <w:t>Erstellung digitaler Zertifikate (COVID-19-Impf-, Genesenen- und Testzertifikat) durch RKI (betrifft CWA)</w:t>
            </w:r>
          </w:p>
          <w:p>
            <w:pPr>
              <w:pStyle w:val="Liste1"/>
              <w:numPr>
                <w:ilvl w:val="0"/>
                <w:numId w:val="0"/>
              </w:numPr>
              <w:ind w:left="113"/>
            </w:pPr>
          </w:p>
          <w:p>
            <w:pPr>
              <w:pStyle w:val="Liste1"/>
              <w:numPr>
                <w:ilvl w:val="0"/>
                <w:numId w:val="0"/>
              </w:numPr>
              <w:ind w:left="113"/>
              <w:rPr>
                <w:b/>
              </w:rPr>
            </w:pPr>
            <w:proofErr w:type="spellStart"/>
            <w:r>
              <w:rPr>
                <w:b/>
              </w:rPr>
              <w:t>ToDo</w:t>
            </w:r>
            <w:proofErr w:type="spellEnd"/>
            <w:r>
              <w:rPr>
                <w:b/>
              </w:rPr>
              <w:t xml:space="preserve"> ID5186</w:t>
            </w:r>
          </w:p>
          <w:p>
            <w:pPr>
              <w:pStyle w:val="Liste1"/>
              <w:numPr>
                <w:ilvl w:val="0"/>
                <w:numId w:val="8"/>
              </w:numPr>
              <w:rPr>
                <w:i/>
              </w:rPr>
            </w:pPr>
            <w:r>
              <w:rPr>
                <w:i/>
              </w:rPr>
              <w:t>Zweistufige Erlassantwort zum Impfquotenerfassung: 1. Gegenvorschlag zur direkten Impfquotenerfassung durch RKI: Impfquotenerfassung von betroffenen Gesundheits- und</w:t>
            </w:r>
            <w:r>
              <w:t xml:space="preserve"> </w:t>
            </w:r>
            <w:r>
              <w:rPr>
                <w:i/>
              </w:rPr>
              <w:t xml:space="preserve">Pflegeeinrichtungen über das Meldesystem nach Vorgaben des RKI (FG32 Michaela </w:t>
            </w:r>
            <w:bookmarkStart w:id="1" w:name="_Hlk97724596"/>
            <w:r>
              <w:rPr>
                <w:i/>
              </w:rPr>
              <w:t>Diercke). Falls Gegenvorschlag abgelehnt wird: Die direkte Meldung der Einrichtungen an das RKI soll in jedem Fall nach RKI Vorgaben erfolgen, um eine uniforme</w:t>
            </w:r>
            <w:bookmarkStart w:id="2" w:name="_GoBack"/>
            <w:bookmarkEnd w:id="2"/>
            <w:r>
              <w:rPr>
                <w:i/>
              </w:rPr>
              <w:t xml:space="preserve"> und vollständige Meldung zu gewährleisten (FG37, </w:t>
            </w:r>
            <w:proofErr w:type="spellStart"/>
            <w:r>
              <w:rPr>
                <w:i/>
              </w:rPr>
              <w:t>Muna</w:t>
            </w:r>
            <w:proofErr w:type="spellEnd"/>
            <w:r>
              <w:rPr>
                <w:i/>
              </w:rPr>
              <w:t xml:space="preserve">- Abu Sin/ Britta Schweickert). </w:t>
            </w:r>
            <w:bookmarkEnd w:id="1"/>
          </w:p>
          <w:p>
            <w:pPr>
              <w:pStyle w:val="Liste1"/>
              <w:numPr>
                <w:ilvl w:val="0"/>
                <w:numId w:val="8"/>
              </w:numPr>
              <w:rPr>
                <w:i/>
              </w:rPr>
            </w:pPr>
            <w:bookmarkStart w:id="3" w:name="_Hlk97724745"/>
            <w:r>
              <w:rPr>
                <w:i/>
              </w:rPr>
              <w:t xml:space="preserve">Erstellung digitaler Zertifikate (COVID-19-Impf-, Genesenen- und Testzertifikat) durch RKI (betrifft CWA): Zuarbeit durch Herrn </w:t>
            </w:r>
            <w:proofErr w:type="spellStart"/>
            <w:r>
              <w:rPr>
                <w:i/>
              </w:rPr>
              <w:t>Benzler</w:t>
            </w:r>
            <w:proofErr w:type="spellEnd"/>
            <w:r>
              <w:rPr>
                <w:i/>
              </w:rPr>
              <w:t xml:space="preserve"> (FG 32)</w:t>
            </w:r>
          </w:p>
          <w:bookmarkEnd w:id="3"/>
          <w:p>
            <w:pPr>
              <w:pStyle w:val="Liste1"/>
              <w:numPr>
                <w:ilvl w:val="0"/>
                <w:numId w:val="8"/>
              </w:numPr>
            </w:pPr>
            <w:r>
              <w:rPr>
                <w:i/>
              </w:rPr>
              <w:t>Zusammenführung beider Teile durch Frau Hanke (L).</w:t>
            </w:r>
          </w:p>
          <w:p>
            <w:pPr>
              <w:pStyle w:val="Liste1"/>
              <w:numPr>
                <w:ilvl w:val="0"/>
                <w:numId w:val="0"/>
              </w:numPr>
              <w:ind w:left="113"/>
            </w:pPr>
          </w:p>
          <w:p>
            <w:pPr>
              <w:pStyle w:val="2"/>
              <w:rPr>
                <w:i/>
              </w:rPr>
            </w:pPr>
            <w:r>
              <w:t>RKI-intern</w:t>
            </w:r>
          </w:p>
          <w:p>
            <w:pPr>
              <w:pStyle w:val="Liste1"/>
              <w:numPr>
                <w:ilvl w:val="0"/>
                <w:numId w:val="8"/>
              </w:numPr>
            </w:pPr>
            <w:r>
              <w:t>(nicht berichtet)</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t>8</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9</w:t>
            </w:r>
          </w:p>
        </w:tc>
        <w:tc>
          <w:tcPr>
            <w:tcW w:w="6824" w:type="dxa"/>
          </w:tcPr>
          <w:p>
            <w:pPr>
              <w:spacing w:line="276" w:lineRule="auto"/>
              <w:rPr>
                <w:rStyle w:val="TagFrZchn"/>
              </w:rPr>
            </w:pPr>
            <w:r>
              <w:rPr>
                <w:rStyle w:val="1Zchn"/>
              </w:rPr>
              <w:t>Update Impfen</w:t>
            </w:r>
            <w:r>
              <w:rPr>
                <w:b/>
                <w:sz w:val="28"/>
              </w:rPr>
              <w:t xml:space="preserve"> </w:t>
            </w:r>
            <w:r>
              <w:rPr>
                <w:rStyle w:val="TagFrZchn"/>
              </w:rPr>
              <w:t>(nur montags)</w:t>
            </w:r>
          </w:p>
          <w:p>
            <w:pPr>
              <w:pStyle w:val="Liste1"/>
            </w:pPr>
            <w:r>
              <w:t>(nicht berichtet)</w:t>
            </w:r>
          </w:p>
          <w:p>
            <w:pPr>
              <w:pStyle w:val="2"/>
            </w:pPr>
            <w:r>
              <w:t>STIKO</w:t>
            </w:r>
          </w:p>
          <w:p>
            <w:pPr>
              <w:pStyle w:val="Liste1"/>
            </w:pPr>
            <w:r>
              <w:t>xxx</w:t>
            </w: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Labordiagnostik</w:t>
            </w:r>
          </w:p>
          <w:p>
            <w:pPr>
              <w:pStyle w:val="2"/>
            </w:pPr>
            <w:r>
              <w:t>FG17</w:t>
            </w:r>
          </w:p>
          <w:p>
            <w:pPr>
              <w:pStyle w:val="Liste1"/>
            </w:pPr>
            <w:r>
              <w:t>Virologisches Sentinel hatte in den letzten 4 Wochen ## Proben, davon:</w:t>
            </w:r>
          </w:p>
          <w:p>
            <w:pPr>
              <w:pStyle w:val="Liste2"/>
            </w:pPr>
            <w:r>
              <w:t># SARS-CoV-2</w:t>
            </w:r>
          </w:p>
          <w:p>
            <w:pPr>
              <w:pStyle w:val="Liste2"/>
            </w:pPr>
            <w:r>
              <w:t>## Rhinovirus</w:t>
            </w:r>
          </w:p>
          <w:p>
            <w:pPr>
              <w:pStyle w:val="Liste2"/>
            </w:pPr>
            <w:r>
              <w:t>## Parainfluenzavirus</w:t>
            </w:r>
          </w:p>
          <w:p>
            <w:pPr>
              <w:pStyle w:val="Liste2"/>
            </w:pPr>
            <w:r>
              <w:t xml:space="preserve">## saisonale (endemische) Coronaviren </w:t>
            </w:r>
          </w:p>
          <w:p>
            <w:pPr>
              <w:pStyle w:val="Liste2"/>
            </w:pPr>
            <w:r>
              <w:t>## Metapneumovirus</w:t>
            </w:r>
          </w:p>
          <w:p>
            <w:pPr>
              <w:pStyle w:val="Liste2"/>
            </w:pPr>
            <w:r>
              <w:t xml:space="preserve">## </w:t>
            </w:r>
            <w:proofErr w:type="spellStart"/>
            <w:r>
              <w:t>Influenzavirus</w:t>
            </w:r>
            <w:proofErr w:type="spellEnd"/>
          </w:p>
          <w:p>
            <w:pPr>
              <w:pStyle w:val="Liste2"/>
            </w:pPr>
            <w:r>
              <w:t xml:space="preserve">Rest </w:t>
            </w:r>
            <w:proofErr w:type="spellStart"/>
            <w:r>
              <w:t>negativ</w:t>
            </w:r>
            <w:proofErr w:type="spellEnd"/>
          </w:p>
          <w:p>
            <w:pPr>
              <w:pStyle w:val="2"/>
            </w:pPr>
            <w:r>
              <w:t>ZBS1</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lastRenderedPageBreak/>
              <w:t>11</w:t>
            </w:r>
          </w:p>
        </w:tc>
        <w:tc>
          <w:tcPr>
            <w:tcW w:w="6824" w:type="dxa"/>
          </w:tcPr>
          <w:p>
            <w:pPr>
              <w:pStyle w:val="1"/>
            </w:pPr>
            <w:r>
              <w:t>Klinisches Management/Entlassungsmanagement</w:t>
            </w:r>
          </w:p>
          <w:p>
            <w:pPr>
              <w:pStyle w:val="Liste1"/>
            </w:pPr>
            <w:r>
              <w:t>(nicht berichtet)</w:t>
            </w:r>
          </w:p>
          <w:p>
            <w:pPr>
              <w:pStyle w:val="3"/>
              <w:spacing w:before="0"/>
              <w:ind w:left="1077" w:hanging="35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montags)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montags)</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Nächste Sitzung: Montag, 14.03.2022 13:00 Uhr, via Webex</w:t>
            </w:r>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12:25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E36DB8"/>
    <w:multiLevelType w:val="hybridMultilevel"/>
    <w:tmpl w:val="D4D808EE"/>
    <w:lvl w:ilvl="0" w:tplc="0407000B">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3" w15:restartNumberingAfterBreak="0">
    <w:nsid w:val="19115433"/>
    <w:multiLevelType w:val="hybridMultilevel"/>
    <w:tmpl w:val="BB80BD3C"/>
    <w:lvl w:ilvl="0" w:tplc="04070005">
      <w:start w:val="1"/>
      <w:numFmt w:val="bullet"/>
      <w:lvlText w:val=""/>
      <w:lvlJc w:val="left"/>
      <w:pPr>
        <w:ind w:left="833" w:hanging="360"/>
      </w:pPr>
      <w:rPr>
        <w:rFonts w:ascii="Wingdings" w:hAnsi="Wingdings"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4" w15:restartNumberingAfterBreak="0">
    <w:nsid w:val="22AC5A26"/>
    <w:multiLevelType w:val="hybridMultilevel"/>
    <w:tmpl w:val="9858F65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5" w15:restartNumberingAfterBreak="0">
    <w:nsid w:val="2B2A27B1"/>
    <w:multiLevelType w:val="hybridMultilevel"/>
    <w:tmpl w:val="C1FA3AF8"/>
    <w:lvl w:ilvl="0" w:tplc="04070005">
      <w:start w:val="1"/>
      <w:numFmt w:val="bullet"/>
      <w:lvlText w:val=""/>
      <w:lvlJc w:val="left"/>
      <w:pPr>
        <w:ind w:left="1193" w:hanging="360"/>
      </w:pPr>
      <w:rPr>
        <w:rFonts w:ascii="Wingdings" w:hAnsi="Wingdings"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6"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C1A156D"/>
    <w:multiLevelType w:val="hybridMultilevel"/>
    <w:tmpl w:val="4C3C1428"/>
    <w:lvl w:ilvl="0" w:tplc="04070005">
      <w:start w:val="1"/>
      <w:numFmt w:val="bullet"/>
      <w:lvlText w:val=""/>
      <w:lvlJc w:val="left"/>
      <w:pPr>
        <w:ind w:left="1193" w:hanging="360"/>
      </w:pPr>
      <w:rPr>
        <w:rFonts w:ascii="Wingdings" w:hAnsi="Wingdings"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8" w15:restartNumberingAfterBreak="0">
    <w:nsid w:val="35901314"/>
    <w:multiLevelType w:val="hybridMultilevel"/>
    <w:tmpl w:val="0E8A2466"/>
    <w:lvl w:ilvl="0" w:tplc="04070005">
      <w:start w:val="1"/>
      <w:numFmt w:val="bullet"/>
      <w:lvlText w:val=""/>
      <w:lvlJc w:val="left"/>
      <w:pPr>
        <w:ind w:left="1193" w:hanging="360"/>
      </w:pPr>
      <w:rPr>
        <w:rFonts w:ascii="Wingdings" w:hAnsi="Wingdings"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9" w15:restartNumberingAfterBreak="0">
    <w:nsid w:val="3BED2CC1"/>
    <w:multiLevelType w:val="hybridMultilevel"/>
    <w:tmpl w:val="2CECE204"/>
    <w:lvl w:ilvl="0" w:tplc="04070005">
      <w:start w:val="1"/>
      <w:numFmt w:val="bullet"/>
      <w:lvlText w:val=""/>
      <w:lvlJc w:val="left"/>
      <w:pPr>
        <w:ind w:left="1193" w:hanging="360"/>
      </w:pPr>
      <w:rPr>
        <w:rFonts w:ascii="Wingdings" w:hAnsi="Wingdings"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AB08AF"/>
    <w:multiLevelType w:val="hybridMultilevel"/>
    <w:tmpl w:val="B950D612"/>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DC8358F"/>
    <w:multiLevelType w:val="hybridMultilevel"/>
    <w:tmpl w:val="D5C69384"/>
    <w:lvl w:ilvl="0" w:tplc="04070005">
      <w:start w:val="1"/>
      <w:numFmt w:val="bullet"/>
      <w:lvlText w:val=""/>
      <w:lvlJc w:val="left"/>
      <w:pPr>
        <w:ind w:left="833" w:hanging="360"/>
      </w:pPr>
      <w:rPr>
        <w:rFonts w:ascii="Wingdings" w:hAnsi="Wingdings"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4" w15:restartNumberingAfterBreak="0">
    <w:nsid w:val="76492008"/>
    <w:multiLevelType w:val="hybridMultilevel"/>
    <w:tmpl w:val="0AAE107A"/>
    <w:lvl w:ilvl="0" w:tplc="04070005">
      <w:start w:val="1"/>
      <w:numFmt w:val="bullet"/>
      <w:lvlText w:val=""/>
      <w:lvlJc w:val="left"/>
      <w:pPr>
        <w:ind w:left="833" w:hanging="360"/>
      </w:pPr>
      <w:rPr>
        <w:rFonts w:ascii="Wingdings" w:hAnsi="Wingdings"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5" w15:restartNumberingAfterBreak="0">
    <w:nsid w:val="78B76983"/>
    <w:multiLevelType w:val="hybridMultilevel"/>
    <w:tmpl w:val="746CB332"/>
    <w:lvl w:ilvl="0" w:tplc="95F67A12">
      <w:start w:val="1"/>
      <w:numFmt w:val="decimal"/>
      <w:lvlText w:val="%1."/>
      <w:lvlJc w:val="left"/>
      <w:pPr>
        <w:ind w:left="473" w:hanging="360"/>
      </w:pPr>
      <w:rPr>
        <w:rFonts w:hint="default"/>
        <w:i w:val="0"/>
      </w:rPr>
    </w:lvl>
    <w:lvl w:ilvl="1" w:tplc="04070019" w:tentative="1">
      <w:start w:val="1"/>
      <w:numFmt w:val="lowerLetter"/>
      <w:lvlText w:val="%2."/>
      <w:lvlJc w:val="left"/>
      <w:pPr>
        <w:ind w:left="1193" w:hanging="360"/>
      </w:pPr>
    </w:lvl>
    <w:lvl w:ilvl="2" w:tplc="0407001B" w:tentative="1">
      <w:start w:val="1"/>
      <w:numFmt w:val="lowerRoman"/>
      <w:lvlText w:val="%3."/>
      <w:lvlJc w:val="right"/>
      <w:pPr>
        <w:ind w:left="1913" w:hanging="180"/>
      </w:pPr>
    </w:lvl>
    <w:lvl w:ilvl="3" w:tplc="0407000F" w:tentative="1">
      <w:start w:val="1"/>
      <w:numFmt w:val="decimal"/>
      <w:lvlText w:val="%4."/>
      <w:lvlJc w:val="left"/>
      <w:pPr>
        <w:ind w:left="2633" w:hanging="360"/>
      </w:pPr>
    </w:lvl>
    <w:lvl w:ilvl="4" w:tplc="04070019" w:tentative="1">
      <w:start w:val="1"/>
      <w:numFmt w:val="lowerLetter"/>
      <w:lvlText w:val="%5."/>
      <w:lvlJc w:val="left"/>
      <w:pPr>
        <w:ind w:left="3353" w:hanging="360"/>
      </w:pPr>
    </w:lvl>
    <w:lvl w:ilvl="5" w:tplc="0407001B" w:tentative="1">
      <w:start w:val="1"/>
      <w:numFmt w:val="lowerRoman"/>
      <w:lvlText w:val="%6."/>
      <w:lvlJc w:val="right"/>
      <w:pPr>
        <w:ind w:left="4073" w:hanging="180"/>
      </w:pPr>
    </w:lvl>
    <w:lvl w:ilvl="6" w:tplc="0407000F" w:tentative="1">
      <w:start w:val="1"/>
      <w:numFmt w:val="decimal"/>
      <w:lvlText w:val="%7."/>
      <w:lvlJc w:val="left"/>
      <w:pPr>
        <w:ind w:left="4793" w:hanging="360"/>
      </w:pPr>
    </w:lvl>
    <w:lvl w:ilvl="7" w:tplc="04070019" w:tentative="1">
      <w:start w:val="1"/>
      <w:numFmt w:val="lowerLetter"/>
      <w:lvlText w:val="%8."/>
      <w:lvlJc w:val="left"/>
      <w:pPr>
        <w:ind w:left="5513" w:hanging="360"/>
      </w:pPr>
    </w:lvl>
    <w:lvl w:ilvl="8" w:tplc="0407001B" w:tentative="1">
      <w:start w:val="1"/>
      <w:numFmt w:val="lowerRoman"/>
      <w:lvlText w:val="%9."/>
      <w:lvlJc w:val="right"/>
      <w:pPr>
        <w:ind w:left="6233" w:hanging="180"/>
      </w:pPr>
    </w:lvl>
  </w:abstractNum>
  <w:num w:numId="1">
    <w:abstractNumId w:val="10"/>
  </w:num>
  <w:num w:numId="2">
    <w:abstractNumId w:val="1"/>
  </w:num>
  <w:num w:numId="3">
    <w:abstractNumId w:val="0"/>
  </w:num>
  <w:num w:numId="4">
    <w:abstractNumId w:val="12"/>
  </w:num>
  <w:num w:numId="5">
    <w:abstractNumId w:val="6"/>
  </w:num>
  <w:num w:numId="6">
    <w:abstractNumId w:val="4"/>
  </w:num>
  <w:num w:numId="7">
    <w:abstractNumId w:val="11"/>
  </w:num>
  <w:num w:numId="8">
    <w:abstractNumId w:val="2"/>
  </w:num>
  <w:num w:numId="9">
    <w:abstractNumId w:val="15"/>
  </w:num>
  <w:num w:numId="10">
    <w:abstractNumId w:val="14"/>
  </w:num>
  <w:num w:numId="11">
    <w:abstractNumId w:val="3"/>
  </w:num>
  <w:num w:numId="12">
    <w:abstractNumId w:val="13"/>
  </w:num>
  <w:num w:numId="13">
    <w:abstractNumId w:val="8"/>
  </w:num>
  <w:num w:numId="14">
    <w:abstractNumId w:val="9"/>
  </w:num>
  <w:num w:numId="15">
    <w:abstractNumId w:val="7"/>
  </w:num>
  <w:num w:numId="16">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73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syndrom-ARE-SARI-COVID_bis_KW09_2022_f&#252;r-Krisenstab.ppt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VOC20220309_LageAG.pptx" TargetMode="External"/><Relationship Id="rId2" Type="http://schemas.openxmlformats.org/officeDocument/2006/relationships/numbering" Target="numbering.xml"/><Relationship Id="rId16" Type="http://schemas.openxmlformats.org/officeDocument/2006/relationships/hyperlink" Target="Testzahlerfassung%20am%20RKI_2022_03-09.pptx" TargetMode="External"/><Relationship Id="rId20" Type="http://schemas.openxmlformats.org/officeDocument/2006/relationships/hyperlink" Target="20220308_FH_IfSG&#196;ndG_neu_eNorm_6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woechentliche_sterbefallzahlen_2022-03-09.png"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2022-03-09_Intensivregister_SPoCK.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LageNational_2022-03-09.pptx"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FE9E7-24D8-44DC-8F75-CEF51342C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1154</Words>
  <Characters>7274</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Banerji, Sangeeta</cp:lastModifiedBy>
  <cp:revision>13</cp:revision>
  <cp:lastPrinted>2022-03-09T19:48:00Z</cp:lastPrinted>
  <dcterms:created xsi:type="dcterms:W3CDTF">2022-03-09T12:17:00Z</dcterms:created>
  <dcterms:modified xsi:type="dcterms:W3CDTF">2022-03-09T19:54:00Z</dcterms:modified>
</cp:coreProperties>
</file>