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Montag, 14.03.2022, 14:00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Osamah Hamouda</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 xml:space="preserve">Lothar H. </w:t>
      </w:r>
      <w:proofErr w:type="spellStart"/>
      <w:r>
        <w:rPr>
          <w:sz w:val="22"/>
          <w:szCs w:val="22"/>
        </w:rPr>
        <w:t>Wieler</w:t>
      </w:r>
      <w:proofErr w:type="spellEnd"/>
    </w:p>
    <w:p>
      <w:pPr>
        <w:pStyle w:val="Listenabsatz"/>
        <w:numPr>
          <w:ilvl w:val="1"/>
          <w:numId w:val="2"/>
        </w:numPr>
        <w:spacing w:after="0"/>
        <w:rPr>
          <w:sz w:val="22"/>
          <w:szCs w:val="22"/>
        </w:rPr>
      </w:pPr>
      <w:r>
        <w:rPr>
          <w:sz w:val="22"/>
          <w:szCs w:val="22"/>
        </w:rPr>
        <w:t>Esther-Maria Antão</w:t>
      </w:r>
    </w:p>
    <w:p>
      <w:pPr>
        <w:pStyle w:val="Listenabsatz"/>
        <w:numPr>
          <w:ilvl w:val="1"/>
          <w:numId w:val="2"/>
        </w:numPr>
        <w:spacing w:after="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FG11</w:t>
      </w:r>
    </w:p>
    <w:p>
      <w:pPr>
        <w:pStyle w:val="Listenabsatz"/>
        <w:numPr>
          <w:ilvl w:val="1"/>
          <w:numId w:val="2"/>
        </w:numPr>
        <w:spacing w:after="0"/>
        <w:contextualSpacing w:val="0"/>
        <w:rPr>
          <w:sz w:val="22"/>
          <w:szCs w:val="22"/>
        </w:rPr>
      </w:pPr>
      <w:r>
        <w:rPr>
          <w:sz w:val="22"/>
          <w:szCs w:val="22"/>
        </w:rPr>
        <w:t>Sangeeta Banerji (Protokoll)</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Thomas Harder </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rPr>
      </w:pPr>
      <w:r>
        <w:rPr>
          <w:sz w:val="22"/>
        </w:rPr>
        <w:t xml:space="preserve">Matthias </w:t>
      </w:r>
      <w:proofErr w:type="gramStart"/>
      <w:r>
        <w:rPr>
          <w:sz w:val="22"/>
        </w:rPr>
        <w:t>an der Heiden</w:t>
      </w:r>
      <w:proofErr w:type="gramEnd"/>
    </w:p>
    <w:p>
      <w:pPr>
        <w:pStyle w:val="Listenabsatz"/>
        <w:numPr>
          <w:ilvl w:val="0"/>
          <w:numId w:val="2"/>
        </w:numPr>
        <w:spacing w:after="0"/>
        <w:contextualSpacing w:val="0"/>
        <w:rPr>
          <w:sz w:val="22"/>
          <w:szCs w:val="22"/>
        </w:rPr>
      </w:pPr>
      <w:r>
        <w:rPr>
          <w:sz w:val="22"/>
          <w:szCs w:val="22"/>
        </w:rPr>
        <w:t>FG35</w:t>
      </w:r>
    </w:p>
    <w:p>
      <w:pPr>
        <w:pStyle w:val="Listenabsatz"/>
        <w:numPr>
          <w:ilvl w:val="1"/>
          <w:numId w:val="2"/>
        </w:numPr>
        <w:spacing w:after="0"/>
        <w:contextualSpacing w:val="0"/>
        <w:rPr>
          <w:sz w:val="22"/>
          <w:szCs w:val="22"/>
        </w:rPr>
      </w:pPr>
      <w:r>
        <w:rPr>
          <w:sz w:val="22"/>
          <w:szCs w:val="22"/>
        </w:rPr>
        <w:t xml:space="preserve">Hendrik Wilking </w:t>
      </w:r>
    </w:p>
    <w:p>
      <w:pPr>
        <w:pStyle w:val="Listenabsatz"/>
        <w:numPr>
          <w:ilvl w:val="1"/>
          <w:numId w:val="2"/>
        </w:numPr>
        <w:spacing w:after="0"/>
        <w:contextualSpacing w:val="0"/>
        <w:rPr>
          <w:sz w:val="22"/>
          <w:szCs w:val="22"/>
        </w:rPr>
      </w:pPr>
      <w:r>
        <w:rPr>
          <w:sz w:val="22"/>
          <w:szCs w:val="22"/>
        </w:rPr>
        <w:t>Christina Frank</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Maria an der Heiden</w:t>
      </w:r>
    </w:p>
    <w:p>
      <w:pPr>
        <w:pStyle w:val="Listenabsatz"/>
        <w:numPr>
          <w:ilvl w:val="1"/>
          <w:numId w:val="2"/>
        </w:numPr>
        <w:spacing w:after="0"/>
        <w:contextualSpacing w:val="0"/>
        <w:rPr>
          <w:sz w:val="22"/>
          <w:szCs w:val="22"/>
        </w:rPr>
      </w:pPr>
      <w:r>
        <w:rPr>
          <w:sz w:val="22"/>
          <w:szCs w:val="22"/>
        </w:rPr>
        <w:t>Meike Schöll</w:t>
      </w:r>
    </w:p>
    <w:p>
      <w:pPr>
        <w:pStyle w:val="Listenabsatz"/>
        <w:numPr>
          <w:ilvl w:val="0"/>
          <w:numId w:val="3"/>
        </w:numPr>
        <w:spacing w:after="0"/>
        <w:contextualSpacing w:val="0"/>
        <w:rPr>
          <w:sz w:val="22"/>
          <w:szCs w:val="22"/>
        </w:rPr>
      </w:pPr>
      <w:r>
        <w:rPr>
          <w:sz w:val="22"/>
          <w:szCs w:val="22"/>
        </w:rPr>
        <w:t>MF2</w:t>
      </w:r>
    </w:p>
    <w:p>
      <w:pPr>
        <w:pStyle w:val="Listenabsatz"/>
        <w:numPr>
          <w:ilvl w:val="1"/>
          <w:numId w:val="3"/>
        </w:numPr>
        <w:spacing w:after="0"/>
        <w:contextualSpacing w:val="0"/>
        <w:rPr>
          <w:sz w:val="22"/>
          <w:szCs w:val="22"/>
        </w:rPr>
      </w:pPr>
      <w:r>
        <w:rPr>
          <w:sz w:val="22"/>
          <w:szCs w:val="22"/>
        </w:rPr>
        <w:t>Torsten Semmler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Linda Seefeld</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montags)</w:t>
            </w:r>
          </w:p>
          <w:p>
            <w:pPr>
              <w:pStyle w:val="Liste2"/>
            </w:pPr>
            <w:r>
              <w:t>(nicht berichtet)</w:t>
            </w:r>
          </w:p>
          <w:p>
            <w:pPr>
              <w:pStyle w:val="2"/>
            </w:pPr>
            <w:r>
              <w:t xml:space="preserve">National </w:t>
            </w:r>
          </w:p>
          <w:p>
            <w:pPr>
              <w:pStyle w:val="Liste2"/>
            </w:pPr>
            <w:r>
              <w:t xml:space="preserve">Fallzahlen, </w:t>
            </w:r>
            <w:proofErr w:type="spellStart"/>
            <w:r>
              <w:t>Todesfälle</w:t>
            </w:r>
            <w:proofErr w:type="spellEnd"/>
            <w:r>
              <w:t xml:space="preserve">, Trend, </w:t>
            </w:r>
            <w:proofErr w:type="spellStart"/>
            <w:r>
              <w:t>Folien</w:t>
            </w:r>
            <w:proofErr w:type="spellEnd"/>
            <w:r>
              <w:t xml:space="preserve"> </w:t>
            </w:r>
            <w:hyperlink r:id="rId14" w:history="1">
              <w:proofErr w:type="spellStart"/>
              <w:r>
                <w:rPr>
                  <w:rStyle w:val="Hyperlink"/>
                </w:rPr>
                <w:t>hier</w:t>
              </w:r>
              <w:proofErr w:type="spellEnd"/>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17.233.729 (+92.378), davon 125.590 (+19) Todesfälle </w:t>
            </w:r>
          </w:p>
          <w:p>
            <w:pPr>
              <w:pStyle w:val="Liste2"/>
            </w:pPr>
            <w:r>
              <w:t xml:space="preserve">7-Tage-Inzidenz:  1543/100.000 </w:t>
            </w:r>
            <w:proofErr w:type="spellStart"/>
            <w:r>
              <w:t>Einw</w:t>
            </w:r>
            <w:proofErr w:type="spellEnd"/>
            <w:r>
              <w:t>.</w:t>
            </w:r>
          </w:p>
          <w:p>
            <w:pPr>
              <w:pStyle w:val="Liste2"/>
              <w:rPr>
                <w:lang w:val="de-DE"/>
              </w:rPr>
            </w:pPr>
            <w:r>
              <w:rPr>
                <w:lang w:val="de-DE"/>
              </w:rPr>
              <w:t>Impfmonitoring: Geimpfte mit 1. Dosis 63.573.574 (76,5%), mit vollständiger Impfung 62.962.262 (75,7%)</w:t>
            </w:r>
          </w:p>
          <w:p>
            <w:pPr>
              <w:pStyle w:val="Liste2"/>
              <w:rPr>
                <w:lang w:val="de-DE"/>
              </w:rPr>
            </w:pPr>
            <w:r>
              <w:rPr>
                <w:lang w:val="de-DE"/>
              </w:rPr>
              <w:t>Verlauf der 7-Tage-Inzidenz der Bundesländer:</w:t>
            </w:r>
          </w:p>
          <w:p>
            <w:pPr>
              <w:pStyle w:val="Liste3"/>
            </w:pPr>
            <w:r>
              <w:t>Bei keinem BL ein deutlicher Rückgang zu verzeichnen, eher stagnierend oder steigend. Mecklenburg-Vorpommern hat höchste Inzidenz</w:t>
            </w:r>
          </w:p>
          <w:p>
            <w:pPr>
              <w:pStyle w:val="Liste3"/>
            </w:pPr>
            <w:r>
              <w:t>In allen AG ist ein Anstieg zu verzeichnen, außer bei den 0-4-Jährigen</w:t>
            </w:r>
          </w:p>
          <w:p>
            <w:pPr>
              <w:pStyle w:val="Liste2"/>
              <w:rPr>
                <w:rStyle w:val="TagMiZchn"/>
                <w:b w:val="0"/>
                <w:bCs/>
                <w:lang w:val="de-DE"/>
              </w:rPr>
            </w:pPr>
            <w:r>
              <w:rPr>
                <w:rStyle w:val="3Zchn"/>
                <w:b w:val="0"/>
                <w:lang w:val="de-DE"/>
              </w:rPr>
              <w:t>Testkapazität und Testungen</w:t>
            </w:r>
            <w:r>
              <w:rPr>
                <w:lang w:val="de-DE"/>
              </w:rPr>
              <w:t xml:space="preserve"> </w:t>
            </w:r>
            <w:r>
              <w:rPr>
                <w:rStyle w:val="TagMiZchn"/>
                <w:bCs/>
                <w:lang w:val="de-DE"/>
              </w:rPr>
              <w:t xml:space="preserve">(nur mittwochs) </w:t>
            </w:r>
          </w:p>
          <w:p>
            <w:pPr>
              <w:pStyle w:val="Liste2"/>
            </w:pPr>
            <w:r>
              <w:t>(nicht berichtet)</w:t>
            </w:r>
          </w:p>
          <w:p>
            <w:pPr>
              <w:pStyle w:val="Liste2"/>
            </w:pPr>
            <w:r>
              <w:t xml:space="preserve">ARS-Daten </w:t>
            </w:r>
          </w:p>
          <w:p>
            <w:pPr>
              <w:pStyle w:val="Liste2"/>
            </w:pPr>
            <w:r>
              <w:t>(nicht berichtet)</w:t>
            </w:r>
          </w:p>
          <w:p>
            <w:pPr>
              <w:pStyle w:val="Liste2"/>
            </w:pPr>
            <w:r>
              <w:t>VOC-Bericht</w:t>
            </w:r>
          </w:p>
          <w:p>
            <w:pPr>
              <w:pStyle w:val="Liste2"/>
            </w:pPr>
            <w:r>
              <w:t>(nicht berichtet)</w:t>
            </w:r>
          </w:p>
          <w:p>
            <w:pPr>
              <w:pStyle w:val="Liste2"/>
            </w:pPr>
            <w:r>
              <w:t>Molekulare Surveillance (nur mittwochs)</w:t>
            </w:r>
          </w:p>
          <w:p>
            <w:pPr>
              <w:pStyle w:val="Liste2"/>
            </w:pPr>
            <w:r>
              <w:t>(nicht berichtet)</w:t>
            </w:r>
          </w:p>
          <w:p>
            <w:pPr>
              <w:pStyle w:val="Liste2"/>
            </w:pPr>
            <w:proofErr w:type="spellStart"/>
            <w:r>
              <w:t>Syndromische</w:t>
            </w:r>
            <w:proofErr w:type="spellEnd"/>
            <w:r>
              <w:t xml:space="preserve"> Surveillance</w:t>
            </w:r>
            <w:r>
              <w:rPr>
                <w:rStyle w:val="TagMiZchn"/>
              </w:rPr>
              <w:t xml:space="preserve"> (</w:t>
            </w:r>
            <w:proofErr w:type="spellStart"/>
            <w:r>
              <w:rPr>
                <w:rStyle w:val="TagMiZchn"/>
              </w:rPr>
              <w:t>nur</w:t>
            </w:r>
            <w:proofErr w:type="spellEnd"/>
            <w:r>
              <w:rPr>
                <w:rStyle w:val="TagMiZchn"/>
              </w:rPr>
              <w:t xml:space="preserve"> </w:t>
            </w:r>
            <w:proofErr w:type="spellStart"/>
            <w:r>
              <w:rPr>
                <w:rStyle w:val="TagMiZchn"/>
              </w:rPr>
              <w:t>mittwochs</w:t>
            </w:r>
            <w:proofErr w:type="spellEnd"/>
            <w:r>
              <w:rPr>
                <w:rStyle w:val="TagMiZchn"/>
              </w:rPr>
              <w:t>)</w:t>
            </w:r>
            <w:r>
              <w:rPr>
                <w:i/>
                <w:color w:val="D99594" w:themeColor="accent2" w:themeTint="99"/>
                <w:sz w:val="20"/>
                <w:szCs w:val="20"/>
              </w:rPr>
              <w:t xml:space="preserve"> </w:t>
            </w:r>
          </w:p>
          <w:p>
            <w:pPr>
              <w:pStyle w:val="Liste2"/>
            </w:pPr>
            <w:r>
              <w:t>(nicht berichtet)</w:t>
            </w:r>
          </w:p>
          <w:p>
            <w:pPr>
              <w:pStyle w:val="Liste2"/>
              <w:rPr>
                <w:rStyle w:val="TagMiZchn"/>
                <w:b w:val="0"/>
                <w:lang w:val="de-DE"/>
              </w:rPr>
            </w:pPr>
            <w:r>
              <w:rPr>
                <w:lang w:val="de-DE"/>
              </w:rPr>
              <w:t xml:space="preserve">Virologische Surveillance, NRZ Influenza-Daten </w:t>
            </w:r>
            <w:r>
              <w:rPr>
                <w:rStyle w:val="TagMiZchn"/>
                <w:lang w:val="de-DE"/>
              </w:rPr>
              <w:t xml:space="preserve">(nur mittwochs) </w:t>
            </w:r>
          </w:p>
          <w:p>
            <w:pPr>
              <w:pStyle w:val="Liste2"/>
            </w:pPr>
            <w:r>
              <w:t>(nicht berichtet)</w:t>
            </w:r>
          </w:p>
          <w:p>
            <w:pPr>
              <w:pStyle w:val="Liste2"/>
              <w:rPr>
                <w:rStyle w:val="TagMiZchn"/>
                <w:b w:val="0"/>
                <w:bCs/>
                <w:lang w:val="de-DE"/>
              </w:rPr>
            </w:pPr>
            <w:r>
              <w:rPr>
                <w:lang w:val="de-DE"/>
              </w:rPr>
              <w:t xml:space="preserve">Zahlen zum DIVI-Intensivregister </w:t>
            </w:r>
            <w:r>
              <w:rPr>
                <w:rStyle w:val="TagMiZchn"/>
                <w:bCs/>
                <w:lang w:val="de-DE"/>
              </w:rPr>
              <w:t>(nur mittwochs)</w:t>
            </w:r>
          </w:p>
          <w:p>
            <w:pPr>
              <w:pStyle w:val="Liste2"/>
            </w:pPr>
            <w:r>
              <w:t>(nicht berichtet)</w:t>
            </w:r>
          </w:p>
          <w:p>
            <w:pPr>
              <w:pStyle w:val="Liste2"/>
            </w:pPr>
            <w:proofErr w:type="spellStart"/>
            <w:r>
              <w:t>Modellierungen</w:t>
            </w:r>
            <w:proofErr w:type="spellEnd"/>
            <w:r>
              <w:t xml:space="preserve"> </w:t>
            </w:r>
            <w:r>
              <w:rPr>
                <w:b/>
                <w:i/>
                <w:color w:val="95B3D7" w:themeColor="accent1" w:themeTint="99"/>
                <w:sz w:val="20"/>
              </w:rPr>
              <w:t>(</w:t>
            </w:r>
            <w:proofErr w:type="spellStart"/>
            <w:r>
              <w:rPr>
                <w:b/>
                <w:i/>
                <w:color w:val="95B3D7" w:themeColor="accent1" w:themeTint="99"/>
                <w:sz w:val="20"/>
              </w:rPr>
              <w:t>nur</w:t>
            </w:r>
            <w:proofErr w:type="spellEnd"/>
            <w:r>
              <w:rPr>
                <w:b/>
                <w:i/>
                <w:color w:val="95B3D7" w:themeColor="accent1" w:themeTint="99"/>
                <w:sz w:val="20"/>
              </w:rPr>
              <w:t xml:space="preserve"> </w:t>
            </w:r>
            <w:proofErr w:type="spellStart"/>
            <w:r>
              <w:rPr>
                <w:b/>
                <w:i/>
                <w:color w:val="95B3D7" w:themeColor="accent1" w:themeTint="99"/>
                <w:sz w:val="20"/>
              </w:rPr>
              <w:t>montags</w:t>
            </w:r>
            <w:proofErr w:type="spellEnd"/>
            <w:r>
              <w:rPr>
                <w:b/>
                <w:i/>
                <w:color w:val="95B3D7" w:themeColor="accent1" w:themeTint="99"/>
                <w:sz w:val="20"/>
              </w:rPr>
              <w:t>)</w:t>
            </w:r>
          </w:p>
          <w:p>
            <w:pPr>
              <w:pStyle w:val="Liste2"/>
              <w:rPr>
                <w:lang w:val="de-DE"/>
              </w:rPr>
            </w:pPr>
            <w:r>
              <w:rPr>
                <w:lang w:val="de-DE"/>
              </w:rPr>
              <w:t xml:space="preserve">Aussagekraft adjustierte Hospitalisierungsinzidenz </w:t>
            </w:r>
          </w:p>
          <w:p>
            <w:pPr>
              <w:pStyle w:val="Liste2"/>
              <w:numPr>
                <w:ilvl w:val="0"/>
                <w:numId w:val="47"/>
              </w:numPr>
            </w:pPr>
            <w:proofErr w:type="spellStart"/>
            <w:r>
              <w:t>Folien</w:t>
            </w:r>
            <w:proofErr w:type="spellEnd"/>
            <w:r>
              <w:t xml:space="preserve"> </w:t>
            </w:r>
            <w:hyperlink r:id="rId15" w:history="1">
              <w:proofErr w:type="spellStart"/>
              <w:r>
                <w:rPr>
                  <w:rStyle w:val="Hyperlink"/>
                </w:rPr>
                <w:t>hier</w:t>
              </w:r>
              <w:proofErr w:type="spellEnd"/>
            </w:hyperlink>
          </w:p>
          <w:p>
            <w:pPr>
              <w:pStyle w:val="Liste2"/>
              <w:numPr>
                <w:ilvl w:val="0"/>
                <w:numId w:val="47"/>
              </w:numPr>
              <w:rPr>
                <w:lang w:val="de-DE"/>
              </w:rPr>
            </w:pPr>
            <w:r>
              <w:rPr>
                <w:lang w:val="de-DE"/>
              </w:rPr>
              <w:t>Anforderung des BMG Adjustierung zu evaluieren</w:t>
            </w:r>
          </w:p>
          <w:p>
            <w:pPr>
              <w:pStyle w:val="Liste2"/>
              <w:numPr>
                <w:ilvl w:val="0"/>
                <w:numId w:val="47"/>
              </w:numPr>
              <w:rPr>
                <w:lang w:val="de-DE"/>
              </w:rPr>
            </w:pPr>
            <w:r>
              <w:rPr>
                <w:lang w:val="de-DE"/>
              </w:rPr>
              <w:t xml:space="preserve">Vergleich adjustierter Werte (hellblaue Linie) mit nachberichteten Werten (orangefarbene Linie) </w:t>
            </w:r>
          </w:p>
          <w:p>
            <w:pPr>
              <w:pStyle w:val="Liste2"/>
              <w:numPr>
                <w:ilvl w:val="0"/>
                <w:numId w:val="47"/>
              </w:numPr>
              <w:rPr>
                <w:lang w:val="de-DE"/>
              </w:rPr>
            </w:pPr>
            <w:r>
              <w:rPr>
                <w:lang w:val="de-DE"/>
              </w:rPr>
              <w:t xml:space="preserve">Fazit: Adjustierung bildet Nachmeldungen gut ab. Es handelt sich um eine robuste Methode </w:t>
            </w:r>
          </w:p>
          <w:p>
            <w:pPr>
              <w:pStyle w:val="Liste2"/>
              <w:numPr>
                <w:ilvl w:val="0"/>
                <w:numId w:val="0"/>
              </w:numPr>
              <w:ind w:left="833" w:hanging="360"/>
              <w:rPr>
                <w:lang w:val="de-DE"/>
              </w:rPr>
            </w:pPr>
          </w:p>
          <w:p>
            <w:pPr>
              <w:pStyle w:val="Liste2"/>
              <w:numPr>
                <w:ilvl w:val="0"/>
                <w:numId w:val="0"/>
              </w:numPr>
              <w:ind w:left="833" w:hanging="360"/>
              <w:rPr>
                <w:lang w:val="de-DE"/>
              </w:rPr>
            </w:pPr>
            <w:r>
              <w:rPr>
                <w:lang w:val="de-DE"/>
              </w:rPr>
              <w:t xml:space="preserve">Diskussion: </w:t>
            </w:r>
          </w:p>
          <w:p>
            <w:pPr>
              <w:pStyle w:val="Liste2"/>
              <w:numPr>
                <w:ilvl w:val="0"/>
                <w:numId w:val="0"/>
              </w:numPr>
              <w:ind w:left="833" w:hanging="360"/>
              <w:rPr>
                <w:lang w:val="de-DE"/>
              </w:rPr>
            </w:pPr>
            <w:r>
              <w:rPr>
                <w:lang w:val="de-DE"/>
              </w:rPr>
              <w:t xml:space="preserve">Frage: Soll die adjustierte Kurve hervorgehoben werden und regelmäßig in den Berichten einfließen? Antwort: Soll im Jour </w:t>
            </w:r>
            <w:proofErr w:type="spellStart"/>
            <w:r>
              <w:rPr>
                <w:lang w:val="de-DE"/>
              </w:rPr>
              <w:t>Fix</w:t>
            </w:r>
            <w:proofErr w:type="spellEnd"/>
            <w:r>
              <w:rPr>
                <w:lang w:val="de-DE"/>
              </w:rPr>
              <w:t xml:space="preserve"> angesprochen werden</w:t>
            </w:r>
          </w:p>
          <w:p>
            <w:pPr>
              <w:pStyle w:val="Liste2"/>
              <w:numPr>
                <w:ilvl w:val="0"/>
                <w:numId w:val="0"/>
              </w:numPr>
              <w:ind w:left="833" w:hanging="360"/>
              <w:rPr>
                <w:lang w:val="de-DE"/>
              </w:rPr>
            </w:pPr>
            <w:r>
              <w:rPr>
                <w:lang w:val="de-DE"/>
              </w:rPr>
              <w:t>Frage: Was ist die Ursache der Absenkung der Fallzahlen im Januar? Antwort: Ende Delta Welle, Omikron Welle begann etwas später.</w:t>
            </w:r>
          </w:p>
          <w:p>
            <w:pPr>
              <w:pStyle w:val="Liste2"/>
              <w:numPr>
                <w:ilvl w:val="0"/>
                <w:numId w:val="48"/>
              </w:numPr>
              <w:rPr>
                <w:lang w:val="de-DE"/>
              </w:rPr>
            </w:pPr>
            <w:r>
              <w:rPr>
                <w:lang w:val="de-DE"/>
              </w:rPr>
              <w:lastRenderedPageBreak/>
              <w:t xml:space="preserve">Frage: Ist vom BMG eine stärkere Fixierung auf Hospitalisierungsinzidenz geplant und sollen adjustierte Werte als Referenz genommen werden? Antwort: Unbekannt, aber möglich. </w:t>
            </w:r>
          </w:p>
          <w:p>
            <w:pPr>
              <w:pStyle w:val="Liste2"/>
              <w:numPr>
                <w:ilvl w:val="0"/>
                <w:numId w:val="48"/>
              </w:numPr>
              <w:rPr>
                <w:lang w:val="de-DE"/>
              </w:rPr>
            </w:pPr>
            <w:r>
              <w:rPr>
                <w:lang w:val="de-DE"/>
              </w:rPr>
              <w:t>Es wurde klargestellt, dass Hospitalisierungsinzidenz kein Marker für Krankenhausauslastung darstellt, da Anzahl betreibbarer Betten unbekannt. Es kann mit Einschränkung als Schätzer zur Krankheitsschwere herangezogen werden, wobei unklar ist, ob Einweisung aufgrund von COVID war oder COVID Zufallsbefund darstellte.</w:t>
            </w:r>
          </w:p>
          <w:p>
            <w:pPr>
              <w:pStyle w:val="Liste2"/>
              <w:numPr>
                <w:ilvl w:val="0"/>
                <w:numId w:val="0"/>
              </w:numPr>
              <w:ind w:left="833" w:hanging="360"/>
              <w:rPr>
                <w:lang w:val="de-DE"/>
              </w:rPr>
            </w:pPr>
          </w:p>
          <w:p>
            <w:pPr>
              <w:pStyle w:val="Liste2"/>
              <w:numPr>
                <w:ilvl w:val="0"/>
                <w:numId w:val="48"/>
              </w:numPr>
              <w:rPr>
                <w:lang w:val="de-DE"/>
              </w:rPr>
            </w:pPr>
            <w:r>
              <w:rPr>
                <w:lang w:val="de-DE"/>
              </w:rPr>
              <w:t xml:space="preserve">Sari-Surveillance mit COVID ist daher besser geeignet als überregionaler Schätzer zur Krankheitsschwere von COVID </w:t>
            </w:r>
          </w:p>
          <w:p>
            <w:pPr>
              <w:pStyle w:val="Listenabsatz"/>
            </w:pPr>
          </w:p>
          <w:p>
            <w:pPr>
              <w:pStyle w:val="Liste2"/>
              <w:numPr>
                <w:ilvl w:val="0"/>
                <w:numId w:val="48"/>
              </w:numPr>
              <w:rPr>
                <w:lang w:val="de-DE"/>
              </w:rPr>
            </w:pPr>
            <w:r>
              <w:rPr>
                <w:lang w:val="de-DE"/>
              </w:rPr>
              <w:t>Es fehlt ein Schätzer zur Beurteilung der regionalen Krankheitslast durch COVID</w:t>
            </w:r>
          </w:p>
          <w:p>
            <w:pPr>
              <w:pStyle w:val="Liste2"/>
              <w:numPr>
                <w:ilvl w:val="0"/>
                <w:numId w:val="0"/>
              </w:numPr>
              <w:ind w:left="833" w:hanging="360"/>
              <w:rPr>
                <w:lang w:val="de-DE"/>
              </w:rPr>
            </w:pPr>
          </w:p>
          <w:p>
            <w:pPr>
              <w:pStyle w:val="Liste2"/>
              <w:numPr>
                <w:ilvl w:val="0"/>
                <w:numId w:val="48"/>
              </w:numPr>
              <w:rPr>
                <w:lang w:val="de-DE"/>
              </w:rPr>
            </w:pPr>
            <w:r>
              <w:rPr>
                <w:lang w:val="de-DE"/>
              </w:rPr>
              <w:t>Da am BMG mit Frau Teichert eine neue Person zuständig ist, die die alten Berichte nicht kennt, soll ein Bericht bezüglich der Aussagekraft adjustierte Hospitalisierungsinzidenz  für das BMG erstellt werden, in dem zusätzlich die in der o.g. Diskussion angesprochenen Punkte einfließen</w:t>
            </w:r>
          </w:p>
          <w:p>
            <w:pPr>
              <w:pStyle w:val="Listenabsatz"/>
              <w:rPr>
                <w:b/>
              </w:rPr>
            </w:pPr>
          </w:p>
          <w:p>
            <w:pPr>
              <w:pStyle w:val="Liste2"/>
              <w:numPr>
                <w:ilvl w:val="0"/>
                <w:numId w:val="0"/>
              </w:numPr>
              <w:rPr>
                <w:b/>
                <w:lang w:val="de-DE"/>
              </w:rPr>
            </w:pPr>
            <w:proofErr w:type="spellStart"/>
            <w:r>
              <w:rPr>
                <w:b/>
                <w:lang w:val="de-DE"/>
              </w:rPr>
              <w:t>ToDo</w:t>
            </w:r>
            <w:proofErr w:type="spellEnd"/>
          </w:p>
          <w:p>
            <w:pPr>
              <w:pStyle w:val="Liste2"/>
              <w:numPr>
                <w:ilvl w:val="0"/>
                <w:numId w:val="0"/>
              </w:numPr>
              <w:rPr>
                <w:lang w:val="de-DE"/>
              </w:rPr>
            </w:pPr>
            <w:r>
              <w:rPr>
                <w:i/>
                <w:lang w:val="de-DE"/>
              </w:rPr>
              <w:t xml:space="preserve">Bericht für BMG zur Aussagekraft adjustierte Hospitalisierungsinzidenz erstellen, wobei auch eine Bewertung anderer zur Verfügung stehender Marker gemäß obiger Diskussion erfolgen soll (Diercke und Matthias </w:t>
            </w:r>
            <w:proofErr w:type="gramStart"/>
            <w:r>
              <w:rPr>
                <w:i/>
                <w:lang w:val="de-DE"/>
              </w:rPr>
              <w:t>an der Heiden</w:t>
            </w:r>
            <w:proofErr w:type="gramEnd"/>
            <w:r>
              <w:rPr>
                <w:i/>
                <w:lang w:val="de-DE"/>
              </w:rPr>
              <w:t>)</w:t>
            </w: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r>
              <w:rPr>
                <w:sz w:val="22"/>
                <w:szCs w:val="22"/>
              </w:rPr>
              <w:t>FG32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t xml:space="preserve">Matthias </w:t>
            </w:r>
            <w:proofErr w:type="gramStart"/>
            <w:r>
              <w:t>an der Heiden</w:t>
            </w:r>
            <w:proofErr w:type="gramEnd"/>
          </w:p>
          <w:p>
            <w:pPr>
              <w:rPr>
                <w:sz w:val="22"/>
                <w:szCs w:val="22"/>
              </w:rPr>
            </w:pPr>
          </w:p>
          <w:p>
            <w:pPr>
              <w:rPr>
                <w:sz w:val="22"/>
                <w:szCs w:val="22"/>
              </w:rPr>
            </w:pPr>
            <w:r>
              <w:rPr>
                <w:sz w:val="22"/>
                <w:szCs w:val="22"/>
              </w:rPr>
              <w:br/>
            </w:r>
          </w:p>
        </w:tc>
      </w:tr>
      <w:tr>
        <w:tc>
          <w:tcPr>
            <w:tcW w:w="684" w:type="dxa"/>
          </w:tcPr>
          <w:p>
            <w:pPr>
              <w:rPr>
                <w:b/>
              </w:rPr>
            </w:pPr>
            <w:r>
              <w:rPr>
                <w:b/>
              </w:rPr>
              <w:t>2</w:t>
            </w:r>
          </w:p>
        </w:tc>
        <w:tc>
          <w:tcPr>
            <w:tcW w:w="6824" w:type="dxa"/>
          </w:tcPr>
          <w:p>
            <w:pPr>
              <w:spacing w:line="276" w:lineRule="auto"/>
              <w:rPr>
                <w:rStyle w:val="TagFrZchn"/>
              </w:rPr>
            </w:pPr>
            <w:r>
              <w:rPr>
                <w:rStyle w:val="1Zchn"/>
              </w:rPr>
              <w:t>Internationales</w:t>
            </w:r>
            <w:r>
              <w:rPr>
                <w:b/>
                <w:color w:val="FF0000"/>
              </w:rPr>
              <w:t xml:space="preserve"> </w:t>
            </w:r>
            <w:r>
              <w:rPr>
                <w:rStyle w:val="TagMiZchn"/>
                <w:bCs/>
              </w:rPr>
              <w:t>(nur mittwochs)</w:t>
            </w:r>
          </w:p>
          <w:p>
            <w:pPr>
              <w:pStyle w:val="Liste1"/>
            </w:pPr>
            <w:r>
              <w:t>(nicht berichtet)</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montags)</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 xml:space="preserve">Diskussion der Änderungsvorschläge zur Risikobewertung </w:t>
            </w:r>
          </w:p>
          <w:p>
            <w:pPr>
              <w:pStyle w:val="Liste2"/>
            </w:pPr>
            <w:r>
              <w:t>xxx</w:t>
            </w:r>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t>5</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Letzte Woche fand keine Tagung statt</w:t>
            </w:r>
          </w:p>
          <w:p>
            <w:pPr>
              <w:pStyle w:val="Liste1"/>
            </w:pPr>
            <w:r>
              <w:t xml:space="preserve">Es wurde eine Stellungnahme veröffentlicht zu grundsätzlichen Parametern des Infektionsschutzgesetztes. Sie ist auf der Webseite des Kanzleramts abrufbar. </w:t>
            </w:r>
          </w:p>
          <w:p>
            <w:pPr>
              <w:pStyle w:val="Liste1"/>
            </w:pPr>
            <w:r>
              <w:lastRenderedPageBreak/>
              <w:t>In der morgigen Sitzung wird voraussichtlich die erste Fassung der Stellungnahme zum Umgang mit dem kommenden Herbst/Winter zirkuliert</w:t>
            </w:r>
          </w:p>
        </w:tc>
        <w:tc>
          <w:tcPr>
            <w:tcW w:w="1463" w:type="dxa"/>
          </w:tcPr>
          <w:p>
            <w:pPr>
              <w:rPr>
                <w:sz w:val="22"/>
                <w:szCs w:val="22"/>
              </w:rPr>
            </w:pPr>
            <w:proofErr w:type="spellStart"/>
            <w:r>
              <w:rPr>
                <w:sz w:val="22"/>
                <w:szCs w:val="22"/>
              </w:rPr>
              <w:lastRenderedPageBreak/>
              <w:t>Wieler</w:t>
            </w:r>
            <w:proofErr w:type="spellEnd"/>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1"/>
            </w:pPr>
            <w:r>
              <w:t>Aktivitäten neu:</w:t>
            </w:r>
          </w:p>
          <w:p>
            <w:pPr>
              <w:pStyle w:val="Liste1"/>
            </w:pPr>
            <w:r>
              <w:t>ÖGD Mailing von Medienseite auf Ukrainisch (Matehttps://www.infektionsschutz.de/mediathek/materialien-auf-ukrainisch/rialien auf Ukrainisch - infektionsschutz.de)</w:t>
            </w:r>
          </w:p>
          <w:p>
            <w:pPr>
              <w:pStyle w:val="Liste1"/>
            </w:pPr>
            <w:r>
              <w:t>Pflegemerkblatt + Impfschema veröffentlicht</w:t>
            </w:r>
          </w:p>
          <w:p>
            <w:pPr>
              <w:pStyle w:val="2"/>
            </w:pPr>
            <w:r>
              <w:t>Presse</w:t>
            </w:r>
          </w:p>
          <w:p>
            <w:pPr>
              <w:pStyle w:val="Liste1"/>
            </w:pPr>
            <w:r>
              <w:t>Tweet zum letzten Wochenbericht erhielt sehr gute Resonanz</w:t>
            </w:r>
          </w:p>
          <w:p>
            <w:pPr>
              <w:pStyle w:val="2"/>
            </w:pPr>
            <w:r>
              <w:t>P1</w:t>
            </w:r>
          </w:p>
          <w:p>
            <w:pPr>
              <w:pStyle w:val="Liste1"/>
              <w:rPr>
                <w:i/>
              </w:rPr>
            </w:pPr>
            <w:r>
              <w:t xml:space="preserve">Es wurde die Bitte des Präsidenten aufgegriffen angesichts der hohen Fallzahlen trotz hoher Impfquote drauf hinzuweisen, dass die Impfung nicht nur dem Schutz vor Infektion dient, sondern vor allem auch vor einem schweren Krankheitsverlauf und Tod schützt. Dies soll in Zusammenarbeit mit dem </w:t>
            </w:r>
            <w:proofErr w:type="spellStart"/>
            <w:r>
              <w:t>Social</w:t>
            </w:r>
            <w:proofErr w:type="spellEnd"/>
            <w:r>
              <w:t xml:space="preserve"> Media Team von Presse kommuniziert werden</w:t>
            </w:r>
            <w:r>
              <w:br/>
            </w:r>
          </w:p>
        </w:tc>
        <w:tc>
          <w:tcPr>
            <w:tcW w:w="1463" w:type="dxa"/>
          </w:tcPr>
          <w:p>
            <w:pPr>
              <w:rPr>
                <w:sz w:val="22"/>
                <w:szCs w:val="22"/>
              </w:rPr>
            </w:pPr>
          </w:p>
          <w:p>
            <w:pPr>
              <w:rPr>
                <w:sz w:val="22"/>
                <w:szCs w:val="22"/>
              </w:rPr>
            </w:pPr>
            <w:r>
              <w:rPr>
                <w:sz w:val="22"/>
                <w:szCs w:val="22"/>
              </w:rPr>
              <w:t>BZgA Seefeld</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(Wenchel)</w:t>
            </w:r>
            <w:r>
              <w:rPr>
                <w:sz w:val="22"/>
                <w:szCs w:val="22"/>
              </w:rPr>
              <w:br/>
            </w:r>
          </w:p>
          <w:p>
            <w:pPr>
              <w:rPr>
                <w:sz w:val="22"/>
                <w:szCs w:val="22"/>
              </w:rPr>
            </w:pPr>
          </w:p>
          <w:p>
            <w:pPr>
              <w:rPr>
                <w:sz w:val="22"/>
                <w:szCs w:val="22"/>
              </w:rPr>
            </w:pPr>
            <w:r>
              <w:rPr>
                <w:sz w:val="22"/>
                <w:szCs w:val="22"/>
              </w:rPr>
              <w:t>P1 (Leuker)</w:t>
            </w:r>
            <w:r>
              <w:rPr>
                <w:sz w:val="22"/>
                <w:szCs w:val="22"/>
              </w:rPr>
              <w:br/>
            </w:r>
          </w:p>
        </w:tc>
      </w:tr>
      <w:tr>
        <w:tc>
          <w:tcPr>
            <w:tcW w:w="684" w:type="dxa"/>
          </w:tcPr>
          <w:p>
            <w:pPr>
              <w:rPr>
                <w:b/>
              </w:rPr>
            </w:pPr>
            <w:r>
              <w:rPr>
                <w:b/>
              </w:rPr>
              <w:t>7</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rPr>
                <w:lang w:val="en-US"/>
              </w:rPr>
            </w:pPr>
            <w:r>
              <w:rPr>
                <w:lang w:val="en-US"/>
              </w:rPr>
              <w:t>In(</w:t>
            </w:r>
            <w:proofErr w:type="spellStart"/>
            <w:r>
              <w:rPr>
                <w:lang w:val="en-US"/>
              </w:rPr>
              <w:t>tra</w:t>
            </w:r>
            <w:proofErr w:type="spellEnd"/>
            <w:r>
              <w:rPr>
                <w:lang w:val="en-US"/>
              </w:rPr>
              <w:t xml:space="preserve">)-Action Review </w:t>
            </w:r>
            <w:proofErr w:type="spellStart"/>
            <w:r>
              <w:rPr>
                <w:lang w:val="en-US"/>
              </w:rPr>
              <w:t>Krisenmanagement</w:t>
            </w:r>
            <w:proofErr w:type="spellEnd"/>
            <w:r>
              <w:rPr>
                <w:lang w:val="en-US"/>
              </w:rPr>
              <w:t>, 28.03.2022</w:t>
            </w:r>
          </w:p>
          <w:p>
            <w:pPr>
              <w:pStyle w:val="Liste1"/>
              <w:rPr>
                <w:lang w:val="en-US"/>
              </w:rPr>
            </w:pPr>
            <w:proofErr w:type="spellStart"/>
            <w:r>
              <w:rPr>
                <w:lang w:val="en-US"/>
              </w:rPr>
              <w:t>Folien</w:t>
            </w:r>
            <w:proofErr w:type="spellEnd"/>
            <w:r>
              <w:rPr>
                <w:lang w:val="en-US"/>
              </w:rPr>
              <w:t xml:space="preserve"> </w:t>
            </w:r>
            <w:hyperlink r:id="rId16" w:history="1">
              <w:proofErr w:type="spellStart"/>
              <w:r>
                <w:rPr>
                  <w:rStyle w:val="Hyperlink"/>
                  <w:lang w:val="en-US"/>
                </w:rPr>
                <w:t>hier</w:t>
              </w:r>
              <w:proofErr w:type="spellEnd"/>
            </w:hyperlink>
          </w:p>
          <w:p>
            <w:pPr>
              <w:pStyle w:val="Liste1"/>
            </w:pPr>
            <w:r>
              <w:t>Es soll ein Workshop für die Krisenstabsteilnehmer am 28.3.22 stattfinden, in dem in Kleingruppen die bisherige Struktur des Krisenstabs (Frequenz, Zusammensetzung, Themen, Entscheidungsprozesse) reflektiert und evaluiert wird</w:t>
            </w:r>
          </w:p>
          <w:p>
            <w:pPr>
              <w:pStyle w:val="Liste1"/>
            </w:pPr>
            <w:r>
              <w:t>Es soll auch die Zusammenarbeit mit dem Lagezentrum evaluiert werden</w:t>
            </w:r>
          </w:p>
          <w:p>
            <w:pPr>
              <w:pStyle w:val="Liste1"/>
            </w:pPr>
            <w:r>
              <w:t>In dieser ersten Phase sollen keine externen Stakeholder (z.B. BMG) eingebunden werden</w:t>
            </w:r>
          </w:p>
          <w:p>
            <w:pPr>
              <w:pStyle w:val="Liste1"/>
            </w:pPr>
            <w:r>
              <w:t>Der Workshop basiert auf der Methodologie von ECDC und WHO</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Meike Schöll</w:t>
            </w:r>
            <w:r>
              <w:rPr>
                <w:sz w:val="22"/>
                <w:szCs w:val="22"/>
                <w:lang w:val="en-GB"/>
              </w:rPr>
              <w:br/>
            </w:r>
          </w:p>
        </w:tc>
      </w:tr>
      <w:tr>
        <w:tc>
          <w:tcPr>
            <w:tcW w:w="684" w:type="dxa"/>
          </w:tcPr>
          <w:p>
            <w:pPr>
              <w:rPr>
                <w:b/>
              </w:rPr>
            </w:pPr>
            <w:r>
              <w:rPr>
                <w:b/>
              </w:rPr>
              <w:t>8</w:t>
            </w:r>
          </w:p>
        </w:tc>
        <w:tc>
          <w:tcPr>
            <w:tcW w:w="6824" w:type="dxa"/>
          </w:tcPr>
          <w:p>
            <w:pPr>
              <w:spacing w:line="276" w:lineRule="auto"/>
              <w:rPr>
                <w:b/>
                <w:sz w:val="28"/>
              </w:rPr>
            </w:pPr>
            <w:r>
              <w:rPr>
                <w:b/>
                <w:sz w:val="28"/>
              </w:rPr>
              <w:t>Dokumente</w:t>
            </w:r>
          </w:p>
          <w:p>
            <w:pPr>
              <w:pStyle w:val="Liste1"/>
            </w:pPr>
            <w:r>
              <w:t xml:space="preserve">Anfrage des AGI, ob KoNa Papier überarbeitet wird. Das soll mit dem BMG am Jour </w:t>
            </w:r>
            <w:proofErr w:type="spellStart"/>
            <w:r>
              <w:t>Fix</w:t>
            </w:r>
            <w:proofErr w:type="spellEnd"/>
            <w:r>
              <w:t xml:space="preserve"> besprochen werden.</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9</w:t>
            </w:r>
          </w:p>
        </w:tc>
        <w:tc>
          <w:tcPr>
            <w:tcW w:w="6824" w:type="dxa"/>
          </w:tcPr>
          <w:p>
            <w:pPr>
              <w:spacing w:line="276" w:lineRule="auto"/>
              <w:rPr>
                <w:rStyle w:val="TagFrZchn"/>
              </w:rPr>
            </w:pPr>
            <w:r>
              <w:rPr>
                <w:rStyle w:val="1Zchn"/>
              </w:rPr>
              <w:t>Update Impfen</w:t>
            </w:r>
            <w:r>
              <w:rPr>
                <w:b/>
                <w:sz w:val="28"/>
              </w:rPr>
              <w:t xml:space="preserve"> </w:t>
            </w:r>
            <w:r>
              <w:rPr>
                <w:rStyle w:val="TagFrZchn"/>
              </w:rPr>
              <w:t>(nur montags)</w:t>
            </w:r>
          </w:p>
          <w:p>
            <w:pPr>
              <w:pStyle w:val="Liste1"/>
            </w:pPr>
            <w:r>
              <w:t>(nicht berichtet)</w:t>
            </w:r>
          </w:p>
          <w:p>
            <w:pPr>
              <w:pStyle w:val="2"/>
            </w:pPr>
            <w:r>
              <w:t>STIKO</w:t>
            </w:r>
          </w:p>
          <w:p>
            <w:pPr>
              <w:pStyle w:val="Liste1"/>
            </w:pPr>
            <w:r>
              <w:t xml:space="preserve">Die STIKO berät zur Zeit über eine Impfempfehlung für Kinder von 5 -11 Jahren und über das Vorgehen bei </w:t>
            </w:r>
            <w:r>
              <w:lastRenderedPageBreak/>
              <w:t>Grundimmunisierung mit einem chinesischen oder russischen Impfstoff.</w:t>
            </w:r>
            <w:bookmarkStart w:id="1" w:name="_GoBack"/>
            <w:bookmarkEnd w:id="1"/>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10</w:t>
            </w:r>
          </w:p>
        </w:tc>
        <w:tc>
          <w:tcPr>
            <w:tcW w:w="6824" w:type="dxa"/>
          </w:tcPr>
          <w:p>
            <w:pPr>
              <w:pStyle w:val="1"/>
            </w:pPr>
            <w:r>
              <w:t>Labordiagnostik</w:t>
            </w:r>
          </w:p>
          <w:p>
            <w:pPr>
              <w:pStyle w:val="2"/>
            </w:pPr>
            <w:r>
              <w:t>FG17</w:t>
            </w:r>
          </w:p>
          <w:p>
            <w:pPr>
              <w:pStyle w:val="2"/>
              <w:rPr>
                <w:b w:val="0"/>
              </w:rPr>
            </w:pPr>
            <w:r>
              <w:rPr>
                <w:b w:val="0"/>
              </w:rPr>
              <w:t>Erster Influenzanachweis bei einem Geflüchteten aus der Ukraine</w:t>
            </w:r>
          </w:p>
          <w:p>
            <w:pPr>
              <w:pStyle w:val="Liste1"/>
            </w:pPr>
            <w:r>
              <w:t>Virologisches Sentinel hatte in den letzten 4 Wochen ## Proben, davon:</w:t>
            </w:r>
          </w:p>
          <w:p>
            <w:pPr>
              <w:pStyle w:val="Liste2"/>
            </w:pPr>
            <w:r>
              <w:t># SARS-CoV-2</w:t>
            </w:r>
          </w:p>
          <w:p>
            <w:pPr>
              <w:pStyle w:val="Liste2"/>
            </w:pPr>
            <w:r>
              <w:t>## Rhinovirus</w:t>
            </w:r>
          </w:p>
          <w:p>
            <w:pPr>
              <w:pStyle w:val="Liste2"/>
            </w:pPr>
            <w:r>
              <w:t>## Parainfluenzavirus</w:t>
            </w:r>
          </w:p>
          <w:p>
            <w:pPr>
              <w:pStyle w:val="Liste2"/>
            </w:pPr>
            <w:r>
              <w:t xml:space="preserve">## saisonale (endemische) Coronaviren </w:t>
            </w:r>
          </w:p>
          <w:p>
            <w:pPr>
              <w:pStyle w:val="Liste2"/>
            </w:pPr>
            <w:r>
              <w:t>## Metapneumovirus</w:t>
            </w:r>
          </w:p>
          <w:p>
            <w:pPr>
              <w:pStyle w:val="Liste2"/>
            </w:pPr>
            <w:r>
              <w:t xml:space="preserve">## </w:t>
            </w:r>
            <w:proofErr w:type="spellStart"/>
            <w:r>
              <w:t>Influenzavirus</w:t>
            </w:r>
            <w:proofErr w:type="spellEnd"/>
          </w:p>
          <w:p>
            <w:pPr>
              <w:pStyle w:val="Liste2"/>
            </w:pPr>
            <w:r>
              <w:t xml:space="preserve">Rest </w:t>
            </w:r>
            <w:proofErr w:type="spellStart"/>
            <w:r>
              <w:t>negativ</w:t>
            </w:r>
            <w:proofErr w:type="spellEnd"/>
          </w:p>
          <w:p>
            <w:pPr>
              <w:pStyle w:val="2"/>
            </w:pPr>
            <w:r>
              <w:t>ZBS1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Ab Mittwoch auch elektronische Meldung zur Hospitalisierung (Einzelmeldung) über DEMIS möglich</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montags)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montags)</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 xml:space="preserve">Nächste Sitzung: Mittwoch, 16.03.2022,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14:13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8"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EBC18FF"/>
    <w:multiLevelType w:val="hybridMultilevel"/>
    <w:tmpl w:val="327631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F674A1"/>
    <w:multiLevelType w:val="hybridMultilevel"/>
    <w:tmpl w:val="B2D29F00"/>
    <w:lvl w:ilvl="0" w:tplc="04090001">
      <w:start w:val="1"/>
      <w:numFmt w:val="bullet"/>
      <w:lvlText w:val=""/>
      <w:lvlJc w:val="left"/>
      <w:pPr>
        <w:ind w:left="1193" w:hanging="360"/>
      </w:pPr>
      <w:rPr>
        <w:rFonts w:ascii="Wingdings" w:hAnsi="Wingdings"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3"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8"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AB08AF"/>
    <w:multiLevelType w:val="hybridMultilevel"/>
    <w:tmpl w:val="AFF4C614"/>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1"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7"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0710C59"/>
    <w:multiLevelType w:val="hybridMultilevel"/>
    <w:tmpl w:val="C422C464"/>
    <w:lvl w:ilvl="0" w:tplc="04090001">
      <w:start w:val="1"/>
      <w:numFmt w:val="bullet"/>
      <w:lvlText w:val=""/>
      <w:lvlJc w:val="left"/>
      <w:pPr>
        <w:ind w:left="1193" w:hanging="360"/>
      </w:pPr>
      <w:rPr>
        <w:rFonts w:ascii="Wingdings" w:hAnsi="Wingdings"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29"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3"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7AA303A7"/>
    <w:multiLevelType w:val="hybridMultilevel"/>
    <w:tmpl w:val="8E5AABEE"/>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37" w15:restartNumberingAfterBreak="0">
    <w:nsid w:val="7C383297"/>
    <w:multiLevelType w:val="hybridMultilevel"/>
    <w:tmpl w:val="3074487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14"/>
  </w:num>
  <w:num w:numId="2">
    <w:abstractNumId w:val="4"/>
  </w:num>
  <w:num w:numId="3">
    <w:abstractNumId w:val="3"/>
  </w:num>
  <w:num w:numId="4">
    <w:abstractNumId w:val="22"/>
  </w:num>
  <w:num w:numId="5">
    <w:abstractNumId w:val="9"/>
  </w:num>
  <w:num w:numId="6">
    <w:abstractNumId w:val="23"/>
  </w:num>
  <w:num w:numId="7">
    <w:abstractNumId w:val="30"/>
  </w:num>
  <w:num w:numId="8">
    <w:abstractNumId w:val="17"/>
  </w:num>
  <w:num w:numId="9">
    <w:abstractNumId w:val="5"/>
  </w:num>
  <w:num w:numId="10">
    <w:abstractNumId w:val="35"/>
  </w:num>
  <w:num w:numId="11">
    <w:abstractNumId w:val="29"/>
  </w:num>
  <w:num w:numId="12">
    <w:abstractNumId w:val="19"/>
  </w:num>
  <w:num w:numId="13">
    <w:abstractNumId w:val="16"/>
  </w:num>
  <w:num w:numId="14">
    <w:abstractNumId w:val="24"/>
  </w:num>
  <w:num w:numId="15">
    <w:abstractNumId w:val="21"/>
  </w:num>
  <w:num w:numId="16">
    <w:abstractNumId w:val="0"/>
  </w:num>
  <w:num w:numId="17">
    <w:abstractNumId w:val="15"/>
  </w:num>
  <w:num w:numId="18">
    <w:abstractNumId w:val="33"/>
  </w:num>
  <w:num w:numId="19">
    <w:abstractNumId w:val="13"/>
  </w:num>
  <w:num w:numId="20">
    <w:abstractNumId w:val="31"/>
  </w:num>
  <w:num w:numId="21">
    <w:abstractNumId w:val="8"/>
  </w:num>
  <w:num w:numId="22">
    <w:abstractNumId w:val="10"/>
  </w:num>
  <w:num w:numId="23">
    <w:abstractNumId w:val="2"/>
  </w:num>
  <w:num w:numId="24">
    <w:abstractNumId w:val="25"/>
  </w:num>
  <w:num w:numId="25">
    <w:abstractNumId w:val="18"/>
  </w:num>
  <w:num w:numId="26">
    <w:abstractNumId w:val="1"/>
  </w:num>
  <w:num w:numId="27">
    <w:abstractNumId w:val="27"/>
  </w:num>
  <w:num w:numId="28">
    <w:abstractNumId w:val="34"/>
  </w:num>
  <w:num w:numId="29">
    <w:abstractNumId w:val="17"/>
  </w:num>
  <w:num w:numId="30">
    <w:abstractNumId w:val="17"/>
  </w:num>
  <w:num w:numId="31">
    <w:abstractNumId w:val="32"/>
  </w:num>
  <w:num w:numId="32">
    <w:abstractNumId w:val="26"/>
  </w:num>
  <w:num w:numId="33">
    <w:abstractNumId w:val="17"/>
  </w:num>
  <w:num w:numId="34">
    <w:abstractNumId w:val="17"/>
  </w:num>
  <w:num w:numId="35">
    <w:abstractNumId w:val="17"/>
  </w:num>
  <w:num w:numId="36">
    <w:abstractNumId w:val="7"/>
  </w:num>
  <w:num w:numId="37">
    <w:abstractNumId w:val="6"/>
  </w:num>
  <w:num w:numId="38">
    <w:abstractNumId w:val="7"/>
  </w:num>
  <w:num w:numId="39">
    <w:abstractNumId w:val="17"/>
  </w:num>
  <w:num w:numId="40">
    <w:abstractNumId w:val="20"/>
  </w:num>
  <w:num w:numId="41">
    <w:abstractNumId w:val="9"/>
  </w:num>
  <w:num w:numId="42">
    <w:abstractNumId w:val="7"/>
  </w:num>
  <w:num w:numId="43">
    <w:abstractNumId w:val="36"/>
  </w:num>
  <w:num w:numId="44">
    <w:abstractNumId w:val="11"/>
  </w:num>
  <w:num w:numId="45">
    <w:abstractNumId w:val="37"/>
  </w:num>
  <w:num w:numId="46">
    <w:abstractNumId w:val="20"/>
  </w:num>
  <w:num w:numId="47">
    <w:abstractNumId w:val="28"/>
  </w:num>
  <w:num w:numId="48">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73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33246468">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IAR_Krisenstab_Vorstellung_2022-03-14.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Evaluation_adjustierte_Hospitalisierungsinzidenz.pptx"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LageNational_2022-03-14.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C13DF-95D8-4246-B79C-84EB6681A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960</Words>
  <Characters>6049</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Stauke, Janina</cp:lastModifiedBy>
  <cp:revision>3</cp:revision>
  <cp:lastPrinted>2022-03-14T15:43:00Z</cp:lastPrinted>
  <dcterms:created xsi:type="dcterms:W3CDTF">2022-03-15T13:17:00Z</dcterms:created>
  <dcterms:modified xsi:type="dcterms:W3CDTF">2022-03-15T13:17:00Z</dcterms:modified>
</cp:coreProperties>
</file>