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16.03.2022,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Esther-Maria Antão</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Christina Frank</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szCs w:val="22"/>
        </w:rPr>
      </w:pPr>
      <w:r>
        <w:rPr>
          <w:sz w:val="22"/>
          <w:szCs w:val="22"/>
        </w:rPr>
        <w:t xml:space="preserve">Luise </w:t>
      </w:r>
      <w:proofErr w:type="spellStart"/>
      <w:r>
        <w:rPr>
          <w:sz w:val="22"/>
          <w:szCs w:val="22"/>
        </w:rPr>
        <w:t>Goerlitz</w:t>
      </w:r>
      <w:proofErr w:type="spellEnd"/>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Claudia Siffczyk</w:t>
      </w:r>
    </w:p>
    <w:p>
      <w:pPr>
        <w:pStyle w:val="Listenabsatz"/>
        <w:numPr>
          <w:ilvl w:val="0"/>
          <w:numId w:val="3"/>
        </w:numPr>
        <w:spacing w:after="0"/>
        <w:contextualSpacing w:val="0"/>
        <w:rPr>
          <w:sz w:val="22"/>
        </w:rPr>
      </w:pPr>
      <w:r>
        <w:rPr>
          <w:sz w:val="22"/>
        </w:rPr>
        <w:t>L1</w:t>
      </w:r>
    </w:p>
    <w:p>
      <w:pPr>
        <w:pStyle w:val="Listenabsatz"/>
        <w:numPr>
          <w:ilvl w:val="1"/>
          <w:numId w:val="3"/>
        </w:numPr>
        <w:spacing w:after="0"/>
        <w:contextualSpacing w:val="0"/>
        <w:rPr>
          <w:rStyle w:val="highlight"/>
          <w:sz w:val="22"/>
          <w:szCs w:val="22"/>
        </w:rPr>
      </w:pPr>
      <w:r>
        <w:rPr>
          <w:sz w:val="22"/>
          <w:szCs w:val="22"/>
        </w:rPr>
        <w:t>Joachim-Martin Mehlitz</w:t>
      </w:r>
    </w:p>
    <w:p>
      <w:pPr>
        <w:pStyle w:val="Listenabsatz"/>
        <w:numPr>
          <w:ilvl w:val="0"/>
          <w:numId w:val="3"/>
        </w:numPr>
        <w:spacing w:after="0"/>
        <w:contextualSpacing w:val="0"/>
        <w:rPr>
          <w:sz w:val="22"/>
        </w:rPr>
      </w:pPr>
      <w:r>
        <w:rPr>
          <w:sz w:val="22"/>
        </w:rPr>
        <w:t>MF1</w:t>
      </w:r>
    </w:p>
    <w:p>
      <w:pPr>
        <w:pStyle w:val="Listenabsatz"/>
        <w:numPr>
          <w:ilvl w:val="1"/>
          <w:numId w:val="3"/>
        </w:numPr>
        <w:spacing w:after="0"/>
        <w:contextualSpacing w:val="0"/>
        <w:rPr>
          <w:rStyle w:val="highlight"/>
          <w:sz w:val="22"/>
          <w:szCs w:val="22"/>
        </w:rPr>
      </w:pPr>
      <w:r>
        <w:rPr>
          <w:sz w:val="22"/>
          <w:szCs w:val="22"/>
        </w:rPr>
        <w:t>Stephan Fuchs</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Christian Herzog</w:t>
      </w:r>
    </w:p>
    <w:p>
      <w:pPr>
        <w:pStyle w:val="Listenabsatz"/>
        <w:numPr>
          <w:ilvl w:val="1"/>
          <w:numId w:val="2"/>
        </w:numPr>
        <w:spacing w:after="0"/>
        <w:contextualSpacing w:val="0"/>
        <w:rPr>
          <w:sz w:val="22"/>
        </w:rPr>
      </w:pPr>
      <w:r>
        <w:rPr>
          <w:sz w:val="22"/>
          <w:szCs w:val="22"/>
        </w:rPr>
        <w:t>Michaela Niebank</w:t>
      </w:r>
    </w:p>
    <w:p>
      <w:pPr>
        <w:pStyle w:val="Listenabsatz"/>
        <w:numPr>
          <w:ilvl w:val="1"/>
          <w:numId w:val="2"/>
        </w:numPr>
        <w:spacing w:after="0"/>
        <w:contextualSpacing w:val="0"/>
        <w:rPr>
          <w:sz w:val="22"/>
        </w:rPr>
      </w:pPr>
      <w:r>
        <w:rPr>
          <w:sz w:val="22"/>
        </w:rPr>
        <w:t>Agata Mikolajewska</w:t>
      </w:r>
      <w:bookmarkStart w:id="0" w:name="_GoBack"/>
      <w:bookmarkEnd w:id="0"/>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Regina Singer</w:t>
      </w:r>
    </w:p>
    <w:p>
      <w:pPr>
        <w:pStyle w:val="Listenabsatz"/>
        <w:numPr>
          <w:ilvl w:val="1"/>
          <w:numId w:val="2"/>
        </w:numPr>
        <w:spacing w:after="0"/>
        <w:rPr>
          <w:rStyle w:val="highlight"/>
          <w:sz w:val="22"/>
          <w:szCs w:val="22"/>
        </w:rPr>
      </w:pPr>
      <w:proofErr w:type="spellStart"/>
      <w:r>
        <w:rPr>
          <w:rStyle w:val="highlight"/>
          <w:sz w:val="22"/>
          <w:szCs w:val="22"/>
        </w:rPr>
        <w:t>Mikheil</w:t>
      </w:r>
      <w:proofErr w:type="spellEnd"/>
      <w:r>
        <w:rPr>
          <w:rStyle w:val="highlight"/>
          <w:sz w:val="22"/>
          <w:szCs w:val="22"/>
        </w:rPr>
        <w:t xml:space="preserve"> </w:t>
      </w:r>
      <w:proofErr w:type="spellStart"/>
      <w:r>
        <w:rPr>
          <w:rStyle w:val="highlight"/>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 xml:space="preserve">Andrea </w:t>
      </w:r>
      <w:proofErr w:type="spellStart"/>
      <w:r>
        <w:rPr>
          <w:sz w:val="22"/>
        </w:rPr>
        <w:t>Rückle</w:t>
      </w:r>
      <w:proofErr w:type="spellEnd"/>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montags)</w:t>
            </w:r>
          </w:p>
          <w:p>
            <w:pPr>
              <w:pStyle w:val="Liste1"/>
            </w:pPr>
            <w:r>
              <w:t xml:space="preserve">Folien </w:t>
            </w:r>
            <w:hyperlink r:id="rId11" w:history="1">
              <w:r>
                <w:rPr>
                  <w:rStyle w:val="Hyperlink"/>
                </w:rPr>
                <w:t>hier</w:t>
              </w:r>
            </w:hyperlink>
          </w:p>
          <w:p>
            <w:pPr>
              <w:pStyle w:val="Liste1"/>
            </w:pPr>
            <w:r>
              <w:t>Weltweit:</w:t>
            </w:r>
          </w:p>
          <w:p>
            <w:pPr>
              <w:pStyle w:val="Liste2"/>
              <w:numPr>
                <w:ilvl w:val="0"/>
                <w:numId w:val="30"/>
              </w:numPr>
            </w:pPr>
            <w:r>
              <w:t>Datenstand: WHO, 15.03.2022</w:t>
            </w:r>
          </w:p>
          <w:p>
            <w:pPr>
              <w:pStyle w:val="Liste2"/>
              <w:numPr>
                <w:ilvl w:val="0"/>
                <w:numId w:val="30"/>
              </w:numPr>
            </w:pPr>
            <w:r>
              <w:t>Fälle: 458.479.635 (+10,7% im Vergleich zu Vorwoche)</w:t>
            </w:r>
          </w:p>
          <w:p>
            <w:pPr>
              <w:pStyle w:val="Liste2"/>
              <w:numPr>
                <w:ilvl w:val="0"/>
                <w:numId w:val="30"/>
              </w:numPr>
            </w:pPr>
            <w:r>
              <w:t>Todesfälle: 6.047.653 Todesfälle (CFR: 1,3%)</w:t>
            </w:r>
          </w:p>
          <w:p>
            <w:pPr>
              <w:pStyle w:val="Listenabsatz"/>
              <w:numPr>
                <w:ilvl w:val="1"/>
                <w:numId w:val="29"/>
              </w:numPr>
              <w:ind w:left="828" w:hanging="357"/>
              <w:rPr>
                <w:sz w:val="22"/>
                <w:szCs w:val="22"/>
              </w:rPr>
            </w:pPr>
            <w:r>
              <w:rPr>
                <w:sz w:val="22"/>
                <w:szCs w:val="22"/>
              </w:rPr>
              <w:t>Top 10 Länder nach Anzahl neuer COVID-19-Fälle</w:t>
            </w:r>
          </w:p>
          <w:p>
            <w:pPr>
              <w:pStyle w:val="Listenabsatz"/>
              <w:numPr>
                <w:ilvl w:val="2"/>
                <w:numId w:val="29"/>
              </w:numPr>
              <w:ind w:left="1190" w:hanging="357"/>
              <w:rPr>
                <w:sz w:val="22"/>
                <w:szCs w:val="22"/>
              </w:rPr>
            </w:pPr>
            <w:r>
              <w:rPr>
                <w:sz w:val="22"/>
                <w:szCs w:val="22"/>
              </w:rPr>
              <w:t>Global zunehmender Trend</w:t>
            </w:r>
          </w:p>
          <w:p>
            <w:pPr>
              <w:pStyle w:val="Listenabsatz"/>
              <w:numPr>
                <w:ilvl w:val="2"/>
                <w:numId w:val="29"/>
              </w:numPr>
              <w:ind w:left="1190" w:hanging="357"/>
              <w:rPr>
                <w:sz w:val="22"/>
                <w:szCs w:val="22"/>
              </w:rPr>
            </w:pPr>
            <w:r>
              <w:rPr>
                <w:sz w:val="22"/>
                <w:szCs w:val="22"/>
              </w:rPr>
              <w:t>An ersten beiden Stellen Südkorea und Vietnam mit am stärksten steigenden Trend</w:t>
            </w:r>
          </w:p>
          <w:p>
            <w:pPr>
              <w:pStyle w:val="Listenabsatz"/>
              <w:numPr>
                <w:ilvl w:val="2"/>
                <w:numId w:val="29"/>
              </w:numPr>
              <w:ind w:left="1190" w:hanging="357"/>
              <w:rPr>
                <w:sz w:val="22"/>
                <w:szCs w:val="22"/>
              </w:rPr>
            </w:pPr>
            <w:r>
              <w:rPr>
                <w:sz w:val="22"/>
                <w:szCs w:val="22"/>
              </w:rPr>
              <w:t>Auch wieder viele Länder in Europa mit zunehmendem Trend</w:t>
            </w:r>
          </w:p>
          <w:p>
            <w:pPr>
              <w:pStyle w:val="Listenabsatz"/>
              <w:numPr>
                <w:ilvl w:val="2"/>
                <w:numId w:val="29"/>
              </w:numPr>
              <w:ind w:left="1190" w:hanging="357"/>
              <w:rPr>
                <w:sz w:val="22"/>
                <w:szCs w:val="22"/>
              </w:rPr>
            </w:pPr>
            <w:r>
              <w:rPr>
                <w:sz w:val="22"/>
                <w:szCs w:val="22"/>
              </w:rPr>
              <w:t>Nur in Japan und Russland abnehmender Trend</w:t>
            </w:r>
          </w:p>
          <w:p>
            <w:pPr>
              <w:pStyle w:val="Listenabsatz"/>
              <w:numPr>
                <w:ilvl w:val="1"/>
                <w:numId w:val="29"/>
              </w:numPr>
              <w:ind w:left="828" w:hanging="357"/>
              <w:rPr>
                <w:sz w:val="22"/>
                <w:szCs w:val="22"/>
              </w:rPr>
            </w:pPr>
            <w:r>
              <w:rPr>
                <w:sz w:val="22"/>
                <w:szCs w:val="22"/>
              </w:rPr>
              <w:t xml:space="preserve">WHO </w:t>
            </w:r>
            <w:proofErr w:type="spellStart"/>
            <w:r>
              <w:rPr>
                <w:sz w:val="22"/>
                <w:szCs w:val="22"/>
              </w:rPr>
              <w:t>epidemiological</w:t>
            </w:r>
            <w:proofErr w:type="spellEnd"/>
            <w:r>
              <w:rPr>
                <w:sz w:val="22"/>
                <w:szCs w:val="22"/>
              </w:rPr>
              <w:t xml:space="preserve"> update</w:t>
            </w:r>
          </w:p>
          <w:p>
            <w:pPr>
              <w:pStyle w:val="Listenabsatz"/>
              <w:numPr>
                <w:ilvl w:val="2"/>
                <w:numId w:val="29"/>
              </w:numPr>
              <w:ind w:left="1190" w:hanging="357"/>
              <w:rPr>
                <w:sz w:val="22"/>
                <w:szCs w:val="22"/>
              </w:rPr>
            </w:pPr>
            <w:r>
              <w:rPr>
                <w:sz w:val="22"/>
                <w:szCs w:val="22"/>
              </w:rPr>
              <w:t>Fallzahlen nehmen wieder zu, am stärksten in Region West-Pazifik, aber auch Zunahme in Europa und Afrika</w:t>
            </w:r>
          </w:p>
          <w:p>
            <w:pPr>
              <w:pStyle w:val="Listenabsatz"/>
              <w:numPr>
                <w:ilvl w:val="2"/>
                <w:numId w:val="29"/>
              </w:numPr>
              <w:ind w:left="1190" w:hanging="357"/>
              <w:rPr>
                <w:sz w:val="22"/>
                <w:szCs w:val="22"/>
              </w:rPr>
            </w:pPr>
            <w:r>
              <w:rPr>
                <w:sz w:val="22"/>
                <w:szCs w:val="22"/>
              </w:rPr>
              <w:t>West-Pazifik und Europa machen fast 90% der Fallzahlen aus</w:t>
            </w:r>
          </w:p>
          <w:p>
            <w:pPr>
              <w:pStyle w:val="Listenabsatz"/>
              <w:numPr>
                <w:ilvl w:val="2"/>
                <w:numId w:val="29"/>
              </w:numPr>
              <w:ind w:left="1190" w:hanging="357"/>
              <w:rPr>
                <w:sz w:val="22"/>
                <w:szCs w:val="22"/>
              </w:rPr>
            </w:pPr>
            <w:r>
              <w:rPr>
                <w:sz w:val="22"/>
                <w:szCs w:val="22"/>
              </w:rPr>
              <w:t>Todesfälle global abnehmend, nur in Westpazifik zunehmend (v.a. China, Südkorea, Neuseeland)</w:t>
            </w:r>
          </w:p>
          <w:p>
            <w:pPr>
              <w:pStyle w:val="Listenabsatz"/>
              <w:numPr>
                <w:ilvl w:val="1"/>
                <w:numId w:val="29"/>
              </w:numPr>
              <w:ind w:left="828" w:hanging="357"/>
              <w:rPr>
                <w:sz w:val="22"/>
                <w:szCs w:val="22"/>
              </w:rPr>
            </w:pPr>
            <w:r>
              <w:rPr>
                <w:sz w:val="22"/>
                <w:szCs w:val="22"/>
              </w:rPr>
              <w:t>7-Tages-Inzidenz pro 100.000 Einwohner in Europa</w:t>
            </w:r>
          </w:p>
          <w:p>
            <w:pPr>
              <w:pStyle w:val="Listenabsatz"/>
              <w:numPr>
                <w:ilvl w:val="2"/>
                <w:numId w:val="29"/>
              </w:numPr>
              <w:ind w:left="1190" w:hanging="357"/>
              <w:rPr>
                <w:sz w:val="22"/>
                <w:szCs w:val="22"/>
              </w:rPr>
            </w:pPr>
            <w:r>
              <w:rPr>
                <w:sz w:val="22"/>
                <w:szCs w:val="22"/>
              </w:rPr>
              <w:t xml:space="preserve">Im Vergleich zur Vorwoche sehr diverses Bild </w:t>
            </w:r>
          </w:p>
          <w:p>
            <w:pPr>
              <w:pStyle w:val="Listenabsatz"/>
              <w:numPr>
                <w:ilvl w:val="2"/>
                <w:numId w:val="29"/>
              </w:numPr>
              <w:ind w:left="1190" w:hanging="357"/>
              <w:rPr>
                <w:sz w:val="22"/>
                <w:szCs w:val="22"/>
              </w:rPr>
            </w:pPr>
            <w:r>
              <w:rPr>
                <w:sz w:val="22"/>
                <w:szCs w:val="22"/>
              </w:rPr>
              <w:t>Höchste Inzidenzen in Island, Österreich, Niederlanden</w:t>
            </w:r>
          </w:p>
          <w:p>
            <w:pPr>
              <w:pStyle w:val="Listenabsatz"/>
              <w:numPr>
                <w:ilvl w:val="2"/>
                <w:numId w:val="29"/>
              </w:numPr>
              <w:ind w:left="1190" w:hanging="357"/>
              <w:rPr>
                <w:sz w:val="22"/>
                <w:szCs w:val="22"/>
              </w:rPr>
            </w:pPr>
            <w:r>
              <w:rPr>
                <w:sz w:val="22"/>
                <w:szCs w:val="22"/>
              </w:rPr>
              <w:t>Schwer zu interpretieren, da Teststrategien zum Teil geändert wurden</w:t>
            </w:r>
          </w:p>
          <w:p>
            <w:pPr>
              <w:pStyle w:val="Listenabsatz"/>
              <w:numPr>
                <w:ilvl w:val="2"/>
                <w:numId w:val="29"/>
              </w:numPr>
              <w:ind w:left="1190" w:hanging="357"/>
              <w:rPr>
                <w:sz w:val="22"/>
                <w:szCs w:val="22"/>
              </w:rPr>
            </w:pPr>
            <w:r>
              <w:rPr>
                <w:sz w:val="22"/>
                <w:szCs w:val="22"/>
              </w:rPr>
              <w:t>Abnehmender Trend in Ukraine bei abnehmenden Testzahlen; in Nachbarländern zur Ukraine bisher noch abnehmender Trend</w:t>
            </w:r>
          </w:p>
          <w:p>
            <w:pPr>
              <w:pStyle w:val="Listenabsatz"/>
              <w:numPr>
                <w:ilvl w:val="1"/>
                <w:numId w:val="29"/>
              </w:numPr>
              <w:ind w:left="828" w:hanging="357"/>
              <w:rPr>
                <w:sz w:val="22"/>
                <w:szCs w:val="22"/>
              </w:rPr>
            </w:pPr>
            <w:r>
              <w:rPr>
                <w:sz w:val="22"/>
                <w:szCs w:val="22"/>
              </w:rPr>
              <w:t>Rekombinante Delta - Omikron</w:t>
            </w:r>
          </w:p>
          <w:p>
            <w:pPr>
              <w:pStyle w:val="Listenabsatz"/>
              <w:numPr>
                <w:ilvl w:val="2"/>
                <w:numId w:val="29"/>
              </w:numPr>
              <w:ind w:left="1190" w:hanging="357"/>
              <w:rPr>
                <w:sz w:val="22"/>
                <w:szCs w:val="22"/>
              </w:rPr>
            </w:pPr>
            <w:r>
              <w:rPr>
                <w:sz w:val="22"/>
                <w:szCs w:val="22"/>
              </w:rPr>
              <w:t xml:space="preserve">UK: 32 Fälle, </w:t>
            </w:r>
          </w:p>
          <w:p>
            <w:pPr>
              <w:pStyle w:val="Listenabsatz"/>
              <w:numPr>
                <w:ilvl w:val="2"/>
                <w:numId w:val="29"/>
              </w:numPr>
              <w:ind w:left="1190" w:hanging="357"/>
              <w:rPr>
                <w:sz w:val="22"/>
                <w:szCs w:val="22"/>
              </w:rPr>
            </w:pPr>
            <w:r>
              <w:rPr>
                <w:sz w:val="22"/>
                <w:szCs w:val="22"/>
              </w:rPr>
              <w:t xml:space="preserve">Frankreich, aus verschiedenen Regionen: 27 Fälle, erster Nachweis Anfang Januar </w:t>
            </w:r>
          </w:p>
          <w:p>
            <w:pPr>
              <w:pStyle w:val="Listenabsatz"/>
              <w:numPr>
                <w:ilvl w:val="2"/>
                <w:numId w:val="29"/>
              </w:numPr>
              <w:ind w:left="1190" w:hanging="357"/>
              <w:rPr>
                <w:sz w:val="22"/>
                <w:szCs w:val="22"/>
              </w:rPr>
            </w:pPr>
            <w:r>
              <w:rPr>
                <w:sz w:val="22"/>
                <w:szCs w:val="22"/>
              </w:rPr>
              <w:t>Weitere Fälle in Dänemark, Niederlande und Belgien, geringe Fallzahlen</w:t>
            </w:r>
          </w:p>
          <w:p>
            <w:pPr>
              <w:pStyle w:val="Listenabsatz"/>
              <w:numPr>
                <w:ilvl w:val="2"/>
                <w:numId w:val="29"/>
              </w:numPr>
              <w:ind w:left="1190" w:hanging="357"/>
              <w:rPr>
                <w:sz w:val="22"/>
                <w:szCs w:val="22"/>
              </w:rPr>
            </w:pPr>
            <w:r>
              <w:rPr>
                <w:sz w:val="22"/>
                <w:szCs w:val="22"/>
              </w:rPr>
              <w:t>Laut WHO noch keine Hinweise auf erhöhte Krankheitsschwere oder erhöhte Übertragbarkeit</w:t>
            </w:r>
          </w:p>
          <w:p>
            <w:pPr>
              <w:pStyle w:val="Listenabsatz"/>
              <w:numPr>
                <w:ilvl w:val="2"/>
                <w:numId w:val="29"/>
              </w:numPr>
              <w:ind w:left="1190" w:hanging="357"/>
              <w:rPr>
                <w:sz w:val="22"/>
                <w:szCs w:val="22"/>
              </w:rPr>
            </w:pPr>
            <w:r>
              <w:rPr>
                <w:sz w:val="22"/>
                <w:szCs w:val="22"/>
              </w:rPr>
              <w:t xml:space="preserve">ECDC führt Rekombinante seit 10.03.2022 als Variante unter Beobachtung </w:t>
            </w: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2"/>
              <w:numPr>
                <w:ilvl w:val="0"/>
                <w:numId w:val="30"/>
              </w:numPr>
            </w:pPr>
            <w:proofErr w:type="spellStart"/>
            <w:r>
              <w:t>SurvNet</w:t>
            </w:r>
            <w:proofErr w:type="spellEnd"/>
            <w:r>
              <w:t xml:space="preserve"> übermittelt: 17.695.210 (+262.593), davon 126.142 (+269) Todesfälle </w:t>
            </w:r>
          </w:p>
          <w:p>
            <w:pPr>
              <w:pStyle w:val="Liste2"/>
              <w:numPr>
                <w:ilvl w:val="0"/>
                <w:numId w:val="30"/>
              </w:numPr>
            </w:pPr>
            <w:r>
              <w:t xml:space="preserve">7-Tage-Inzidenz:  1.607,1/100.000 </w:t>
            </w:r>
            <w:proofErr w:type="spellStart"/>
            <w:r>
              <w:t>Einw</w:t>
            </w:r>
            <w:proofErr w:type="spellEnd"/>
            <w:r>
              <w:t>.</w:t>
            </w:r>
          </w:p>
          <w:p>
            <w:pPr>
              <w:pStyle w:val="Listenabsatz"/>
              <w:numPr>
                <w:ilvl w:val="1"/>
                <w:numId w:val="32"/>
              </w:numPr>
              <w:ind w:left="828" w:hanging="357"/>
              <w:rPr>
                <w:sz w:val="22"/>
                <w:szCs w:val="22"/>
              </w:rPr>
            </w:pPr>
            <w:r>
              <w:rPr>
                <w:sz w:val="22"/>
                <w:szCs w:val="22"/>
              </w:rPr>
              <w:t>Hospitalisierungsinzidenz: 7,45/100.000 EW, AG ≥ 60Jährige: 15,86/100.000 EW</w:t>
            </w:r>
          </w:p>
          <w:p>
            <w:pPr>
              <w:pStyle w:val="Listenabsatz"/>
              <w:numPr>
                <w:ilvl w:val="2"/>
                <w:numId w:val="29"/>
              </w:numPr>
              <w:ind w:left="1190" w:hanging="357"/>
              <w:rPr>
                <w:sz w:val="22"/>
                <w:szCs w:val="22"/>
              </w:rPr>
            </w:pPr>
            <w:r>
              <w:rPr>
                <w:sz w:val="22"/>
                <w:szCs w:val="22"/>
              </w:rPr>
              <w:t>Steigender Trend bei Hospitalisierungsinzidenz</w:t>
            </w:r>
          </w:p>
          <w:p>
            <w:pPr>
              <w:pStyle w:val="Listenabsatz"/>
              <w:numPr>
                <w:ilvl w:val="1"/>
                <w:numId w:val="29"/>
              </w:numPr>
              <w:ind w:left="828" w:hanging="357"/>
              <w:rPr>
                <w:sz w:val="22"/>
                <w:szCs w:val="22"/>
              </w:rPr>
            </w:pPr>
            <w:r>
              <w:rPr>
                <w:sz w:val="22"/>
                <w:szCs w:val="22"/>
              </w:rPr>
              <w:t>Fälle auf ITS: 2.297 (+36)</w:t>
            </w:r>
          </w:p>
          <w:p>
            <w:pPr>
              <w:pStyle w:val="Listenabsatz"/>
              <w:numPr>
                <w:ilvl w:val="1"/>
                <w:numId w:val="29"/>
              </w:numPr>
              <w:ind w:left="828" w:hanging="357"/>
              <w:rPr>
                <w:sz w:val="22"/>
                <w:szCs w:val="22"/>
              </w:rPr>
            </w:pPr>
            <w:r>
              <w:rPr>
                <w:sz w:val="22"/>
                <w:szCs w:val="22"/>
              </w:rPr>
              <w:lastRenderedPageBreak/>
              <w:t>Impfmonitoring: Erstimpfungen 76,5%, Zweitimpfung 75,8%, Auffrischimpfungen 58,0%</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Zunehmender Trend, besonders steil in Mecklenburg-Vorpommern, Bayern, Saarland, Schleswig-Holstein und Berlin</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In ca. 90% aller LK &gt; 1000, in 130 LK &gt; 2000, in 4 LK &gt; 3000</w:t>
            </w:r>
          </w:p>
          <w:p>
            <w:pPr>
              <w:pStyle w:val="Listenabsatz"/>
              <w:numPr>
                <w:ilvl w:val="2"/>
                <w:numId w:val="29"/>
              </w:numPr>
              <w:ind w:left="1190" w:hanging="357"/>
              <w:rPr>
                <w:sz w:val="22"/>
                <w:szCs w:val="22"/>
              </w:rPr>
            </w:pPr>
            <w:r>
              <w:rPr>
                <w:sz w:val="22"/>
                <w:szCs w:val="22"/>
              </w:rPr>
              <w:t>Mit anderer Farbskala: Sehr hohe Inzidenzen im Norden, Süd-Osten und äußerstem Westen</w:t>
            </w:r>
          </w:p>
          <w:p>
            <w:pPr>
              <w:pStyle w:val="Listenabsatz"/>
              <w:numPr>
                <w:ilvl w:val="2"/>
                <w:numId w:val="29"/>
              </w:numPr>
              <w:ind w:left="1190" w:hanging="357"/>
              <w:rPr>
                <w:sz w:val="22"/>
                <w:szCs w:val="22"/>
              </w:rPr>
            </w:pPr>
            <w:r>
              <w:rPr>
                <w:sz w:val="22"/>
                <w:szCs w:val="22"/>
              </w:rPr>
              <w:t>Es wird überlegt nochmal die Farbskala zu ändern.</w:t>
            </w:r>
          </w:p>
          <w:p>
            <w:pPr>
              <w:pStyle w:val="Listenabsatz"/>
              <w:numPr>
                <w:ilvl w:val="1"/>
                <w:numId w:val="29"/>
              </w:numPr>
              <w:ind w:left="828" w:hanging="357"/>
              <w:rPr>
                <w:sz w:val="22"/>
                <w:szCs w:val="22"/>
              </w:rPr>
            </w:pPr>
            <w:r>
              <w:rPr>
                <w:sz w:val="22"/>
                <w:szCs w:val="22"/>
              </w:rPr>
              <w:t>Inzidenz nach Altersgruppe und Meldewoche</w:t>
            </w:r>
          </w:p>
          <w:p>
            <w:pPr>
              <w:pStyle w:val="Listenabsatz"/>
              <w:numPr>
                <w:ilvl w:val="2"/>
                <w:numId w:val="29"/>
              </w:numPr>
              <w:ind w:left="1190" w:hanging="357"/>
              <w:rPr>
                <w:sz w:val="22"/>
                <w:szCs w:val="22"/>
              </w:rPr>
            </w:pPr>
            <w:r>
              <w:rPr>
                <w:sz w:val="22"/>
                <w:szCs w:val="22"/>
              </w:rPr>
              <w:t>Zunahme in allen Altersgruppen, besonders stark in jüngeren, aber auch besorgniserregende Zunahme in älteren Altersgruppen</w:t>
            </w:r>
          </w:p>
          <w:p>
            <w:pPr>
              <w:pStyle w:val="Listenabsatz"/>
              <w:numPr>
                <w:ilvl w:val="1"/>
                <w:numId w:val="29"/>
              </w:numPr>
              <w:ind w:left="828" w:hanging="357"/>
              <w:rPr>
                <w:sz w:val="22"/>
                <w:szCs w:val="22"/>
              </w:rPr>
            </w:pPr>
            <w:r>
              <w:rPr>
                <w:sz w:val="22"/>
                <w:szCs w:val="22"/>
              </w:rPr>
              <w:t>Hospitalisierungsinzidenz nach Altersgruppe</w:t>
            </w:r>
          </w:p>
          <w:p>
            <w:pPr>
              <w:pStyle w:val="Listenabsatz"/>
              <w:numPr>
                <w:ilvl w:val="2"/>
                <w:numId w:val="29"/>
              </w:numPr>
              <w:ind w:left="1190" w:hanging="357"/>
              <w:rPr>
                <w:sz w:val="22"/>
                <w:szCs w:val="22"/>
              </w:rPr>
            </w:pPr>
            <w:r>
              <w:rPr>
                <w:sz w:val="22"/>
                <w:szCs w:val="22"/>
              </w:rPr>
              <w:t>Hospitalisierungsinzidenz nimmt bei 60+ Jährigen zu.</w:t>
            </w:r>
          </w:p>
          <w:p>
            <w:pPr>
              <w:pStyle w:val="Listenabsatz"/>
              <w:numPr>
                <w:ilvl w:val="2"/>
                <w:numId w:val="29"/>
              </w:numPr>
              <w:ind w:left="1190" w:hanging="357"/>
              <w:rPr>
                <w:sz w:val="22"/>
                <w:szCs w:val="22"/>
              </w:rPr>
            </w:pPr>
            <w:r>
              <w:rPr>
                <w:sz w:val="22"/>
                <w:szCs w:val="22"/>
              </w:rPr>
              <w:t xml:space="preserve">Adjustierte Hospitalisierungsinzidenz bei 60+ Jährigen im Bereich von 30. </w:t>
            </w:r>
          </w:p>
          <w:p>
            <w:pPr>
              <w:pStyle w:val="Listenabsatz"/>
              <w:numPr>
                <w:ilvl w:val="2"/>
                <w:numId w:val="29"/>
              </w:numPr>
              <w:ind w:left="1190" w:hanging="357"/>
              <w:rPr>
                <w:sz w:val="22"/>
                <w:szCs w:val="22"/>
              </w:rPr>
            </w:pPr>
            <w:r>
              <w:rPr>
                <w:sz w:val="22"/>
                <w:szCs w:val="22"/>
              </w:rPr>
              <w:t xml:space="preserve">Nach Landkreisen (nicht adjustierte Werte): In einzelnen LK ist die Inzidenz nochmal deutlich höher. </w:t>
            </w:r>
          </w:p>
          <w:p>
            <w:pPr>
              <w:pStyle w:val="Listenabsatz"/>
              <w:numPr>
                <w:ilvl w:val="1"/>
                <w:numId w:val="29"/>
              </w:numPr>
              <w:ind w:left="828" w:hanging="357"/>
              <w:rPr>
                <w:sz w:val="22"/>
                <w:szCs w:val="22"/>
              </w:rPr>
            </w:pPr>
            <w:r>
              <w:rPr>
                <w:sz w:val="22"/>
                <w:szCs w:val="22"/>
              </w:rPr>
              <w:t>COVID-19-Todesfälle nach Sterbewoche</w:t>
            </w:r>
          </w:p>
          <w:p>
            <w:pPr>
              <w:pStyle w:val="Listenabsatz"/>
              <w:numPr>
                <w:ilvl w:val="2"/>
                <w:numId w:val="29"/>
              </w:numPr>
              <w:ind w:left="1190" w:hanging="357"/>
              <w:rPr>
                <w:sz w:val="22"/>
                <w:szCs w:val="22"/>
              </w:rPr>
            </w:pPr>
            <w:r>
              <w:rPr>
                <w:sz w:val="22"/>
                <w:szCs w:val="22"/>
              </w:rPr>
              <w:t>Zunahme, aber noch nicht auf Niveau von 4. Welle</w:t>
            </w:r>
          </w:p>
          <w:p>
            <w:pPr>
              <w:pStyle w:val="Listenabsatz"/>
              <w:numPr>
                <w:ilvl w:val="2"/>
                <w:numId w:val="29"/>
              </w:numPr>
              <w:ind w:left="1190" w:hanging="357"/>
              <w:rPr>
                <w:sz w:val="22"/>
                <w:szCs w:val="22"/>
              </w:rPr>
            </w:pPr>
            <w:r>
              <w:rPr>
                <w:sz w:val="22"/>
                <w:szCs w:val="22"/>
              </w:rPr>
              <w:t>Todesfälle nach LK: ähnliche Regionen, wie bei hohen Inzidenzen und Hospitalisierungsinzidenzen betroffen</w:t>
            </w:r>
          </w:p>
          <w:p>
            <w:pPr>
              <w:pStyle w:val="Listenabsatz"/>
              <w:numPr>
                <w:ilvl w:val="2"/>
                <w:numId w:val="29"/>
              </w:numPr>
              <w:ind w:left="1190" w:hanging="357"/>
              <w:rPr>
                <w:sz w:val="22"/>
                <w:szCs w:val="22"/>
              </w:rPr>
            </w:pPr>
            <w:r>
              <w:rPr>
                <w:sz w:val="22"/>
                <w:szCs w:val="22"/>
              </w:rPr>
              <w:t xml:space="preserve">Deutschland gesamt in 14 Tagen: 3,6 Todesfälle/ 100.000 </w:t>
            </w:r>
            <w:proofErr w:type="spellStart"/>
            <w:r>
              <w:rPr>
                <w:sz w:val="22"/>
                <w:szCs w:val="22"/>
              </w:rPr>
              <w:t>Einw</w:t>
            </w:r>
            <w:proofErr w:type="spellEnd"/>
            <w:r>
              <w:rPr>
                <w:sz w:val="22"/>
                <w:szCs w:val="22"/>
              </w:rPr>
              <w:t>., in einzelnen LK deutlich darüber.</w:t>
            </w:r>
          </w:p>
          <w:p>
            <w:pPr>
              <w:pStyle w:val="Listenabsatz"/>
              <w:ind w:left="1190"/>
              <w:rPr>
                <w:sz w:val="22"/>
                <w:szCs w:val="22"/>
              </w:rPr>
            </w:pPr>
          </w:p>
          <w:p>
            <w:pPr>
              <w:pStyle w:val="Liste1"/>
            </w:pPr>
            <w:r>
              <w:rPr>
                <w:b/>
              </w:rPr>
              <w:t>ITS-Belegung und Spock</w:t>
            </w:r>
            <w:r>
              <w:t xml:space="preserve"> (Folien </w:t>
            </w:r>
            <w:hyperlink r:id="rId13" w:history="1">
              <w:r>
                <w:rPr>
                  <w:rStyle w:val="Hyperlink"/>
                </w:rPr>
                <w:t>hier</w:t>
              </w:r>
            </w:hyperlink>
            <w:r>
              <w:t xml:space="preserve">) </w:t>
            </w:r>
            <w:r>
              <w:rPr>
                <w:rStyle w:val="TagMiZchn"/>
                <w:bCs/>
              </w:rPr>
              <w:t>(nur mittwochs)</w:t>
            </w:r>
            <w:r>
              <w:t xml:space="preserve"> </w:t>
            </w:r>
          </w:p>
          <w:p>
            <w:pPr>
              <w:pStyle w:val="Listenabsatz"/>
              <w:numPr>
                <w:ilvl w:val="1"/>
                <w:numId w:val="29"/>
              </w:numPr>
              <w:ind w:left="828" w:hanging="357"/>
              <w:rPr>
                <w:sz w:val="22"/>
                <w:szCs w:val="22"/>
              </w:rPr>
            </w:pPr>
            <w:r>
              <w:rPr>
                <w:sz w:val="22"/>
                <w:szCs w:val="22"/>
              </w:rPr>
              <w:t>DIVI-Intensivregister</w:t>
            </w:r>
          </w:p>
          <w:p>
            <w:pPr>
              <w:pStyle w:val="Listenabsatz"/>
              <w:numPr>
                <w:ilvl w:val="2"/>
                <w:numId w:val="29"/>
              </w:numPr>
              <w:ind w:left="1190" w:hanging="357"/>
              <w:rPr>
                <w:sz w:val="22"/>
                <w:szCs w:val="22"/>
              </w:rPr>
            </w:pPr>
            <w:r>
              <w:rPr>
                <w:sz w:val="22"/>
                <w:szCs w:val="22"/>
              </w:rPr>
              <w:t xml:space="preserve">Aktuell werden 2.288 Patienten behandelt, geht in leichten Anstieg über. Besonders deutlich gerade in letzten Tagen bei Neuaufnahmen zu sehen. </w:t>
            </w:r>
          </w:p>
          <w:p>
            <w:pPr>
              <w:pStyle w:val="Listenabsatz"/>
              <w:numPr>
                <w:ilvl w:val="2"/>
                <w:numId w:val="29"/>
              </w:numPr>
              <w:ind w:left="1190" w:hanging="357"/>
              <w:rPr>
                <w:sz w:val="22"/>
                <w:szCs w:val="22"/>
              </w:rPr>
            </w:pPr>
            <w:r>
              <w:rPr>
                <w:sz w:val="22"/>
                <w:szCs w:val="22"/>
              </w:rPr>
              <w:t>1.665 Neuaufnahmen in letzten 7 Tagen</w:t>
            </w:r>
          </w:p>
          <w:p>
            <w:pPr>
              <w:pStyle w:val="Listenabsatz"/>
              <w:numPr>
                <w:ilvl w:val="2"/>
                <w:numId w:val="29"/>
              </w:numPr>
              <w:ind w:left="1190" w:hanging="357"/>
              <w:rPr>
                <w:sz w:val="22"/>
                <w:szCs w:val="22"/>
              </w:rPr>
            </w:pPr>
            <w:r>
              <w:rPr>
                <w:sz w:val="22"/>
                <w:szCs w:val="22"/>
              </w:rPr>
              <w:t>Anzahl verstorbener Patient*innen auf Plateau</w:t>
            </w:r>
          </w:p>
          <w:p>
            <w:pPr>
              <w:pStyle w:val="Listenabsatz"/>
              <w:numPr>
                <w:ilvl w:val="1"/>
                <w:numId w:val="29"/>
              </w:numPr>
              <w:ind w:left="828" w:hanging="357"/>
              <w:rPr>
                <w:sz w:val="22"/>
                <w:szCs w:val="22"/>
              </w:rPr>
            </w:pPr>
            <w:r>
              <w:rPr>
                <w:sz w:val="22"/>
                <w:szCs w:val="22"/>
              </w:rPr>
              <w:t>Anteil der COVID-19-Patient*innen an der Gesamtzahl betreibbarer ITS-Betten</w:t>
            </w:r>
          </w:p>
          <w:p>
            <w:pPr>
              <w:pStyle w:val="Listenabsatz"/>
              <w:numPr>
                <w:ilvl w:val="2"/>
                <w:numId w:val="29"/>
              </w:numPr>
              <w:ind w:left="1190" w:hanging="357"/>
              <w:rPr>
                <w:sz w:val="22"/>
                <w:szCs w:val="22"/>
              </w:rPr>
            </w:pPr>
            <w:r>
              <w:rPr>
                <w:sz w:val="22"/>
                <w:szCs w:val="22"/>
              </w:rPr>
              <w:t>Diverses Bild</w:t>
            </w:r>
          </w:p>
          <w:p>
            <w:pPr>
              <w:pStyle w:val="Listenabsatz"/>
              <w:numPr>
                <w:ilvl w:val="2"/>
                <w:numId w:val="29"/>
              </w:numPr>
              <w:ind w:left="1190" w:hanging="357"/>
              <w:rPr>
                <w:sz w:val="22"/>
                <w:szCs w:val="22"/>
              </w:rPr>
            </w:pPr>
            <w:r>
              <w:rPr>
                <w:sz w:val="22"/>
                <w:szCs w:val="22"/>
              </w:rPr>
              <w:t>Deutliche Anstiege in Bremen, Niedersachsen, MV, SH, Bayern</w:t>
            </w:r>
          </w:p>
          <w:p>
            <w:pPr>
              <w:pStyle w:val="Listenabsatz"/>
              <w:numPr>
                <w:ilvl w:val="2"/>
                <w:numId w:val="29"/>
              </w:numPr>
              <w:ind w:left="1190" w:hanging="357"/>
              <w:rPr>
                <w:sz w:val="22"/>
                <w:szCs w:val="22"/>
              </w:rPr>
            </w:pPr>
            <w:r>
              <w:rPr>
                <w:sz w:val="22"/>
                <w:szCs w:val="22"/>
              </w:rPr>
              <w:t>Anstieg besonders markant im Saarland, betrifft vor allem die &gt;70-Jährigen.</w:t>
            </w:r>
          </w:p>
          <w:p>
            <w:pPr>
              <w:pStyle w:val="Listenabsatz"/>
              <w:numPr>
                <w:ilvl w:val="1"/>
                <w:numId w:val="29"/>
              </w:numPr>
              <w:ind w:left="828" w:hanging="357"/>
              <w:rPr>
                <w:sz w:val="22"/>
                <w:szCs w:val="22"/>
              </w:rPr>
            </w:pPr>
            <w:r>
              <w:rPr>
                <w:sz w:val="22"/>
                <w:szCs w:val="22"/>
              </w:rPr>
              <w:t>Behandlungsbelegung COVID-19 nach Schweregrad</w:t>
            </w:r>
          </w:p>
          <w:p>
            <w:pPr>
              <w:pStyle w:val="Listenabsatz"/>
              <w:numPr>
                <w:ilvl w:val="2"/>
                <w:numId w:val="29"/>
              </w:numPr>
              <w:ind w:left="1190" w:hanging="357"/>
              <w:rPr>
                <w:sz w:val="22"/>
                <w:szCs w:val="22"/>
              </w:rPr>
            </w:pPr>
            <w:r>
              <w:rPr>
                <w:sz w:val="22"/>
                <w:szCs w:val="22"/>
              </w:rPr>
              <w:t xml:space="preserve">Anstieg vor allem der „leichteren“ respiratorischen Behandlungsformen </w:t>
            </w:r>
          </w:p>
          <w:p>
            <w:pPr>
              <w:pStyle w:val="Listenabsatz"/>
              <w:numPr>
                <w:ilvl w:val="2"/>
                <w:numId w:val="29"/>
              </w:numPr>
              <w:ind w:left="1190" w:hanging="357"/>
              <w:rPr>
                <w:sz w:val="22"/>
                <w:szCs w:val="22"/>
              </w:rPr>
            </w:pPr>
            <w:r>
              <w:rPr>
                <w:sz w:val="22"/>
                <w:szCs w:val="22"/>
              </w:rPr>
              <w:t>35% unbekannten Behandlungsformen</w:t>
            </w:r>
          </w:p>
          <w:p>
            <w:pPr>
              <w:pStyle w:val="Listenabsatz"/>
              <w:numPr>
                <w:ilvl w:val="2"/>
                <w:numId w:val="29"/>
              </w:numPr>
              <w:ind w:left="1190" w:hanging="357"/>
              <w:rPr>
                <w:sz w:val="22"/>
                <w:szCs w:val="22"/>
              </w:rPr>
            </w:pPr>
            <w:r>
              <w:rPr>
                <w:sz w:val="22"/>
                <w:szCs w:val="22"/>
              </w:rPr>
              <w:t>Einschätzung Betriebssituation: leichter Anstieg</w:t>
            </w:r>
          </w:p>
          <w:p>
            <w:pPr>
              <w:pStyle w:val="Listenabsatz"/>
              <w:numPr>
                <w:ilvl w:val="1"/>
                <w:numId w:val="29"/>
              </w:numPr>
              <w:ind w:left="828" w:hanging="357"/>
              <w:rPr>
                <w:sz w:val="22"/>
                <w:szCs w:val="22"/>
              </w:rPr>
            </w:pPr>
            <w:r>
              <w:rPr>
                <w:sz w:val="22"/>
                <w:szCs w:val="22"/>
              </w:rPr>
              <w:t>Altersgruppen</w:t>
            </w:r>
          </w:p>
          <w:p>
            <w:pPr>
              <w:pStyle w:val="Listenabsatz"/>
              <w:numPr>
                <w:ilvl w:val="2"/>
                <w:numId w:val="29"/>
              </w:numPr>
              <w:ind w:left="1190" w:hanging="357"/>
              <w:rPr>
                <w:sz w:val="22"/>
                <w:szCs w:val="22"/>
              </w:rPr>
            </w:pPr>
            <w:r>
              <w:rPr>
                <w:sz w:val="22"/>
                <w:szCs w:val="22"/>
              </w:rPr>
              <w:t xml:space="preserve">Weitere Anstiege bei 70-79 und 80+ Jährigen </w:t>
            </w:r>
          </w:p>
          <w:p>
            <w:pPr>
              <w:pStyle w:val="Listenabsatz"/>
              <w:numPr>
                <w:ilvl w:val="2"/>
                <w:numId w:val="29"/>
              </w:numPr>
              <w:ind w:left="1190" w:hanging="357"/>
              <w:rPr>
                <w:sz w:val="22"/>
                <w:szCs w:val="22"/>
              </w:rPr>
            </w:pPr>
            <w:r>
              <w:rPr>
                <w:sz w:val="22"/>
                <w:szCs w:val="22"/>
              </w:rPr>
              <w:t xml:space="preserve">leichter Anstieg bei Kindern, 17% ohne COVID-Symptomatik </w:t>
            </w:r>
          </w:p>
          <w:p>
            <w:pPr>
              <w:pStyle w:val="Listenabsatz"/>
              <w:ind w:left="1190"/>
              <w:rPr>
                <w:sz w:val="22"/>
                <w:szCs w:val="22"/>
              </w:rPr>
            </w:pPr>
          </w:p>
          <w:p>
            <w:pPr>
              <w:pStyle w:val="Listenabsatz"/>
              <w:numPr>
                <w:ilvl w:val="1"/>
                <w:numId w:val="29"/>
              </w:numPr>
              <w:ind w:left="828" w:hanging="357"/>
              <w:rPr>
                <w:sz w:val="22"/>
                <w:szCs w:val="22"/>
              </w:rPr>
            </w:pPr>
            <w:proofErr w:type="spellStart"/>
            <w:r>
              <w:rPr>
                <w:sz w:val="22"/>
                <w:szCs w:val="22"/>
              </w:rPr>
              <w:lastRenderedPageBreak/>
              <w:t>SPoCK</w:t>
            </w:r>
            <w:proofErr w:type="spellEnd"/>
            <w:r>
              <w:rPr>
                <w:sz w:val="22"/>
                <w:szCs w:val="22"/>
              </w:rPr>
              <w:t>: Prognosen</w:t>
            </w:r>
          </w:p>
          <w:p>
            <w:pPr>
              <w:pStyle w:val="Listenabsatz"/>
              <w:numPr>
                <w:ilvl w:val="2"/>
                <w:numId w:val="29"/>
              </w:numPr>
              <w:ind w:left="1190" w:hanging="357"/>
              <w:rPr>
                <w:sz w:val="22"/>
                <w:szCs w:val="22"/>
              </w:rPr>
            </w:pPr>
            <w:r>
              <w:rPr>
                <w:sz w:val="22"/>
                <w:szCs w:val="22"/>
              </w:rPr>
              <w:t xml:space="preserve">Deutschlandweit eher Plateau </w:t>
            </w:r>
          </w:p>
          <w:p>
            <w:pPr>
              <w:pStyle w:val="Liste1"/>
              <w:numPr>
                <w:ilvl w:val="0"/>
                <w:numId w:val="0"/>
              </w:numPr>
              <w:ind w:left="473"/>
              <w:rPr>
                <w:rStyle w:val="3Zchn"/>
                <w:b w:val="0"/>
              </w:rPr>
            </w:pPr>
          </w:p>
          <w:p>
            <w:pPr>
              <w:pStyle w:val="Liste1"/>
            </w:pPr>
            <w:r>
              <w:rPr>
                <w:rStyle w:val="3Zchn"/>
              </w:rPr>
              <w:t xml:space="preserve">Testkapazität und Testungen </w:t>
            </w:r>
            <w:r>
              <w:rPr>
                <w:rStyle w:val="3Zchn"/>
                <w:b w:val="0"/>
              </w:rPr>
              <w:t xml:space="preserve">(Folien </w:t>
            </w:r>
            <w:hyperlink r:id="rId14" w:history="1">
              <w:r>
                <w:rPr>
                  <w:rStyle w:val="Hyperlink"/>
                </w:rPr>
                <w:t>hier</w:t>
              </w:r>
            </w:hyperlink>
            <w:r>
              <w:rPr>
                <w:rStyle w:val="3Zchn"/>
                <w:b w:val="0"/>
              </w:rPr>
              <w:t>)</w:t>
            </w:r>
            <w:r>
              <w:rPr>
                <w:rStyle w:val="TagMiZchn"/>
                <w:bCs/>
              </w:rPr>
              <w:t xml:space="preserve"> (nur mittwochs)</w:t>
            </w:r>
          </w:p>
          <w:p>
            <w:pPr>
              <w:pStyle w:val="Listenabsatz"/>
              <w:numPr>
                <w:ilvl w:val="1"/>
                <w:numId w:val="29"/>
              </w:numPr>
              <w:ind w:left="828" w:hanging="357"/>
              <w:rPr>
                <w:sz w:val="22"/>
                <w:szCs w:val="22"/>
              </w:rPr>
            </w:pPr>
            <w:r>
              <w:rPr>
                <w:sz w:val="22"/>
                <w:szCs w:val="22"/>
              </w:rPr>
              <w:t>Testanzahl und -kapazität</w:t>
            </w:r>
          </w:p>
          <w:p>
            <w:pPr>
              <w:pStyle w:val="Listenabsatz"/>
              <w:numPr>
                <w:ilvl w:val="2"/>
                <w:numId w:val="29"/>
              </w:numPr>
              <w:ind w:left="1190" w:hanging="357"/>
              <w:rPr>
                <w:sz w:val="22"/>
                <w:szCs w:val="22"/>
              </w:rPr>
            </w:pPr>
            <w:r>
              <w:rPr>
                <w:sz w:val="22"/>
                <w:szCs w:val="22"/>
              </w:rPr>
              <w:t xml:space="preserve">Anzahl Tests hat seit 4 Wochen das erstmalig wieder deutlich zugenommen, </w:t>
            </w:r>
            <w:proofErr w:type="spellStart"/>
            <w:r>
              <w:rPr>
                <w:sz w:val="22"/>
                <w:szCs w:val="22"/>
              </w:rPr>
              <w:t>Positivenanteil</w:t>
            </w:r>
            <w:proofErr w:type="spellEnd"/>
            <w:r>
              <w:rPr>
                <w:sz w:val="22"/>
                <w:szCs w:val="22"/>
              </w:rPr>
              <w:t xml:space="preserve"> hat auch zugenommen.</w:t>
            </w:r>
          </w:p>
          <w:p>
            <w:pPr>
              <w:pStyle w:val="Listenabsatz"/>
              <w:numPr>
                <w:ilvl w:val="1"/>
                <w:numId w:val="29"/>
              </w:numPr>
              <w:ind w:left="828" w:hanging="357"/>
              <w:rPr>
                <w:sz w:val="22"/>
                <w:szCs w:val="22"/>
              </w:rPr>
            </w:pPr>
            <w:r>
              <w:rPr>
                <w:sz w:val="22"/>
                <w:szCs w:val="22"/>
              </w:rPr>
              <w:t>Laborauslastung</w:t>
            </w:r>
          </w:p>
          <w:p>
            <w:pPr>
              <w:pStyle w:val="Listenabsatz"/>
              <w:numPr>
                <w:ilvl w:val="2"/>
                <w:numId w:val="29"/>
              </w:numPr>
              <w:ind w:left="1190" w:hanging="357"/>
              <w:rPr>
                <w:sz w:val="22"/>
                <w:szCs w:val="22"/>
              </w:rPr>
            </w:pPr>
            <w:r>
              <w:rPr>
                <w:sz w:val="22"/>
                <w:szCs w:val="22"/>
              </w:rPr>
              <w:t>Kapazitäten wieder etwas stärker belastet.</w:t>
            </w:r>
          </w:p>
          <w:p>
            <w:pPr>
              <w:pStyle w:val="Listenabsatz"/>
              <w:numPr>
                <w:ilvl w:val="2"/>
                <w:numId w:val="29"/>
              </w:numPr>
              <w:ind w:left="1190" w:hanging="357"/>
              <w:rPr>
                <w:sz w:val="22"/>
                <w:szCs w:val="22"/>
              </w:rPr>
            </w:pPr>
            <w:r>
              <w:rPr>
                <w:sz w:val="22"/>
                <w:szCs w:val="22"/>
              </w:rPr>
              <w:t>Auslastung in MV, NI, TH schon über 100%, in den anderen BL bei ca. 70% Auslastung.</w:t>
            </w:r>
          </w:p>
          <w:p>
            <w:pPr>
              <w:pStyle w:val="Listenabsatz"/>
              <w:numPr>
                <w:ilvl w:val="1"/>
                <w:numId w:val="29"/>
              </w:numPr>
              <w:ind w:left="828" w:hanging="357"/>
              <w:rPr>
                <w:sz w:val="22"/>
                <w:szCs w:val="22"/>
              </w:rPr>
            </w:pPr>
            <w:r>
              <w:rPr>
                <w:sz w:val="22"/>
                <w:szCs w:val="22"/>
              </w:rPr>
              <w:t>SARS in ARS</w:t>
            </w:r>
          </w:p>
          <w:p>
            <w:pPr>
              <w:pStyle w:val="Listenabsatz"/>
              <w:numPr>
                <w:ilvl w:val="2"/>
                <w:numId w:val="29"/>
              </w:numPr>
              <w:ind w:left="1190" w:hanging="357"/>
              <w:rPr>
                <w:sz w:val="22"/>
                <w:szCs w:val="22"/>
              </w:rPr>
            </w:pPr>
            <w:r>
              <w:rPr>
                <w:sz w:val="22"/>
                <w:szCs w:val="22"/>
              </w:rPr>
              <w:t>In allen Bundesländern außer Berlin Anstieg bei Testungen</w:t>
            </w:r>
          </w:p>
          <w:p>
            <w:pPr>
              <w:pStyle w:val="Listenabsatz"/>
              <w:numPr>
                <w:ilvl w:val="1"/>
                <w:numId w:val="29"/>
              </w:numPr>
              <w:ind w:left="828" w:hanging="357"/>
              <w:rPr>
                <w:sz w:val="22"/>
                <w:szCs w:val="22"/>
              </w:rPr>
            </w:pPr>
            <w:r>
              <w:rPr>
                <w:sz w:val="22"/>
                <w:szCs w:val="22"/>
              </w:rPr>
              <w:t>Wo wird getestet</w:t>
            </w:r>
          </w:p>
          <w:p>
            <w:pPr>
              <w:pStyle w:val="Listenabsatz"/>
              <w:numPr>
                <w:ilvl w:val="2"/>
                <w:numId w:val="29"/>
              </w:numPr>
              <w:ind w:left="1190" w:hanging="357"/>
              <w:rPr>
                <w:sz w:val="22"/>
                <w:szCs w:val="22"/>
              </w:rPr>
            </w:pPr>
            <w:r>
              <w:rPr>
                <w:sz w:val="22"/>
                <w:szCs w:val="22"/>
              </w:rPr>
              <w:t xml:space="preserve">In Arztpraxen Anzahl Testungen deutlich gestiegen, </w:t>
            </w:r>
            <w:proofErr w:type="spellStart"/>
            <w:r>
              <w:rPr>
                <w:sz w:val="22"/>
                <w:szCs w:val="22"/>
              </w:rPr>
              <w:t>Positivenanteil</w:t>
            </w:r>
            <w:proofErr w:type="spellEnd"/>
            <w:r>
              <w:rPr>
                <w:sz w:val="22"/>
                <w:szCs w:val="22"/>
              </w:rPr>
              <w:t xml:space="preserve"> zum Teil über 80%</w:t>
            </w:r>
          </w:p>
          <w:p>
            <w:pPr>
              <w:pStyle w:val="Listenabsatz"/>
              <w:numPr>
                <w:ilvl w:val="2"/>
                <w:numId w:val="29"/>
              </w:numPr>
              <w:ind w:left="1190" w:hanging="357"/>
              <w:rPr>
                <w:sz w:val="22"/>
                <w:szCs w:val="22"/>
              </w:rPr>
            </w:pPr>
            <w:r>
              <w:rPr>
                <w:sz w:val="22"/>
                <w:szCs w:val="22"/>
              </w:rPr>
              <w:t xml:space="preserve">In KH steigt </w:t>
            </w:r>
            <w:proofErr w:type="spellStart"/>
            <w:r>
              <w:rPr>
                <w:sz w:val="22"/>
                <w:szCs w:val="22"/>
              </w:rPr>
              <w:t>Positivenanteil</w:t>
            </w:r>
            <w:proofErr w:type="spellEnd"/>
            <w:r>
              <w:rPr>
                <w:sz w:val="22"/>
                <w:szCs w:val="22"/>
              </w:rPr>
              <w:t xml:space="preserve"> an.</w:t>
            </w:r>
          </w:p>
          <w:p>
            <w:pPr>
              <w:pStyle w:val="Listenabsatz"/>
              <w:numPr>
                <w:ilvl w:val="2"/>
                <w:numId w:val="29"/>
              </w:numPr>
              <w:ind w:left="1190" w:hanging="357"/>
              <w:rPr>
                <w:sz w:val="22"/>
                <w:szCs w:val="22"/>
              </w:rPr>
            </w:pPr>
            <w:r>
              <w:rPr>
                <w:sz w:val="22"/>
                <w:szCs w:val="22"/>
              </w:rPr>
              <w:t>Andere Teststellen schwer zu interpretieren.</w:t>
            </w:r>
          </w:p>
          <w:p>
            <w:pPr>
              <w:pStyle w:val="Listenabsatz"/>
              <w:numPr>
                <w:ilvl w:val="1"/>
                <w:numId w:val="29"/>
              </w:numPr>
              <w:ind w:left="828" w:hanging="357"/>
              <w:rPr>
                <w:sz w:val="22"/>
                <w:szCs w:val="22"/>
              </w:rPr>
            </w:pPr>
            <w:r>
              <w:rPr>
                <w:sz w:val="22"/>
                <w:szCs w:val="22"/>
              </w:rPr>
              <w:t>Testungen nach Altersgruppe</w:t>
            </w:r>
          </w:p>
          <w:p>
            <w:pPr>
              <w:pStyle w:val="Listenabsatz"/>
              <w:numPr>
                <w:ilvl w:val="2"/>
                <w:numId w:val="29"/>
              </w:numPr>
              <w:ind w:left="1190" w:hanging="357"/>
              <w:rPr>
                <w:sz w:val="22"/>
                <w:szCs w:val="22"/>
              </w:rPr>
            </w:pPr>
            <w:r>
              <w:rPr>
                <w:sz w:val="22"/>
                <w:szCs w:val="22"/>
              </w:rPr>
              <w:t xml:space="preserve">Deutlich mehr bei 5-14-Jährigen </w:t>
            </w:r>
          </w:p>
          <w:p>
            <w:pPr>
              <w:pStyle w:val="Listenabsatz"/>
              <w:numPr>
                <w:ilvl w:val="2"/>
                <w:numId w:val="29"/>
              </w:numPr>
              <w:ind w:left="1190" w:hanging="357"/>
              <w:rPr>
                <w:sz w:val="22"/>
                <w:szCs w:val="22"/>
              </w:rPr>
            </w:pPr>
            <w:proofErr w:type="spellStart"/>
            <w:r>
              <w:rPr>
                <w:sz w:val="22"/>
                <w:szCs w:val="22"/>
              </w:rPr>
              <w:t>Positivenanteil</w:t>
            </w:r>
            <w:proofErr w:type="spellEnd"/>
            <w:r>
              <w:rPr>
                <w:sz w:val="22"/>
                <w:szCs w:val="22"/>
              </w:rPr>
              <w:t xml:space="preserve"> steigt in allen Altersgruppen an außer bei Kleinkindern und 5-14-Jährigen.</w:t>
            </w:r>
          </w:p>
          <w:p>
            <w:pPr>
              <w:pStyle w:val="Listenabsatz"/>
              <w:numPr>
                <w:ilvl w:val="2"/>
                <w:numId w:val="29"/>
              </w:numPr>
              <w:ind w:left="1190" w:hanging="357"/>
              <w:rPr>
                <w:sz w:val="22"/>
                <w:szCs w:val="22"/>
              </w:rPr>
            </w:pPr>
            <w:r>
              <w:rPr>
                <w:sz w:val="22"/>
                <w:szCs w:val="22"/>
              </w:rPr>
              <w:t xml:space="preserve">Anzahl positiver Testungen / 100.000 </w:t>
            </w:r>
            <w:proofErr w:type="spellStart"/>
            <w:r>
              <w:rPr>
                <w:sz w:val="22"/>
                <w:szCs w:val="22"/>
              </w:rPr>
              <w:t>Einw</w:t>
            </w:r>
            <w:proofErr w:type="spellEnd"/>
            <w:r>
              <w:rPr>
                <w:sz w:val="22"/>
                <w:szCs w:val="22"/>
              </w:rPr>
              <w:t>. steigt, am deutlichsten bei mittleren Altersgruppen.</w:t>
            </w:r>
          </w:p>
          <w:p>
            <w:pPr>
              <w:pStyle w:val="Listenabsatz"/>
              <w:numPr>
                <w:ilvl w:val="1"/>
                <w:numId w:val="29"/>
              </w:numPr>
              <w:ind w:left="828" w:hanging="357"/>
              <w:rPr>
                <w:sz w:val="22"/>
                <w:szCs w:val="22"/>
              </w:rPr>
            </w:pPr>
            <w:r>
              <w:rPr>
                <w:sz w:val="22"/>
                <w:szCs w:val="22"/>
              </w:rPr>
              <w:t>Monatsbericht SARS in ARS</w:t>
            </w:r>
          </w:p>
          <w:p>
            <w:pPr>
              <w:pStyle w:val="Listenabsatz"/>
              <w:numPr>
                <w:ilvl w:val="2"/>
                <w:numId w:val="29"/>
              </w:numPr>
              <w:ind w:left="1190" w:hanging="357"/>
              <w:rPr>
                <w:sz w:val="22"/>
                <w:szCs w:val="22"/>
              </w:rPr>
            </w:pPr>
            <w:r>
              <w:rPr>
                <w:sz w:val="22"/>
                <w:szCs w:val="22"/>
              </w:rPr>
              <w:t xml:space="preserve">Bei monatsweiser Betrachtung seit Beginn der Pandemie ist der </w:t>
            </w:r>
            <w:proofErr w:type="spellStart"/>
            <w:r>
              <w:rPr>
                <w:sz w:val="22"/>
                <w:szCs w:val="22"/>
              </w:rPr>
              <w:t>Positivenanteil</w:t>
            </w:r>
            <w:proofErr w:type="spellEnd"/>
            <w:r>
              <w:rPr>
                <w:sz w:val="22"/>
                <w:szCs w:val="22"/>
              </w:rPr>
              <w:t xml:space="preserve"> jetzt am höchsten, auch bei &gt;80-Jährigen.</w:t>
            </w:r>
          </w:p>
          <w:p>
            <w:pPr>
              <w:pStyle w:val="Listenabsatz"/>
              <w:numPr>
                <w:ilvl w:val="1"/>
                <w:numId w:val="29"/>
              </w:numPr>
              <w:ind w:left="828" w:hanging="357"/>
              <w:rPr>
                <w:sz w:val="22"/>
                <w:szCs w:val="22"/>
              </w:rPr>
            </w:pPr>
            <w:r>
              <w:rPr>
                <w:sz w:val="22"/>
                <w:szCs w:val="22"/>
              </w:rPr>
              <w:t>Ausbrüche in med. Behandlungseinrichtungen, Alten- und Pflegeheimen</w:t>
            </w:r>
          </w:p>
          <w:p>
            <w:pPr>
              <w:pStyle w:val="Listenabsatz"/>
              <w:numPr>
                <w:ilvl w:val="2"/>
                <w:numId w:val="29"/>
              </w:numPr>
              <w:ind w:left="1190" w:hanging="357"/>
              <w:rPr>
                <w:sz w:val="22"/>
                <w:szCs w:val="22"/>
              </w:rPr>
            </w:pPr>
            <w:r>
              <w:rPr>
                <w:sz w:val="22"/>
                <w:szCs w:val="22"/>
              </w:rPr>
              <w:t xml:space="preserve">196 aktive Ausbrüche in Krankenhäusern </w:t>
            </w:r>
          </w:p>
          <w:p>
            <w:pPr>
              <w:pStyle w:val="Listenabsatz"/>
              <w:numPr>
                <w:ilvl w:val="2"/>
                <w:numId w:val="29"/>
              </w:numPr>
              <w:ind w:left="1190" w:hanging="357"/>
              <w:rPr>
                <w:sz w:val="22"/>
                <w:szCs w:val="22"/>
              </w:rPr>
            </w:pPr>
            <w:r>
              <w:rPr>
                <w:sz w:val="22"/>
                <w:szCs w:val="22"/>
              </w:rPr>
              <w:t>510 aktive Ausbrüche in Alten- und Pflegeheimen, etwas weniger als in Vorwoche, Todesfälle steigen wieder an.</w:t>
            </w:r>
          </w:p>
          <w:p>
            <w:pPr>
              <w:pStyle w:val="Listenabsatz"/>
              <w:ind w:left="1190"/>
              <w:rPr>
                <w:sz w:val="22"/>
                <w:szCs w:val="22"/>
              </w:rPr>
            </w:pPr>
          </w:p>
          <w:p>
            <w:pPr>
              <w:pStyle w:val="Liste1"/>
            </w:pPr>
            <w:r>
              <w:rPr>
                <w:b/>
              </w:rPr>
              <w:t>VOC-Bericht</w:t>
            </w:r>
            <w:r>
              <w:t xml:space="preserve"> (Folien </w:t>
            </w:r>
            <w:hyperlink r:id="rId15" w:history="1">
              <w:r>
                <w:rPr>
                  <w:rStyle w:val="Hyperlink"/>
                </w:rPr>
                <w:t>hier</w:t>
              </w:r>
            </w:hyperlink>
            <w:r>
              <w:t xml:space="preserve">) </w:t>
            </w:r>
            <w:r>
              <w:rPr>
                <w:rStyle w:val="TagMiZchn"/>
                <w:bCs/>
              </w:rPr>
              <w:t>(nur mittwochs)</w:t>
            </w:r>
          </w:p>
          <w:p>
            <w:pPr>
              <w:pStyle w:val="Listenabsatz"/>
              <w:numPr>
                <w:ilvl w:val="1"/>
                <w:numId w:val="29"/>
              </w:numPr>
              <w:ind w:left="828" w:hanging="357"/>
              <w:rPr>
                <w:sz w:val="22"/>
                <w:szCs w:val="22"/>
              </w:rPr>
            </w:pPr>
            <w:r>
              <w:rPr>
                <w:sz w:val="22"/>
                <w:szCs w:val="22"/>
              </w:rPr>
              <w:t>Übersicht VOC/VOI in Stichprobe</w:t>
            </w:r>
          </w:p>
          <w:p>
            <w:pPr>
              <w:pStyle w:val="Listenabsatz"/>
              <w:numPr>
                <w:ilvl w:val="2"/>
                <w:numId w:val="29"/>
              </w:numPr>
              <w:ind w:left="1190" w:hanging="357"/>
              <w:rPr>
                <w:sz w:val="22"/>
                <w:szCs w:val="22"/>
              </w:rPr>
            </w:pPr>
            <w:r>
              <w:rPr>
                <w:sz w:val="22"/>
                <w:szCs w:val="22"/>
              </w:rPr>
              <w:t>In KW 9 ist BA.2 zur dominierenden Variante geworden.</w:t>
            </w:r>
          </w:p>
          <w:p>
            <w:pPr>
              <w:pStyle w:val="Listenabsatz"/>
              <w:numPr>
                <w:ilvl w:val="1"/>
                <w:numId w:val="29"/>
              </w:numPr>
              <w:ind w:left="828" w:hanging="357"/>
              <w:rPr>
                <w:sz w:val="22"/>
                <w:szCs w:val="22"/>
              </w:rPr>
            </w:pPr>
            <w:r>
              <w:rPr>
                <w:sz w:val="22"/>
                <w:szCs w:val="22"/>
              </w:rPr>
              <w:t>Omikron-Sublinien in Stichprobe</w:t>
            </w:r>
          </w:p>
          <w:p>
            <w:pPr>
              <w:pStyle w:val="Listenabsatz"/>
              <w:numPr>
                <w:ilvl w:val="2"/>
                <w:numId w:val="29"/>
              </w:numPr>
              <w:ind w:left="1190" w:hanging="357"/>
              <w:rPr>
                <w:sz w:val="22"/>
                <w:szCs w:val="22"/>
              </w:rPr>
            </w:pPr>
            <w:r>
              <w:rPr>
                <w:sz w:val="22"/>
                <w:szCs w:val="22"/>
              </w:rPr>
              <w:t xml:space="preserve">BA.1 und BA.1.1 haben jeweils fast um ca. 10% verloren. </w:t>
            </w:r>
          </w:p>
          <w:p>
            <w:pPr>
              <w:pStyle w:val="Listenabsatz"/>
              <w:numPr>
                <w:ilvl w:val="1"/>
                <w:numId w:val="29"/>
              </w:numPr>
              <w:ind w:left="828" w:hanging="357"/>
              <w:rPr>
                <w:sz w:val="22"/>
                <w:szCs w:val="22"/>
              </w:rPr>
            </w:pPr>
            <w:r>
              <w:rPr>
                <w:sz w:val="22"/>
                <w:szCs w:val="22"/>
              </w:rPr>
              <w:t>IfSG-Daten</w:t>
            </w:r>
          </w:p>
          <w:p>
            <w:pPr>
              <w:pStyle w:val="Listenabsatz"/>
              <w:numPr>
                <w:ilvl w:val="2"/>
                <w:numId w:val="29"/>
              </w:numPr>
              <w:ind w:left="1190" w:hanging="357"/>
              <w:rPr>
                <w:sz w:val="22"/>
                <w:szCs w:val="22"/>
              </w:rPr>
            </w:pPr>
            <w:r>
              <w:rPr>
                <w:sz w:val="22"/>
                <w:szCs w:val="22"/>
              </w:rPr>
              <w:t>Ähnliches Bild, Alpha und Beta-Fälle eher Fehlüber</w:t>
            </w:r>
            <w:r>
              <w:rPr>
                <w:sz w:val="22"/>
                <w:szCs w:val="22"/>
              </w:rPr>
              <w:softHyphen/>
              <w:t>mittlung</w:t>
            </w:r>
          </w:p>
          <w:p>
            <w:pPr>
              <w:pStyle w:val="Listenabsatz"/>
              <w:numPr>
                <w:ilvl w:val="2"/>
                <w:numId w:val="29"/>
              </w:numPr>
              <w:ind w:left="1190" w:hanging="357"/>
              <w:rPr>
                <w:sz w:val="22"/>
                <w:szCs w:val="22"/>
              </w:rPr>
            </w:pPr>
            <w:r>
              <w:rPr>
                <w:sz w:val="22"/>
                <w:szCs w:val="22"/>
              </w:rPr>
              <w:t>Große Unterschiede bei Anzahl der varianten spezifischen Testungen zwischen den BL.</w:t>
            </w:r>
          </w:p>
          <w:p>
            <w:pPr>
              <w:pStyle w:val="Listenabsatz"/>
              <w:numPr>
                <w:ilvl w:val="1"/>
                <w:numId w:val="29"/>
              </w:numPr>
              <w:ind w:left="828" w:hanging="357"/>
              <w:rPr>
                <w:sz w:val="22"/>
                <w:szCs w:val="22"/>
              </w:rPr>
            </w:pPr>
            <w:proofErr w:type="spellStart"/>
            <w:r>
              <w:rPr>
                <w:sz w:val="22"/>
                <w:szCs w:val="22"/>
              </w:rPr>
              <w:t>Confirmed</w:t>
            </w:r>
            <w:proofErr w:type="spellEnd"/>
            <w:r>
              <w:rPr>
                <w:sz w:val="22"/>
                <w:szCs w:val="22"/>
              </w:rPr>
              <w:t xml:space="preserve"> AY.4/BA.1 </w:t>
            </w:r>
            <w:proofErr w:type="spellStart"/>
            <w:r>
              <w:rPr>
                <w:sz w:val="22"/>
                <w:szCs w:val="22"/>
              </w:rPr>
              <w:t>Recombination</w:t>
            </w:r>
            <w:proofErr w:type="spellEnd"/>
          </w:p>
          <w:p>
            <w:pPr>
              <w:pStyle w:val="Listenabsatz"/>
              <w:numPr>
                <w:ilvl w:val="2"/>
                <w:numId w:val="29"/>
              </w:numPr>
              <w:ind w:left="1190" w:hanging="357"/>
              <w:rPr>
                <w:sz w:val="22"/>
                <w:szCs w:val="22"/>
              </w:rPr>
            </w:pPr>
            <w:r>
              <w:rPr>
                <w:sz w:val="22"/>
                <w:szCs w:val="22"/>
              </w:rPr>
              <w:t>64-Jährige Frau, 3fach geimpft (</w:t>
            </w:r>
            <w:proofErr w:type="spellStart"/>
            <w:r>
              <w:rPr>
                <w:sz w:val="22"/>
                <w:szCs w:val="22"/>
              </w:rPr>
              <w:t>geboostert</w:t>
            </w:r>
            <w:proofErr w:type="spellEnd"/>
            <w:r>
              <w:rPr>
                <w:sz w:val="22"/>
                <w:szCs w:val="22"/>
              </w:rPr>
              <w:t xml:space="preserve"> in 12/21), schwerer Krankheitsverlauf mit Hospitalisierung, keine Reiseanamnese</w:t>
            </w:r>
          </w:p>
          <w:p>
            <w:pPr>
              <w:pStyle w:val="Listenabsatz"/>
              <w:numPr>
                <w:ilvl w:val="2"/>
                <w:numId w:val="29"/>
              </w:numPr>
              <w:ind w:left="1190" w:hanging="357"/>
              <w:rPr>
                <w:sz w:val="22"/>
                <w:szCs w:val="22"/>
              </w:rPr>
            </w:pPr>
            <w:r>
              <w:rPr>
                <w:sz w:val="22"/>
                <w:szCs w:val="22"/>
              </w:rPr>
              <w:t xml:space="preserve">In Deutschland ist diese Rekombinante </w:t>
            </w:r>
            <w:proofErr w:type="spellStart"/>
            <w:r>
              <w:rPr>
                <w:sz w:val="22"/>
                <w:szCs w:val="22"/>
              </w:rPr>
              <w:t>unique</w:t>
            </w:r>
            <w:proofErr w:type="spellEnd"/>
            <w:r>
              <w:rPr>
                <w:sz w:val="22"/>
                <w:szCs w:val="22"/>
              </w:rPr>
              <w:t>, im internationalen Vergleich nahezu identisch mit Französischem Isolat.</w:t>
            </w:r>
          </w:p>
          <w:p>
            <w:pPr>
              <w:pStyle w:val="Listenabsatz"/>
              <w:numPr>
                <w:ilvl w:val="1"/>
                <w:numId w:val="29"/>
              </w:numPr>
              <w:ind w:left="828" w:hanging="357"/>
              <w:rPr>
                <w:sz w:val="22"/>
                <w:szCs w:val="22"/>
              </w:rPr>
            </w:pPr>
            <w:proofErr w:type="spellStart"/>
            <w:r>
              <w:rPr>
                <w:sz w:val="22"/>
                <w:szCs w:val="22"/>
              </w:rPr>
              <w:lastRenderedPageBreak/>
              <w:t>Unconfirmed</w:t>
            </w:r>
            <w:proofErr w:type="spellEnd"/>
            <w:r>
              <w:rPr>
                <w:sz w:val="22"/>
                <w:szCs w:val="22"/>
              </w:rPr>
              <w:t xml:space="preserve"> BA.1/BA.2 </w:t>
            </w:r>
            <w:proofErr w:type="spellStart"/>
            <w:r>
              <w:rPr>
                <w:sz w:val="22"/>
                <w:szCs w:val="22"/>
              </w:rPr>
              <w:t>recombinants</w:t>
            </w:r>
            <w:proofErr w:type="spellEnd"/>
          </w:p>
          <w:p>
            <w:pPr>
              <w:pStyle w:val="Listenabsatz"/>
              <w:numPr>
                <w:ilvl w:val="2"/>
                <w:numId w:val="29"/>
              </w:numPr>
              <w:ind w:left="1190" w:hanging="357"/>
              <w:rPr>
                <w:sz w:val="22"/>
                <w:szCs w:val="22"/>
              </w:rPr>
            </w:pPr>
            <w:r>
              <w:rPr>
                <w:sz w:val="22"/>
                <w:szCs w:val="22"/>
              </w:rPr>
              <w:t>2. Rekombinante in Deutschland noch nicht bestätigt, aber 9 Isolate aus 3 Laboren</w:t>
            </w:r>
          </w:p>
          <w:p>
            <w:pPr>
              <w:pStyle w:val="Listenabsatz"/>
              <w:ind w:left="1190"/>
              <w:rPr>
                <w:sz w:val="22"/>
                <w:szCs w:val="22"/>
              </w:rPr>
            </w:pPr>
          </w:p>
          <w:p>
            <w:pPr>
              <w:pStyle w:val="Liste1"/>
            </w:pPr>
            <w:r>
              <w:rPr>
                <w:b/>
              </w:rPr>
              <w:t>Syndromische Surveillance</w:t>
            </w:r>
            <w:r>
              <w:rPr>
                <w:rStyle w:val="TagMiZchn"/>
              </w:rPr>
              <w:t xml:space="preserve"> </w:t>
            </w:r>
            <w:r>
              <w:t xml:space="preserve">(Folien </w:t>
            </w:r>
            <w:hyperlink r:id="rId16" w:history="1">
              <w:r>
                <w:rPr>
                  <w:rStyle w:val="Hyperlink"/>
                </w:rPr>
                <w:t>hier</w:t>
              </w:r>
            </w:hyperlink>
            <w:r>
              <w:t xml:space="preserve">) </w:t>
            </w:r>
            <w:r>
              <w:rPr>
                <w:rStyle w:val="TagMiZchn"/>
                <w:bCs/>
              </w:rPr>
              <w:t>(nur mittwochs)</w:t>
            </w:r>
          </w:p>
          <w:p>
            <w:pPr>
              <w:pStyle w:val="Listenabsatz"/>
              <w:numPr>
                <w:ilvl w:val="1"/>
                <w:numId w:val="29"/>
              </w:numPr>
              <w:ind w:left="828" w:hanging="357"/>
              <w:rPr>
                <w:sz w:val="22"/>
                <w:szCs w:val="22"/>
              </w:rPr>
            </w:pPr>
            <w:proofErr w:type="spellStart"/>
            <w:r>
              <w:rPr>
                <w:sz w:val="22"/>
                <w:szCs w:val="22"/>
              </w:rPr>
              <w:t>GrippeWeb</w:t>
            </w:r>
            <w:proofErr w:type="spellEnd"/>
          </w:p>
          <w:p>
            <w:pPr>
              <w:pStyle w:val="Listenabsatz"/>
              <w:numPr>
                <w:ilvl w:val="2"/>
                <w:numId w:val="29"/>
              </w:numPr>
              <w:ind w:left="1190" w:hanging="357"/>
              <w:rPr>
                <w:sz w:val="22"/>
                <w:szCs w:val="22"/>
              </w:rPr>
            </w:pPr>
            <w:r>
              <w:rPr>
                <w:sz w:val="22"/>
                <w:szCs w:val="22"/>
              </w:rPr>
              <w:t>ARE-Raten gestiegen, vor allem bei Kindern, bei Erwachsenen eher Seitwärtsbewegung, bei Kindern vorpandemisches Niveau erreicht.</w:t>
            </w:r>
          </w:p>
          <w:p>
            <w:pPr>
              <w:pStyle w:val="Listenabsatz"/>
              <w:numPr>
                <w:ilvl w:val="1"/>
                <w:numId w:val="29"/>
              </w:numPr>
              <w:ind w:left="828" w:hanging="357"/>
              <w:rPr>
                <w:sz w:val="22"/>
                <w:szCs w:val="22"/>
              </w:rPr>
            </w:pPr>
            <w:r>
              <w:rPr>
                <w:sz w:val="22"/>
                <w:szCs w:val="22"/>
              </w:rPr>
              <w:t>ARE-Konsultationen</w:t>
            </w:r>
          </w:p>
          <w:p>
            <w:pPr>
              <w:pStyle w:val="Listenabsatz"/>
              <w:numPr>
                <w:ilvl w:val="2"/>
                <w:numId w:val="29"/>
              </w:numPr>
              <w:ind w:left="1190" w:hanging="357"/>
              <w:rPr>
                <w:sz w:val="22"/>
                <w:szCs w:val="22"/>
              </w:rPr>
            </w:pPr>
            <w:r>
              <w:rPr>
                <w:sz w:val="22"/>
                <w:szCs w:val="22"/>
              </w:rPr>
              <w:t>Eher noch Seitwärtsbewegung, leichter Anstieg bei Schulkindern und &gt;60-Jährigen.</w:t>
            </w:r>
          </w:p>
          <w:p>
            <w:pPr>
              <w:pStyle w:val="Listenabsatz"/>
              <w:numPr>
                <w:ilvl w:val="2"/>
                <w:numId w:val="29"/>
              </w:numPr>
              <w:ind w:left="1190" w:hanging="357"/>
              <w:rPr>
                <w:sz w:val="22"/>
                <w:szCs w:val="22"/>
              </w:rPr>
            </w:pPr>
            <w:r>
              <w:rPr>
                <w:sz w:val="22"/>
                <w:szCs w:val="22"/>
              </w:rPr>
              <w:t>Höher als letztes Jahr, aber im Bereich der vorpandemischen Saisons.</w:t>
            </w:r>
          </w:p>
          <w:p>
            <w:pPr>
              <w:pStyle w:val="Listenabsatz"/>
              <w:numPr>
                <w:ilvl w:val="2"/>
                <w:numId w:val="29"/>
              </w:numPr>
              <w:ind w:left="1190" w:hanging="357"/>
              <w:rPr>
                <w:sz w:val="22"/>
                <w:szCs w:val="22"/>
              </w:rPr>
            </w:pPr>
            <w:r>
              <w:rPr>
                <w:sz w:val="22"/>
                <w:szCs w:val="22"/>
              </w:rPr>
              <w:t>Kein eindeutiger Trend über die BL hinweg.</w:t>
            </w:r>
          </w:p>
          <w:p>
            <w:pPr>
              <w:pStyle w:val="Listenabsatz"/>
              <w:numPr>
                <w:ilvl w:val="2"/>
                <w:numId w:val="29"/>
              </w:numPr>
              <w:ind w:left="1190" w:hanging="357"/>
              <w:rPr>
                <w:sz w:val="22"/>
                <w:szCs w:val="22"/>
              </w:rPr>
            </w:pPr>
            <w:r>
              <w:rPr>
                <w:sz w:val="22"/>
                <w:szCs w:val="22"/>
              </w:rPr>
              <w:t>Influenza-Meldedaten: im Moment Anstieg, 2 Fälle mit Exposition in Ukraine</w:t>
            </w:r>
          </w:p>
          <w:p>
            <w:pPr>
              <w:pStyle w:val="Listenabsatz"/>
              <w:numPr>
                <w:ilvl w:val="1"/>
                <w:numId w:val="29"/>
              </w:numPr>
              <w:ind w:left="828" w:hanging="357"/>
              <w:rPr>
                <w:sz w:val="22"/>
                <w:szCs w:val="22"/>
              </w:rPr>
            </w:pPr>
            <w:r>
              <w:rPr>
                <w:sz w:val="22"/>
                <w:szCs w:val="22"/>
              </w:rPr>
              <w:t>ARE-Konsultationen mit COVID-Diagnose</w:t>
            </w:r>
          </w:p>
          <w:p>
            <w:pPr>
              <w:pStyle w:val="Listenabsatz"/>
              <w:numPr>
                <w:ilvl w:val="2"/>
                <w:numId w:val="29"/>
              </w:numPr>
              <w:ind w:left="1190" w:hanging="357"/>
              <w:rPr>
                <w:sz w:val="22"/>
                <w:szCs w:val="22"/>
              </w:rPr>
            </w:pPr>
            <w:r>
              <w:rPr>
                <w:sz w:val="22"/>
                <w:szCs w:val="22"/>
              </w:rPr>
              <w:t>Bei 15-34 und 35-59-Jährigen Wiederanstieg.</w:t>
            </w:r>
          </w:p>
          <w:p>
            <w:pPr>
              <w:pStyle w:val="Listenabsatz"/>
              <w:numPr>
                <w:ilvl w:val="2"/>
                <w:numId w:val="29"/>
              </w:numPr>
              <w:ind w:left="1190" w:hanging="357"/>
              <w:rPr>
                <w:sz w:val="22"/>
                <w:szCs w:val="22"/>
              </w:rPr>
            </w:pPr>
            <w:r>
              <w:rPr>
                <w:sz w:val="22"/>
                <w:szCs w:val="22"/>
              </w:rPr>
              <w:t xml:space="preserve">Bei 5-14-Jähringen Trendwende, erneuter Anstieg </w:t>
            </w:r>
          </w:p>
          <w:p>
            <w:pPr>
              <w:pStyle w:val="Listenabsatz"/>
              <w:numPr>
                <w:ilvl w:val="1"/>
                <w:numId w:val="29"/>
              </w:numPr>
              <w:ind w:left="828" w:hanging="357"/>
              <w:rPr>
                <w:sz w:val="22"/>
                <w:szCs w:val="22"/>
              </w:rPr>
            </w:pPr>
            <w:r>
              <w:rPr>
                <w:sz w:val="22"/>
                <w:szCs w:val="22"/>
              </w:rPr>
              <w:t>ICOSARI-KH-Surveillance</w:t>
            </w:r>
          </w:p>
          <w:p>
            <w:pPr>
              <w:pStyle w:val="Listenabsatz"/>
              <w:numPr>
                <w:ilvl w:val="2"/>
                <w:numId w:val="29"/>
              </w:numPr>
              <w:ind w:left="1190" w:hanging="357"/>
              <w:rPr>
                <w:sz w:val="22"/>
                <w:szCs w:val="22"/>
              </w:rPr>
            </w:pPr>
            <w:r>
              <w:rPr>
                <w:sz w:val="22"/>
                <w:szCs w:val="22"/>
              </w:rPr>
              <w:t>Seitwärtsbewegung, kein deutlicher Anstieg</w:t>
            </w:r>
          </w:p>
          <w:p>
            <w:pPr>
              <w:pStyle w:val="Listenabsatz"/>
              <w:numPr>
                <w:ilvl w:val="2"/>
                <w:numId w:val="29"/>
              </w:numPr>
              <w:ind w:left="1190" w:hanging="357"/>
              <w:rPr>
                <w:sz w:val="22"/>
                <w:szCs w:val="22"/>
              </w:rPr>
            </w:pPr>
            <w:r>
              <w:rPr>
                <w:sz w:val="22"/>
                <w:szCs w:val="22"/>
              </w:rPr>
              <w:t>Deutlicher Rückgang bei 35-59-Jährigen, Anstieg bei 15-34-Jährigen auf sehr geringem Niveau.</w:t>
            </w:r>
          </w:p>
          <w:p>
            <w:pPr>
              <w:pStyle w:val="Listenabsatz"/>
              <w:numPr>
                <w:ilvl w:val="1"/>
                <w:numId w:val="29"/>
              </w:numPr>
              <w:ind w:left="828" w:hanging="357"/>
              <w:rPr>
                <w:sz w:val="22"/>
                <w:szCs w:val="22"/>
                <w:lang w:val="en-US"/>
              </w:rPr>
            </w:pPr>
            <w:r>
              <w:rPr>
                <w:sz w:val="22"/>
                <w:szCs w:val="22"/>
                <w:lang w:val="en-US"/>
              </w:rPr>
              <w:t>ICOSARI-KH-Surveillance – SARI-</w:t>
            </w:r>
            <w:proofErr w:type="spellStart"/>
            <w:r>
              <w:rPr>
                <w:sz w:val="22"/>
                <w:szCs w:val="22"/>
                <w:lang w:val="en-US"/>
              </w:rPr>
              <w:t>Fälle</w:t>
            </w:r>
            <w:proofErr w:type="spellEnd"/>
          </w:p>
          <w:p>
            <w:pPr>
              <w:pStyle w:val="Listenabsatz"/>
              <w:numPr>
                <w:ilvl w:val="2"/>
                <w:numId w:val="29"/>
              </w:numPr>
              <w:ind w:left="1190" w:hanging="357"/>
              <w:rPr>
                <w:sz w:val="22"/>
                <w:szCs w:val="22"/>
              </w:rPr>
            </w:pPr>
            <w:r>
              <w:rPr>
                <w:sz w:val="22"/>
                <w:szCs w:val="22"/>
              </w:rPr>
              <w:t>Bleibt bei Kindern in etwa gleich.</w:t>
            </w:r>
          </w:p>
          <w:p>
            <w:pPr>
              <w:pStyle w:val="Listenabsatz"/>
              <w:numPr>
                <w:ilvl w:val="2"/>
                <w:numId w:val="29"/>
              </w:numPr>
              <w:ind w:left="1190" w:hanging="357"/>
              <w:rPr>
                <w:sz w:val="22"/>
                <w:szCs w:val="22"/>
              </w:rPr>
            </w:pPr>
            <w:r>
              <w:rPr>
                <w:sz w:val="22"/>
                <w:szCs w:val="22"/>
              </w:rPr>
              <w:t xml:space="preserve">Bei 15-34-Jährigen Anstieg, bei 35-59-Jährigen Rückgang. </w:t>
            </w:r>
          </w:p>
          <w:p>
            <w:pPr>
              <w:pStyle w:val="Listenabsatz"/>
              <w:numPr>
                <w:ilvl w:val="2"/>
                <w:numId w:val="29"/>
              </w:numPr>
              <w:ind w:left="1190" w:hanging="357"/>
              <w:rPr>
                <w:sz w:val="22"/>
                <w:szCs w:val="22"/>
              </w:rPr>
            </w:pPr>
            <w:r>
              <w:rPr>
                <w:sz w:val="22"/>
                <w:szCs w:val="22"/>
              </w:rPr>
              <w:t>Bei 80+ Jährigen leichter Anstieg.</w:t>
            </w:r>
          </w:p>
          <w:p>
            <w:pPr>
              <w:pStyle w:val="Listenabsatz"/>
              <w:numPr>
                <w:ilvl w:val="1"/>
                <w:numId w:val="29"/>
              </w:numPr>
              <w:ind w:left="828" w:hanging="357"/>
              <w:rPr>
                <w:sz w:val="22"/>
                <w:szCs w:val="22"/>
                <w:lang w:val="en-US"/>
              </w:rPr>
            </w:pPr>
            <w:proofErr w:type="spellStart"/>
            <w:r>
              <w:rPr>
                <w:sz w:val="22"/>
                <w:szCs w:val="22"/>
                <w:lang w:val="en-US"/>
              </w:rPr>
              <w:t>Hospitalisierungsinzidenz</w:t>
            </w:r>
            <w:proofErr w:type="spellEnd"/>
            <w:r>
              <w:rPr>
                <w:sz w:val="22"/>
                <w:szCs w:val="22"/>
                <w:lang w:val="en-US"/>
              </w:rPr>
              <w:t xml:space="preserve"> COVID-SARI</w:t>
            </w:r>
          </w:p>
          <w:p>
            <w:pPr>
              <w:pStyle w:val="Listenabsatz"/>
              <w:numPr>
                <w:ilvl w:val="2"/>
                <w:numId w:val="29"/>
              </w:numPr>
              <w:ind w:left="1190" w:hanging="357"/>
              <w:rPr>
                <w:sz w:val="22"/>
                <w:szCs w:val="22"/>
              </w:rPr>
            </w:pPr>
            <w:r>
              <w:rPr>
                <w:sz w:val="22"/>
                <w:szCs w:val="22"/>
              </w:rPr>
              <w:t xml:space="preserve">Vergleich mit Meldedaten: insgesamt Seitwärtstrend, der sich leicht erhöht </w:t>
            </w:r>
          </w:p>
          <w:p>
            <w:pPr>
              <w:pStyle w:val="Listenabsatz"/>
              <w:numPr>
                <w:ilvl w:val="2"/>
                <w:numId w:val="29"/>
              </w:numPr>
              <w:ind w:left="1190" w:hanging="357"/>
              <w:rPr>
                <w:sz w:val="22"/>
                <w:szCs w:val="22"/>
              </w:rPr>
            </w:pPr>
            <w:r>
              <w:rPr>
                <w:sz w:val="22"/>
                <w:szCs w:val="22"/>
              </w:rPr>
              <w:t>Leichter Anstieg bei 0-4-Jährigen, aber deutlich geringere Inzidenzen als in Meldezahlen. Unterschied verringert sich bei älteren AG, über dem Niveau der 3. Welle aber unter Niveau der 2. und 4 Welle.</w:t>
            </w:r>
          </w:p>
          <w:p>
            <w:pPr>
              <w:pStyle w:val="Listenabsatz"/>
              <w:numPr>
                <w:ilvl w:val="1"/>
                <w:numId w:val="29"/>
              </w:numPr>
              <w:ind w:left="828" w:hanging="357"/>
              <w:rPr>
                <w:sz w:val="22"/>
                <w:szCs w:val="22"/>
              </w:rPr>
            </w:pPr>
            <w:r>
              <w:rPr>
                <w:sz w:val="22"/>
                <w:szCs w:val="22"/>
              </w:rPr>
              <w:t>Intensivbehandlung: SARI-Fälle</w:t>
            </w:r>
          </w:p>
          <w:p>
            <w:pPr>
              <w:pStyle w:val="Listenabsatz"/>
              <w:numPr>
                <w:ilvl w:val="2"/>
                <w:numId w:val="29"/>
              </w:numPr>
              <w:ind w:left="1190" w:hanging="357"/>
              <w:rPr>
                <w:sz w:val="22"/>
                <w:szCs w:val="22"/>
              </w:rPr>
            </w:pPr>
            <w:r>
              <w:rPr>
                <w:sz w:val="22"/>
                <w:szCs w:val="22"/>
              </w:rPr>
              <w:t>Im Vergleich zu den vorpandemischen Zahlen keine außergewöhnlichen Zahlen zu verzeichnen, keine deutliche Ausprägung einer 5. Welle.</w:t>
            </w:r>
          </w:p>
          <w:p>
            <w:pPr>
              <w:pStyle w:val="Listenabsatz"/>
              <w:numPr>
                <w:ilvl w:val="1"/>
                <w:numId w:val="29"/>
              </w:numPr>
              <w:ind w:left="828" w:hanging="357"/>
              <w:rPr>
                <w:sz w:val="22"/>
                <w:szCs w:val="22"/>
              </w:rPr>
            </w:pPr>
            <w:r>
              <w:rPr>
                <w:sz w:val="22"/>
                <w:szCs w:val="22"/>
              </w:rPr>
              <w:t>Vgl. Winter 2020/21 und 2021/22</w:t>
            </w:r>
          </w:p>
          <w:p>
            <w:pPr>
              <w:pStyle w:val="Listenabsatz"/>
              <w:numPr>
                <w:ilvl w:val="2"/>
                <w:numId w:val="29"/>
              </w:numPr>
              <w:ind w:left="1190" w:hanging="357"/>
              <w:rPr>
                <w:sz w:val="22"/>
                <w:szCs w:val="22"/>
              </w:rPr>
            </w:pPr>
            <w:r>
              <w:rPr>
                <w:sz w:val="22"/>
                <w:szCs w:val="22"/>
              </w:rPr>
              <w:t>Relativ stabiles Niveau seit Jahreswechsel, in AG 80+ leichter Anstieg seit KW 2/2022</w:t>
            </w:r>
          </w:p>
          <w:p>
            <w:pPr>
              <w:pStyle w:val="Listenabsatz"/>
              <w:numPr>
                <w:ilvl w:val="1"/>
                <w:numId w:val="29"/>
              </w:numPr>
              <w:ind w:left="828" w:hanging="357"/>
              <w:rPr>
                <w:sz w:val="22"/>
                <w:szCs w:val="22"/>
              </w:rPr>
            </w:pPr>
            <w:r>
              <w:rPr>
                <w:sz w:val="22"/>
                <w:szCs w:val="22"/>
              </w:rPr>
              <w:t>Ausbrüche in Kindergärten/Horte</w:t>
            </w:r>
          </w:p>
          <w:p>
            <w:pPr>
              <w:pStyle w:val="Listenabsatz"/>
              <w:numPr>
                <w:ilvl w:val="2"/>
                <w:numId w:val="29"/>
              </w:numPr>
              <w:ind w:left="1190" w:hanging="357"/>
              <w:rPr>
                <w:sz w:val="22"/>
                <w:szCs w:val="22"/>
              </w:rPr>
            </w:pPr>
            <w:r>
              <w:rPr>
                <w:sz w:val="22"/>
                <w:szCs w:val="22"/>
              </w:rPr>
              <w:t>Rückgang der Ausbrüche flacht ab, weniger Kapazitäten bei GA, eher leichter Anstieg erwartet.</w:t>
            </w:r>
          </w:p>
          <w:p>
            <w:pPr>
              <w:pStyle w:val="Listenabsatz"/>
              <w:ind w:left="1190"/>
              <w:rPr>
                <w:sz w:val="22"/>
                <w:szCs w:val="22"/>
              </w:rPr>
            </w:pPr>
          </w:p>
          <w:p>
            <w:pPr>
              <w:pStyle w:val="Liste1"/>
            </w:pPr>
            <w:r>
              <w:rPr>
                <w:b/>
              </w:rPr>
              <w:t>Virologische Surveillance</w:t>
            </w:r>
            <w:r>
              <w:t xml:space="preserve">, NRZ Influenza-Daten </w:t>
            </w:r>
            <w:r>
              <w:rPr>
                <w:rStyle w:val="TagMiZchn"/>
              </w:rPr>
              <w:t xml:space="preserve">(nur mittwochs) </w:t>
            </w:r>
          </w:p>
          <w:p>
            <w:pPr>
              <w:pStyle w:val="Listenabsatz"/>
              <w:numPr>
                <w:ilvl w:val="1"/>
                <w:numId w:val="29"/>
              </w:numPr>
              <w:ind w:left="828" w:hanging="357"/>
              <w:rPr>
                <w:sz w:val="22"/>
                <w:szCs w:val="22"/>
              </w:rPr>
            </w:pPr>
            <w:r>
              <w:rPr>
                <w:sz w:val="22"/>
                <w:szCs w:val="22"/>
              </w:rPr>
              <w:t>131 Proben aus 45 Arztpraxen aus 14 BL</w:t>
            </w:r>
          </w:p>
          <w:p>
            <w:pPr>
              <w:pStyle w:val="Listenabsatz"/>
              <w:numPr>
                <w:ilvl w:val="1"/>
                <w:numId w:val="29"/>
              </w:numPr>
              <w:ind w:left="828" w:hanging="357"/>
              <w:rPr>
                <w:sz w:val="22"/>
                <w:szCs w:val="22"/>
              </w:rPr>
            </w:pPr>
            <w:proofErr w:type="spellStart"/>
            <w:r>
              <w:rPr>
                <w:sz w:val="22"/>
                <w:szCs w:val="22"/>
              </w:rPr>
              <w:t>Positivenanteil</w:t>
            </w:r>
            <w:proofErr w:type="spellEnd"/>
            <w:r>
              <w:rPr>
                <w:sz w:val="22"/>
                <w:szCs w:val="22"/>
              </w:rPr>
              <w:t>: 24%, leichter Anstieg gegenüber Vorwoche, jedoch nicht so hoch wie in KW6</w:t>
            </w:r>
          </w:p>
          <w:p>
            <w:pPr>
              <w:pStyle w:val="Listenabsatz"/>
              <w:numPr>
                <w:ilvl w:val="1"/>
                <w:numId w:val="29"/>
              </w:numPr>
              <w:ind w:left="828" w:hanging="357"/>
              <w:rPr>
                <w:sz w:val="22"/>
                <w:szCs w:val="22"/>
              </w:rPr>
            </w:pPr>
            <w:proofErr w:type="spellStart"/>
            <w:r>
              <w:rPr>
                <w:sz w:val="22"/>
                <w:szCs w:val="22"/>
              </w:rPr>
              <w:lastRenderedPageBreak/>
              <w:t>Positivenanteil</w:t>
            </w:r>
            <w:proofErr w:type="spellEnd"/>
            <w:r>
              <w:rPr>
                <w:sz w:val="22"/>
                <w:szCs w:val="22"/>
              </w:rPr>
              <w:t xml:space="preserve"> bei 0-4Jährige am geringste und bei 60+ Jährige am höchsten.</w:t>
            </w:r>
          </w:p>
          <w:p>
            <w:pPr>
              <w:pStyle w:val="Listenabsatz"/>
              <w:numPr>
                <w:ilvl w:val="1"/>
                <w:numId w:val="29"/>
              </w:numPr>
              <w:ind w:left="828" w:hanging="357"/>
              <w:rPr>
                <w:sz w:val="22"/>
                <w:szCs w:val="22"/>
              </w:rPr>
            </w:pPr>
            <w:r>
              <w:rPr>
                <w:sz w:val="22"/>
                <w:szCs w:val="22"/>
              </w:rPr>
              <w:t>Omikron: seit 3 Wochen stabil nur Omikron</w:t>
            </w:r>
          </w:p>
          <w:p>
            <w:pPr>
              <w:pStyle w:val="Listenabsatz"/>
              <w:numPr>
                <w:ilvl w:val="2"/>
                <w:numId w:val="29"/>
              </w:numPr>
              <w:ind w:left="1190" w:hanging="357"/>
              <w:rPr>
                <w:sz w:val="22"/>
                <w:szCs w:val="22"/>
              </w:rPr>
            </w:pPr>
            <w:r>
              <w:rPr>
                <w:sz w:val="22"/>
                <w:szCs w:val="22"/>
              </w:rPr>
              <w:t>Kein steiler Anstieg von BA.2 im Sentinel.</w:t>
            </w:r>
          </w:p>
          <w:p>
            <w:pPr>
              <w:pStyle w:val="Listenabsatz"/>
              <w:numPr>
                <w:ilvl w:val="1"/>
                <w:numId w:val="29"/>
              </w:numPr>
              <w:ind w:left="828" w:hanging="357"/>
              <w:rPr>
                <w:sz w:val="22"/>
                <w:szCs w:val="22"/>
              </w:rPr>
            </w:pPr>
            <w:r>
              <w:rPr>
                <w:sz w:val="22"/>
                <w:szCs w:val="22"/>
              </w:rPr>
              <w:t>Influenza: 4 Nachweise (3%)</w:t>
            </w:r>
          </w:p>
          <w:p>
            <w:pPr>
              <w:pStyle w:val="Listenabsatz"/>
              <w:numPr>
                <w:ilvl w:val="2"/>
                <w:numId w:val="29"/>
              </w:numPr>
              <w:ind w:left="1190" w:hanging="357"/>
              <w:rPr>
                <w:sz w:val="22"/>
                <w:szCs w:val="22"/>
              </w:rPr>
            </w:pPr>
            <w:r>
              <w:rPr>
                <w:sz w:val="22"/>
                <w:szCs w:val="22"/>
              </w:rPr>
              <w:t>Verschiebung in höhere AG, geringe Influenzavirus</w:t>
            </w:r>
            <w:r>
              <w:rPr>
                <w:sz w:val="22"/>
                <w:szCs w:val="22"/>
              </w:rPr>
              <w:softHyphen/>
              <w:t>aktivität</w:t>
            </w:r>
          </w:p>
          <w:p>
            <w:pPr>
              <w:pStyle w:val="Listenabsatz"/>
              <w:numPr>
                <w:ilvl w:val="1"/>
                <w:numId w:val="29"/>
              </w:numPr>
              <w:ind w:left="828" w:hanging="357"/>
              <w:rPr>
                <w:sz w:val="22"/>
                <w:szCs w:val="22"/>
              </w:rPr>
            </w:pPr>
            <w:r>
              <w:rPr>
                <w:sz w:val="22"/>
                <w:szCs w:val="22"/>
              </w:rPr>
              <w:t>Coronaviren: SARS-CoV-2 am stärksten vertreten.</w:t>
            </w:r>
          </w:p>
          <w:p>
            <w:pPr>
              <w:pStyle w:val="Listenabsatz"/>
              <w:numPr>
                <w:ilvl w:val="1"/>
                <w:numId w:val="29"/>
              </w:numPr>
              <w:ind w:left="828" w:hanging="357"/>
              <w:rPr>
                <w:sz w:val="22"/>
                <w:szCs w:val="22"/>
              </w:rPr>
            </w:pPr>
            <w:r>
              <w:rPr>
                <w:sz w:val="22"/>
                <w:szCs w:val="22"/>
              </w:rPr>
              <w:t xml:space="preserve">Sonstige Atemwegsviren: </w:t>
            </w:r>
          </w:p>
          <w:p>
            <w:pPr>
              <w:pStyle w:val="Listenabsatz"/>
              <w:numPr>
                <w:ilvl w:val="2"/>
                <w:numId w:val="29"/>
              </w:numPr>
              <w:ind w:left="1190" w:hanging="357"/>
              <w:rPr>
                <w:sz w:val="22"/>
                <w:szCs w:val="22"/>
              </w:rPr>
            </w:pPr>
            <w:r>
              <w:rPr>
                <w:sz w:val="22"/>
                <w:szCs w:val="22"/>
              </w:rPr>
              <w:t>Rhino- und humane Metapneumoviren auf gleichem Niveau</w:t>
            </w:r>
          </w:p>
          <w:p>
            <w:pPr>
              <w:pStyle w:val="Listenabsatz"/>
              <w:ind w:left="1190"/>
              <w:rPr>
                <w:sz w:val="22"/>
                <w:szCs w:val="22"/>
              </w:rPr>
            </w:pPr>
          </w:p>
          <w:p>
            <w:pPr>
              <w:pStyle w:val="Liste1"/>
            </w:pPr>
            <w:r>
              <w:t xml:space="preserve">Modellierung </w:t>
            </w:r>
            <w:r>
              <w:rPr>
                <w:b/>
                <w:i/>
                <w:color w:val="8DB3E2" w:themeColor="text2" w:themeTint="66"/>
              </w:rPr>
              <w:t xml:space="preserve">(nur montags) </w:t>
            </w:r>
          </w:p>
          <w:p>
            <w:pPr>
              <w:pStyle w:val="Liste1"/>
              <w:numPr>
                <w:ilvl w:val="0"/>
                <w:numId w:val="0"/>
              </w:numPr>
              <w:ind w:left="473"/>
            </w:pPr>
          </w:p>
          <w:p>
            <w:pPr>
              <w:pStyle w:val="Liste1"/>
            </w:pPr>
            <w:r>
              <w:t xml:space="preserve">Monatsübersicht über gesamten Pandemieverlauf, wie von ARS-Daten, ist sinnvoll. Tourismus kommt wieder in Gang, Selbstverantwortung der 60+ Jährigen muss gestärkt werden. Gibt es Umfragen, wie sich der Umgang mit Corona verändert? </w:t>
            </w:r>
          </w:p>
          <w:p>
            <w:pPr>
              <w:pStyle w:val="Listenabsatz"/>
              <w:numPr>
                <w:ilvl w:val="1"/>
                <w:numId w:val="29"/>
              </w:numPr>
              <w:ind w:left="828" w:hanging="357"/>
              <w:rPr>
                <w:sz w:val="22"/>
                <w:szCs w:val="22"/>
              </w:rPr>
            </w:pPr>
            <w:r>
              <w:rPr>
                <w:sz w:val="22"/>
                <w:szCs w:val="22"/>
              </w:rPr>
              <w:t>COSMO, BfR monitoren Fragen dazu.</w:t>
            </w:r>
          </w:p>
          <w:p>
            <w:pPr>
              <w:pStyle w:val="Listenabsatz"/>
              <w:numPr>
                <w:ilvl w:val="1"/>
                <w:numId w:val="29"/>
              </w:numPr>
              <w:ind w:left="828" w:hanging="357"/>
              <w:rPr>
                <w:sz w:val="22"/>
                <w:szCs w:val="22"/>
              </w:rPr>
            </w:pPr>
            <w:r>
              <w:rPr>
                <w:sz w:val="22"/>
                <w:szCs w:val="22"/>
              </w:rPr>
              <w:t>Neue Zahlen aus dem Expertenrat: Risikowahrnehmung hat sich geändert. Geimpfte schätzen Risiko etwas höher als Nicht-Geimpfte ein. Risikoeinschätzung ist generell etwas geringer als zu Beginn.</w:t>
            </w:r>
          </w:p>
          <w:p>
            <w:pPr>
              <w:pStyle w:val="Liste1"/>
            </w:pPr>
            <w:r>
              <w:t>Änderung der Farbskala bei Karte der übermittelten COVID-Fälle nach Kreis und BL</w:t>
            </w:r>
          </w:p>
          <w:p>
            <w:pPr>
              <w:pStyle w:val="Listenabsatz"/>
              <w:numPr>
                <w:ilvl w:val="1"/>
                <w:numId w:val="29"/>
              </w:numPr>
              <w:ind w:left="828" w:hanging="357"/>
              <w:rPr>
                <w:sz w:val="22"/>
                <w:szCs w:val="22"/>
              </w:rPr>
            </w:pPr>
            <w:r>
              <w:rPr>
                <w:sz w:val="22"/>
                <w:szCs w:val="22"/>
              </w:rPr>
              <w:t xml:space="preserve">Besser weitere Farbe einführen, als Farben verändern. </w:t>
            </w:r>
          </w:p>
          <w:p>
            <w:pPr>
              <w:pStyle w:val="Listenabsatz"/>
              <w:numPr>
                <w:ilvl w:val="1"/>
                <w:numId w:val="29"/>
              </w:numPr>
              <w:ind w:left="828" w:hanging="357"/>
              <w:rPr>
                <w:sz w:val="22"/>
                <w:szCs w:val="22"/>
              </w:rPr>
            </w:pPr>
            <w:r>
              <w:rPr>
                <w:sz w:val="22"/>
                <w:szCs w:val="22"/>
              </w:rPr>
              <w:t xml:space="preserve">Grundsätzlich soll umgestellt werden, auf welche Farbkombination wird noch entschieden. Änderung nächste Woche. </w:t>
            </w:r>
          </w:p>
          <w:p>
            <w:pPr>
              <w:pStyle w:val="Listenabsatz"/>
              <w:ind w:left="1190"/>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AL3 (</w:t>
            </w:r>
            <w:r>
              <w:rPr>
                <w:sz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MF1</w:t>
            </w:r>
          </w:p>
          <w:p>
            <w:pPr>
              <w:rPr>
                <w:sz w:val="22"/>
                <w:szCs w:val="22"/>
              </w:rPr>
            </w:pPr>
            <w:r>
              <w:rPr>
                <w:sz w:val="22"/>
                <w:szCs w:val="22"/>
              </w:rPr>
              <w:t>(Fuchs)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rStyle w:val="TagMiZchn"/>
                <w:bCs/>
              </w:rPr>
              <w:t>(nur mittwochs)</w:t>
            </w:r>
          </w:p>
          <w:p>
            <w:pPr>
              <w:pStyle w:val="Listenabsatz"/>
              <w:numPr>
                <w:ilvl w:val="0"/>
                <w:numId w:val="5"/>
              </w:numPr>
              <w:ind w:left="453" w:hanging="340"/>
              <w:rPr>
                <w:sz w:val="22"/>
                <w:szCs w:val="22"/>
              </w:rPr>
            </w:pPr>
            <w:r>
              <w:rPr>
                <w:sz w:val="22"/>
                <w:szCs w:val="22"/>
              </w:rPr>
              <w:t xml:space="preserve">Südkorea hat sich übers Auswärtige Amt mit RKI in Verbindung gesetzt. Austausch findet am 28.03. statt. Wer teilnehmen möchte, kann sich gerne bei Fr. Hanefeld oder Fr. Laske melden. </w:t>
            </w:r>
          </w:p>
          <w:p>
            <w:pPr>
              <w:pStyle w:val="Listenabsatz"/>
              <w:numPr>
                <w:ilvl w:val="0"/>
                <w:numId w:val="5"/>
              </w:numPr>
              <w:ind w:left="453" w:hanging="340"/>
              <w:rPr>
                <w:sz w:val="22"/>
                <w:szCs w:val="22"/>
              </w:rPr>
            </w:pPr>
            <w:r>
              <w:rPr>
                <w:sz w:val="22"/>
                <w:szCs w:val="22"/>
              </w:rPr>
              <w:t>Ein 1. Austausch zur ungleichen Verteilung von Impfstoffen musste abgesagt werden. Am 22.03. ab 16 Uhr findet nun ein informeller Austausch mit Experten im Patentrecht statt. Bei Interesse können Mitglieder des Krisenstabs teilnehmen.</w:t>
            </w:r>
          </w:p>
          <w:p>
            <w:pPr>
              <w:pStyle w:val="Listenabsatz"/>
              <w:numPr>
                <w:ilvl w:val="0"/>
                <w:numId w:val="5"/>
              </w:numPr>
              <w:ind w:left="453" w:hanging="340"/>
              <w:rPr>
                <w:sz w:val="22"/>
                <w:szCs w:val="22"/>
              </w:rPr>
            </w:pPr>
            <w:r>
              <w:rPr>
                <w:sz w:val="22"/>
                <w:szCs w:val="22"/>
              </w:rPr>
              <w:t xml:space="preserve">MA für </w:t>
            </w:r>
            <w:proofErr w:type="spellStart"/>
            <w:r>
              <w:rPr>
                <w:sz w:val="22"/>
                <w:szCs w:val="22"/>
              </w:rPr>
              <w:t>Seroprävalenzstudie</w:t>
            </w:r>
            <w:proofErr w:type="spellEnd"/>
            <w:r>
              <w:rPr>
                <w:sz w:val="22"/>
                <w:szCs w:val="22"/>
              </w:rPr>
              <w:t xml:space="preserve"> bei Health care </w:t>
            </w:r>
            <w:proofErr w:type="spellStart"/>
            <w:r>
              <w:rPr>
                <w:sz w:val="22"/>
                <w:szCs w:val="22"/>
              </w:rPr>
              <w:t>worker</w:t>
            </w:r>
            <w:proofErr w:type="spellEnd"/>
            <w:r>
              <w:rPr>
                <w:sz w:val="22"/>
                <w:szCs w:val="22"/>
              </w:rPr>
              <w:t xml:space="preserve"> nach Guinea und Nigeria aufgebrochen.</w:t>
            </w:r>
          </w:p>
          <w:p>
            <w:pPr>
              <w:pStyle w:val="Listenabsatz"/>
              <w:numPr>
                <w:ilvl w:val="0"/>
                <w:numId w:val="5"/>
              </w:numPr>
              <w:ind w:left="453" w:hanging="340"/>
              <w:rPr>
                <w:sz w:val="22"/>
                <w:szCs w:val="22"/>
                <w:lang w:val="en-US"/>
              </w:rPr>
            </w:pPr>
            <w:r>
              <w:rPr>
                <w:sz w:val="22"/>
                <w:szCs w:val="22"/>
                <w:lang w:val="en-US"/>
              </w:rPr>
              <w:t>Training in Cote d’Ivoire</w:t>
            </w:r>
          </w:p>
          <w:p>
            <w:pPr>
              <w:pStyle w:val="Listenabsatz"/>
              <w:numPr>
                <w:ilvl w:val="0"/>
                <w:numId w:val="5"/>
              </w:numPr>
              <w:ind w:left="453" w:hanging="340"/>
              <w:rPr>
                <w:sz w:val="22"/>
                <w:szCs w:val="22"/>
              </w:rPr>
            </w:pPr>
            <w:r>
              <w:rPr>
                <w:sz w:val="22"/>
                <w:szCs w:val="22"/>
              </w:rPr>
              <w:t>Aktivitäten im Iran sind letzte Woche zu Ende gegangen.</w:t>
            </w:r>
          </w:p>
          <w:p>
            <w:pPr>
              <w:rPr>
                <w:b/>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(Folien hier)</w:t>
            </w:r>
            <w:r>
              <w:rPr>
                <w:b/>
                <w:sz w:val="28"/>
              </w:rPr>
              <w:t xml:space="preserve"> </w:t>
            </w:r>
            <w:r>
              <w:rPr>
                <w:b/>
                <w:i/>
                <w:color w:val="8DB3E2" w:themeColor="text2" w:themeTint="66"/>
              </w:rPr>
              <w:t>(nur montags)</w:t>
            </w:r>
          </w:p>
          <w:p>
            <w:pPr>
              <w:pStyle w:val="Listenabsatz"/>
              <w:numPr>
                <w:ilvl w:val="0"/>
                <w:numId w:val="5"/>
              </w:numPr>
              <w:ind w:left="470" w:hanging="357"/>
              <w:rPr>
                <w:sz w:val="22"/>
                <w:szCs w:val="22"/>
              </w:rPr>
            </w:pPr>
            <w:r>
              <w:rPr>
                <w:sz w:val="22"/>
                <w:szCs w:val="22"/>
              </w:rPr>
              <w:t>(nicht berichtet)</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5</w:t>
            </w:r>
          </w:p>
        </w:tc>
        <w:tc>
          <w:tcPr>
            <w:tcW w:w="6795" w:type="dxa"/>
          </w:tcPr>
          <w:p>
            <w:pPr>
              <w:pStyle w:val="1"/>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lastRenderedPageBreak/>
              <w:t xml:space="preserve">Gestern wurde hauptsächlich die aktuelle Lage besprochen. Fr. Brinkmann hat sich in Anhörung zum Infektionsschutzgesetztes kritisch geäußert. </w:t>
            </w:r>
          </w:p>
          <w:p>
            <w:pPr>
              <w:pStyle w:val="Listenabsatz"/>
              <w:numPr>
                <w:ilvl w:val="0"/>
                <w:numId w:val="25"/>
              </w:numPr>
              <w:ind w:left="453" w:hanging="340"/>
              <w:rPr>
                <w:sz w:val="22"/>
                <w:szCs w:val="22"/>
              </w:rPr>
            </w:pPr>
            <w:r>
              <w:rPr>
                <w:sz w:val="22"/>
                <w:szCs w:val="22"/>
              </w:rPr>
              <w:t>Hr. Karagiannidis hat Auftrag ein Herbst-Winterpapier zu schreiben, soll in den nächsten 4 Wochen finalisiert werden.</w:t>
            </w:r>
          </w:p>
          <w:p>
            <w:pPr>
              <w:spacing w:line="276" w:lineRule="auto"/>
              <w:rPr>
                <w:b/>
                <w:sz w:val="28"/>
              </w:rPr>
            </w:pPr>
          </w:p>
        </w:tc>
        <w:tc>
          <w:tcPr>
            <w:tcW w:w="1492" w:type="dxa"/>
          </w:tcPr>
          <w:p>
            <w:pPr>
              <w:rPr>
                <w:sz w:val="22"/>
                <w:szCs w:val="22"/>
              </w:rPr>
            </w:pPr>
            <w:r>
              <w:rPr>
                <w:sz w:val="22"/>
                <w:szCs w:val="22"/>
              </w:rPr>
              <w:lastRenderedPageBreak/>
              <w:t>Wieler</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 berichtet)</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Änderungsvorschläge für FAQ wurden an Fachkollegen geschickt. </w:t>
            </w:r>
          </w:p>
          <w:p>
            <w:pPr>
              <w:pStyle w:val="Listenabsatz"/>
              <w:numPr>
                <w:ilvl w:val="1"/>
                <w:numId w:val="29"/>
              </w:numPr>
              <w:ind w:left="828" w:hanging="357"/>
              <w:rPr>
                <w:sz w:val="22"/>
                <w:szCs w:val="22"/>
              </w:rPr>
            </w:pPr>
            <w:r>
              <w:rPr>
                <w:sz w:val="22"/>
                <w:szCs w:val="22"/>
              </w:rPr>
              <w:t xml:space="preserve">Nach Rückmeldung werden FAQ zeitnah überarbeitet. </w:t>
            </w:r>
          </w:p>
          <w:p>
            <w:pPr>
              <w:pStyle w:val="Listenabsatz"/>
              <w:numPr>
                <w:ilvl w:val="1"/>
                <w:numId w:val="29"/>
              </w:numPr>
              <w:ind w:left="828" w:hanging="357"/>
              <w:rPr>
                <w:sz w:val="22"/>
                <w:szCs w:val="22"/>
              </w:rPr>
            </w:pPr>
            <w:r>
              <w:rPr>
                <w:sz w:val="22"/>
                <w:szCs w:val="22"/>
              </w:rPr>
              <w:t>Änderungen zum Kontaktpersonenmanagement können erst nächste Woche überarbeitet werden.</w:t>
            </w:r>
          </w:p>
          <w:p>
            <w:pPr>
              <w:pStyle w:val="Listenabsatz"/>
              <w:numPr>
                <w:ilvl w:val="0"/>
                <w:numId w:val="5"/>
              </w:numPr>
              <w:ind w:left="453" w:hanging="340"/>
              <w:rPr>
                <w:sz w:val="22"/>
                <w:szCs w:val="22"/>
              </w:rPr>
            </w:pPr>
            <w:r>
              <w:rPr>
                <w:sz w:val="22"/>
                <w:szCs w:val="22"/>
              </w:rPr>
              <w:t>Bitte um Vorschläge für die Botschaft morgen</w:t>
            </w:r>
          </w:p>
          <w:p>
            <w:pPr>
              <w:pStyle w:val="Listenabsatz"/>
              <w:numPr>
                <w:ilvl w:val="1"/>
                <w:numId w:val="29"/>
              </w:numPr>
              <w:ind w:left="828" w:hanging="357"/>
              <w:rPr>
                <w:sz w:val="22"/>
                <w:szCs w:val="22"/>
              </w:rPr>
            </w:pPr>
            <w:r>
              <w:rPr>
                <w:sz w:val="22"/>
                <w:szCs w:val="22"/>
              </w:rPr>
              <w:t>Eigenverantwortung der Menschen, 4. Impfdosis für ältere Menschen</w:t>
            </w:r>
          </w:p>
          <w:p>
            <w:pPr>
              <w:pStyle w:val="Listenabsatz"/>
              <w:numPr>
                <w:ilvl w:val="1"/>
                <w:numId w:val="29"/>
              </w:numPr>
              <w:ind w:left="828" w:hanging="357"/>
              <w:rPr>
                <w:sz w:val="22"/>
                <w:szCs w:val="22"/>
              </w:rPr>
            </w:pPr>
            <w:r>
              <w:rPr>
                <w:sz w:val="22"/>
                <w:szCs w:val="22"/>
              </w:rPr>
              <w:t>BfR-Monitor (</w:t>
            </w:r>
            <w:hyperlink r:id="rId17" w:history="1">
              <w:r>
                <w:rPr>
                  <w:rStyle w:val="Hyperlink"/>
                  <w:sz w:val="22"/>
                  <w:szCs w:val="22"/>
                </w:rPr>
                <w:t>hier</w:t>
              </w:r>
            </w:hyperlink>
            <w:r>
              <w:rPr>
                <w:sz w:val="22"/>
                <w:szCs w:val="22"/>
              </w:rPr>
              <w:t xml:space="preserve">): Risiko der Ansteckung wird am höchsten in Schulen &amp; Kitas und im öffentlichen Nahverkehr bewertet und am geringsten zuhause. Ansteckungen finden jedoch weniger in öffentlichen Verkehrsmitteln, sondern eher bei privaten Gesprächen statt. </w:t>
            </w:r>
          </w:p>
          <w:p>
            <w:pPr>
              <w:pStyle w:val="Listenabsatz"/>
              <w:numPr>
                <w:ilvl w:val="1"/>
                <w:numId w:val="29"/>
              </w:numPr>
              <w:ind w:left="828" w:hanging="357"/>
              <w:rPr>
                <w:sz w:val="22"/>
                <w:szCs w:val="22"/>
              </w:rPr>
            </w:pPr>
            <w:r>
              <w:rPr>
                <w:sz w:val="22"/>
                <w:szCs w:val="22"/>
              </w:rPr>
              <w:t xml:space="preserve">Botschaft, dass es zuhause am gefährlichsten ist, ist schwierig. </w:t>
            </w:r>
          </w:p>
          <w:p>
            <w:pPr>
              <w:pStyle w:val="Listenabsatz"/>
              <w:numPr>
                <w:ilvl w:val="1"/>
                <w:numId w:val="29"/>
              </w:numPr>
              <w:ind w:left="828" w:hanging="357"/>
              <w:rPr>
                <w:sz w:val="22"/>
                <w:szCs w:val="22"/>
              </w:rPr>
            </w:pPr>
            <w:r>
              <w:rPr>
                <w:sz w:val="22"/>
                <w:szCs w:val="22"/>
              </w:rPr>
              <w:t xml:space="preserve">Bei Hinweis auf Übertragung durch Asymptomatische sollte betont werden, dass bei leichter Symptomatik erst recht Übertragungsgefahr besteht. Auch bei leichter Symptomatik soll Kontakt zu vulnerablen Gruppen vermieden werden. </w:t>
            </w:r>
          </w:p>
          <w:p>
            <w:pPr>
              <w:pStyle w:val="Listenabsatz"/>
              <w:numPr>
                <w:ilvl w:val="1"/>
                <w:numId w:val="29"/>
              </w:numPr>
              <w:ind w:left="828" w:hanging="357"/>
              <w:rPr>
                <w:sz w:val="22"/>
                <w:szCs w:val="22"/>
              </w:rPr>
            </w:pPr>
            <w:r>
              <w:rPr>
                <w:sz w:val="22"/>
                <w:szCs w:val="22"/>
              </w:rPr>
              <w:t>Bei Symptomen zuhause bleiben, auch bei negativem Schnelltest.</w:t>
            </w:r>
          </w:p>
          <w:p>
            <w:pPr>
              <w:pStyle w:val="Listenabsatz"/>
              <w:numPr>
                <w:ilvl w:val="1"/>
                <w:numId w:val="29"/>
              </w:numPr>
              <w:ind w:left="828" w:hanging="357"/>
              <w:rPr>
                <w:sz w:val="22"/>
                <w:szCs w:val="22"/>
              </w:rPr>
            </w:pPr>
            <w:r>
              <w:rPr>
                <w:sz w:val="22"/>
                <w:szCs w:val="22"/>
              </w:rPr>
              <w:t xml:space="preserve">In Altenheimen reicht ein Schnelltest für symptomatische Personen nicht aus, müssen mit PCR-Test getestet werden.  In Empfehlungen für Alten- und Pflegeheime ist das enthalten. </w:t>
            </w:r>
          </w:p>
          <w:p>
            <w:pPr>
              <w:spacing w:before="120"/>
              <w:rPr>
                <w:b/>
                <w:sz w:val="22"/>
                <w:szCs w:val="22"/>
              </w:rPr>
            </w:pPr>
            <w:r>
              <w:rPr>
                <w:b/>
                <w:sz w:val="22"/>
                <w:szCs w:val="22"/>
              </w:rPr>
              <w:t>Risikokommunikation</w:t>
            </w:r>
          </w:p>
          <w:p>
            <w:pPr>
              <w:pStyle w:val="Listenabsatz"/>
              <w:numPr>
                <w:ilvl w:val="0"/>
                <w:numId w:val="5"/>
              </w:numPr>
              <w:ind w:left="453" w:hanging="340"/>
              <w:rPr>
                <w:sz w:val="22"/>
                <w:szCs w:val="22"/>
              </w:rPr>
            </w:pPr>
            <w:r>
              <w:rPr>
                <w:sz w:val="22"/>
                <w:szCs w:val="22"/>
              </w:rPr>
              <w:t>Flyer – Verhaltenstipps für das Frühjahr (</w:t>
            </w:r>
            <w:hyperlink r:id="rId18" w:history="1">
              <w:r>
                <w:rPr>
                  <w:rStyle w:val="Hyperlink"/>
                  <w:sz w:val="22"/>
                  <w:szCs w:val="22"/>
                </w:rPr>
                <w:t>hier</w:t>
              </w:r>
            </w:hyperlink>
            <w:r>
              <w:rPr>
                <w:sz w:val="22"/>
                <w:szCs w:val="22"/>
              </w:rPr>
              <w:t>)</w:t>
            </w:r>
          </w:p>
          <w:p>
            <w:pPr>
              <w:pStyle w:val="Listenabsatz"/>
              <w:numPr>
                <w:ilvl w:val="1"/>
                <w:numId w:val="5"/>
              </w:numPr>
              <w:ind w:left="828" w:hanging="357"/>
              <w:rPr>
                <w:sz w:val="22"/>
                <w:szCs w:val="22"/>
              </w:rPr>
            </w:pPr>
            <w:r>
              <w:rPr>
                <w:sz w:val="22"/>
                <w:szCs w:val="22"/>
              </w:rPr>
              <w:t>Entwurf wurde gestern zirkuliert. Bitte um Ergänzungen und Anmerkungen.</w:t>
            </w:r>
          </w:p>
          <w:p>
            <w:pPr>
              <w:pStyle w:val="Listenabsatz"/>
              <w:numPr>
                <w:ilvl w:val="1"/>
                <w:numId w:val="5"/>
              </w:numPr>
              <w:ind w:left="828" w:hanging="357"/>
              <w:rPr>
                <w:sz w:val="22"/>
                <w:szCs w:val="22"/>
              </w:rPr>
            </w:pPr>
            <w:r>
              <w:rPr>
                <w:sz w:val="22"/>
                <w:szCs w:val="22"/>
              </w:rPr>
              <w:t>3) Kontakt zu Risikogruppen</w:t>
            </w:r>
          </w:p>
          <w:p>
            <w:pPr>
              <w:pStyle w:val="Listenabsatz"/>
              <w:numPr>
                <w:ilvl w:val="2"/>
                <w:numId w:val="29"/>
              </w:numPr>
              <w:ind w:left="1190" w:hanging="357"/>
              <w:rPr>
                <w:sz w:val="22"/>
                <w:szCs w:val="22"/>
              </w:rPr>
            </w:pPr>
            <w:r>
              <w:rPr>
                <w:sz w:val="22"/>
                <w:szCs w:val="22"/>
              </w:rPr>
              <w:t xml:space="preserve">Deutlich machen, dass man mit einfachen Prinzipien andere schützen kann: Mit negativem Test, „Symptomfrei“ wird ergänzt. </w:t>
            </w:r>
          </w:p>
          <w:p>
            <w:pPr>
              <w:pStyle w:val="Listenabsatz"/>
              <w:numPr>
                <w:ilvl w:val="1"/>
                <w:numId w:val="5"/>
              </w:numPr>
              <w:ind w:left="828" w:hanging="357"/>
              <w:rPr>
                <w:sz w:val="22"/>
                <w:szCs w:val="22"/>
              </w:rPr>
            </w:pPr>
            <w:r>
              <w:rPr>
                <w:sz w:val="22"/>
                <w:szCs w:val="22"/>
              </w:rPr>
              <w:t xml:space="preserve">6) Symptomatische sollen auch bei leichten Symptomen zuhause bleiben. </w:t>
            </w:r>
          </w:p>
          <w:p>
            <w:pPr>
              <w:pStyle w:val="Listenabsatz"/>
              <w:numPr>
                <w:ilvl w:val="2"/>
                <w:numId w:val="29"/>
              </w:numPr>
              <w:ind w:left="1190" w:hanging="357"/>
              <w:rPr>
                <w:sz w:val="22"/>
                <w:szCs w:val="22"/>
              </w:rPr>
            </w:pPr>
            <w:r>
              <w:rPr>
                <w:sz w:val="22"/>
                <w:szCs w:val="22"/>
              </w:rPr>
              <w:t xml:space="preserve">Dieser Punkt soll weiter nach vorne, egal ob geimpft oder genesen. </w:t>
            </w:r>
          </w:p>
          <w:p>
            <w:pPr>
              <w:pStyle w:val="Listenabsatz"/>
              <w:numPr>
                <w:ilvl w:val="2"/>
                <w:numId w:val="29"/>
              </w:numPr>
              <w:ind w:left="1190" w:hanging="357"/>
              <w:rPr>
                <w:sz w:val="22"/>
                <w:szCs w:val="22"/>
              </w:rPr>
            </w:pPr>
            <w:r>
              <w:rPr>
                <w:sz w:val="22"/>
                <w:szCs w:val="22"/>
              </w:rPr>
              <w:t xml:space="preserve">Abstand und bei Symptomen zuhause bleiben, schützt auch vor Influenza. </w:t>
            </w: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Rückle</w:t>
            </w:r>
            <w:proofErr w:type="spellEnd"/>
            <w:r>
              <w:rPr>
                <w:sz w:val="22"/>
                <w:szCs w:val="22"/>
              </w:rPr>
              <w:t>)</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Das neue IfSG - Übersicht über wesentliche Änderungen (</w:t>
            </w:r>
            <w:hyperlink r:id="rId19" w:history="1">
              <w:r>
                <w:rPr>
                  <w:rStyle w:val="Hyperlink"/>
                  <w:sz w:val="22"/>
                  <w:szCs w:val="22"/>
                </w:rPr>
                <w:t>hier</w:t>
              </w:r>
            </w:hyperlink>
            <w:r>
              <w:rPr>
                <w:sz w:val="22"/>
                <w:szCs w:val="22"/>
              </w:rPr>
              <w:t>)</w:t>
            </w:r>
          </w:p>
          <w:p>
            <w:pPr>
              <w:pStyle w:val="Listenabsatz"/>
              <w:numPr>
                <w:ilvl w:val="1"/>
                <w:numId w:val="5"/>
              </w:numPr>
              <w:ind w:left="828" w:hanging="357"/>
              <w:rPr>
                <w:sz w:val="22"/>
                <w:szCs w:val="22"/>
              </w:rPr>
            </w:pPr>
            <w:r>
              <w:rPr>
                <w:sz w:val="22"/>
                <w:szCs w:val="22"/>
              </w:rPr>
              <w:t xml:space="preserve">Einrichtungsbezogenes </w:t>
            </w:r>
            <w:proofErr w:type="spellStart"/>
            <w:r>
              <w:rPr>
                <w:sz w:val="22"/>
                <w:szCs w:val="22"/>
              </w:rPr>
              <w:t>Impfquotenmonitoring</w:t>
            </w:r>
            <w:proofErr w:type="spellEnd"/>
            <w:r>
              <w:rPr>
                <w:sz w:val="22"/>
                <w:szCs w:val="22"/>
              </w:rPr>
              <w:t xml:space="preserve"> -&gt; neue Aufgabe für RKI </w:t>
            </w:r>
          </w:p>
          <w:p>
            <w:pPr>
              <w:pStyle w:val="Listenabsatz"/>
              <w:numPr>
                <w:ilvl w:val="2"/>
                <w:numId w:val="29"/>
              </w:numPr>
              <w:ind w:left="1190" w:hanging="357"/>
              <w:rPr>
                <w:sz w:val="22"/>
                <w:szCs w:val="22"/>
              </w:rPr>
            </w:pPr>
            <w:r>
              <w:rPr>
                <w:sz w:val="22"/>
                <w:szCs w:val="22"/>
              </w:rPr>
              <w:t>Verpflichtung für RKI Daten zusammenzuführen und an Länder zu übermitteln. Bedenken zu fehlenden Personalmitteln und technischer Infrastruktur wurden geäußert.</w:t>
            </w:r>
          </w:p>
          <w:p>
            <w:pPr>
              <w:pStyle w:val="Listenabsatz"/>
              <w:numPr>
                <w:ilvl w:val="1"/>
                <w:numId w:val="5"/>
              </w:numPr>
              <w:ind w:left="828" w:hanging="357"/>
              <w:rPr>
                <w:sz w:val="22"/>
                <w:szCs w:val="22"/>
              </w:rPr>
            </w:pPr>
            <w:r>
              <w:rPr>
                <w:sz w:val="22"/>
                <w:szCs w:val="22"/>
              </w:rPr>
              <w:t>Impf-, Genesenen-, Testnachweise: Definitionen werden direkt ins IfSG aufgenommen.</w:t>
            </w:r>
          </w:p>
          <w:p>
            <w:pPr>
              <w:pStyle w:val="Listenabsatz"/>
              <w:numPr>
                <w:ilvl w:val="2"/>
                <w:numId w:val="29"/>
              </w:numPr>
              <w:ind w:left="1190" w:hanging="357"/>
              <w:rPr>
                <w:sz w:val="22"/>
                <w:szCs w:val="22"/>
              </w:rPr>
            </w:pPr>
            <w:r>
              <w:rPr>
                <w:sz w:val="22"/>
                <w:szCs w:val="22"/>
              </w:rPr>
              <w:t>Bisher PCR erforderlich, künftig genügt jeder direkte Erregernachweis, auf Datum der Testung abgestellt.</w:t>
            </w:r>
          </w:p>
          <w:p>
            <w:pPr>
              <w:pStyle w:val="Listenabsatz"/>
              <w:numPr>
                <w:ilvl w:val="2"/>
                <w:numId w:val="29"/>
              </w:numPr>
              <w:ind w:left="1190" w:hanging="357"/>
              <w:rPr>
                <w:sz w:val="22"/>
                <w:szCs w:val="22"/>
              </w:rPr>
            </w:pPr>
            <w:r>
              <w:rPr>
                <w:sz w:val="22"/>
                <w:szCs w:val="22"/>
              </w:rPr>
              <w:t xml:space="preserve">Impfnachweis: nach Anzahl der Impfung unterschieden, bis 30.09.2022 und ab 01.10.2022 </w:t>
            </w:r>
          </w:p>
          <w:p>
            <w:pPr>
              <w:pStyle w:val="Listenabsatz"/>
              <w:numPr>
                <w:ilvl w:val="2"/>
                <w:numId w:val="29"/>
              </w:numPr>
              <w:ind w:left="1190" w:hanging="357"/>
              <w:rPr>
                <w:sz w:val="22"/>
                <w:szCs w:val="22"/>
              </w:rPr>
            </w:pPr>
            <w:r>
              <w:rPr>
                <w:sz w:val="22"/>
                <w:szCs w:val="22"/>
              </w:rPr>
              <w:t>Demnächst rechtliche Möglichkeit unrichtig ausgestellte digitale Zertifikate zu sperren. RKI muss Sperr</w:t>
            </w:r>
            <w:r>
              <w:rPr>
                <w:sz w:val="22"/>
                <w:szCs w:val="22"/>
              </w:rPr>
              <w:softHyphen/>
              <w:t>anforderungen technisch umsetzen.</w:t>
            </w:r>
          </w:p>
          <w:p>
            <w:pPr>
              <w:pStyle w:val="Listenabsatz"/>
              <w:numPr>
                <w:ilvl w:val="1"/>
                <w:numId w:val="5"/>
              </w:numPr>
              <w:ind w:left="828" w:hanging="357"/>
              <w:rPr>
                <w:sz w:val="22"/>
                <w:szCs w:val="22"/>
              </w:rPr>
            </w:pPr>
            <w:r>
              <w:rPr>
                <w:sz w:val="22"/>
                <w:szCs w:val="22"/>
              </w:rPr>
              <w:t>Fortfall so gut wie aller besonderen Schutzmaßnahmen. Nur noch wenige bleiben übrig. Maßnahmen, die ab 20.03. möglich sind:</w:t>
            </w:r>
          </w:p>
          <w:p>
            <w:pPr>
              <w:pStyle w:val="Listenabsatz"/>
              <w:numPr>
                <w:ilvl w:val="2"/>
                <w:numId w:val="29"/>
              </w:numPr>
              <w:ind w:left="1190" w:hanging="357"/>
              <w:rPr>
                <w:sz w:val="22"/>
                <w:szCs w:val="22"/>
              </w:rPr>
            </w:pPr>
            <w:r>
              <w:rPr>
                <w:sz w:val="22"/>
                <w:szCs w:val="22"/>
              </w:rPr>
              <w:t>Verpflichtung zum Tragen einer Maske in medizinischen Einrichtungen, Alten-/Pflegeheimen; Verkehrsmitteln des öffentlichen Personennahverkehrs; in Einrichtungen zur Unterbringung von Geflüchteten</w:t>
            </w:r>
          </w:p>
          <w:p>
            <w:pPr>
              <w:pStyle w:val="Listenabsatz"/>
              <w:numPr>
                <w:ilvl w:val="2"/>
                <w:numId w:val="29"/>
              </w:numPr>
              <w:ind w:left="1190" w:hanging="357"/>
              <w:rPr>
                <w:sz w:val="22"/>
                <w:szCs w:val="22"/>
              </w:rPr>
            </w:pPr>
            <w:r>
              <w:rPr>
                <w:sz w:val="22"/>
                <w:szCs w:val="22"/>
              </w:rPr>
              <w:t>Testpflicht in den gleichen Einrichtungen, außerdem Schulen, Kitas, Justizvollzugsanstalten</w:t>
            </w:r>
          </w:p>
          <w:p>
            <w:pPr>
              <w:pStyle w:val="Listenabsatz"/>
              <w:numPr>
                <w:ilvl w:val="2"/>
                <w:numId w:val="29"/>
              </w:numPr>
              <w:ind w:left="1190" w:hanging="357"/>
              <w:rPr>
                <w:sz w:val="22"/>
                <w:szCs w:val="22"/>
              </w:rPr>
            </w:pPr>
            <w:r>
              <w:rPr>
                <w:sz w:val="22"/>
                <w:szCs w:val="22"/>
              </w:rPr>
              <w:t xml:space="preserve">Individuelle Schutzmaßnahmen sind weiterhin möglich. Anordnung häuslicher Quarantäne ist weiterhin möglich. </w:t>
            </w:r>
          </w:p>
          <w:p>
            <w:pPr>
              <w:pStyle w:val="Listenabsatz"/>
              <w:numPr>
                <w:ilvl w:val="1"/>
                <w:numId w:val="5"/>
              </w:numPr>
              <w:ind w:left="828" w:hanging="357"/>
              <w:rPr>
                <w:sz w:val="22"/>
                <w:szCs w:val="22"/>
              </w:rPr>
            </w:pPr>
            <w:r>
              <w:rPr>
                <w:sz w:val="22"/>
                <w:szCs w:val="22"/>
              </w:rPr>
              <w:t xml:space="preserve">Mögliche weitere Maßnahmen beziehen sich auf konkrete Gebietskörperschaften </w:t>
            </w:r>
          </w:p>
          <w:p>
            <w:pPr>
              <w:pStyle w:val="Listenabsatz"/>
              <w:numPr>
                <w:ilvl w:val="2"/>
                <w:numId w:val="29"/>
              </w:numPr>
              <w:ind w:left="1190" w:hanging="357"/>
              <w:rPr>
                <w:sz w:val="22"/>
                <w:szCs w:val="22"/>
              </w:rPr>
            </w:pPr>
            <w:r>
              <w:rPr>
                <w:sz w:val="22"/>
                <w:szCs w:val="22"/>
              </w:rPr>
              <w:t>Voraussetzung: konkrete Gefahr einer sich dynamisch ausbreitenden Infektionslage. Landesparlament muss Gefahr feststellen und Maßnahmen festlegen. Nur bei Virusvariante mit signifikant höherer Pathogenität, wenn aufgrund einer besonders hohen Anzahl von Neuinfektionen die Überlastung der KH-Kapazitäten droht.</w:t>
            </w:r>
          </w:p>
          <w:p>
            <w:pPr>
              <w:pStyle w:val="Listenabsatz"/>
              <w:numPr>
                <w:ilvl w:val="2"/>
                <w:numId w:val="29"/>
              </w:numPr>
              <w:ind w:left="1190" w:hanging="357"/>
              <w:rPr>
                <w:sz w:val="22"/>
                <w:szCs w:val="22"/>
              </w:rPr>
            </w:pPr>
            <w:r>
              <w:rPr>
                <w:sz w:val="22"/>
                <w:szCs w:val="22"/>
              </w:rPr>
              <w:t>Wenn Voraussetzungen vorliegen: Tragen vom MNS, Abstandsgebot, Verpflichtung zur Vorlage eines Impf-, Genesenen oder Testnachweises, Verpflichtung zur Erstellung eines Hygienekonzeptes</w:t>
            </w:r>
          </w:p>
          <w:p>
            <w:pPr>
              <w:pStyle w:val="Listenabsatz"/>
              <w:numPr>
                <w:ilvl w:val="1"/>
                <w:numId w:val="5"/>
              </w:numPr>
              <w:ind w:left="828" w:hanging="357"/>
              <w:rPr>
                <w:sz w:val="22"/>
                <w:szCs w:val="22"/>
              </w:rPr>
            </w:pPr>
            <w:r>
              <w:rPr>
                <w:sz w:val="22"/>
                <w:szCs w:val="22"/>
              </w:rPr>
              <w:t>Rechtsverordnung müssen bis spätesten 23.09.22 außer Kraft treten.</w:t>
            </w:r>
          </w:p>
          <w:p>
            <w:pPr>
              <w:pStyle w:val="Listenabsatz"/>
              <w:numPr>
                <w:ilvl w:val="1"/>
                <w:numId w:val="5"/>
              </w:numPr>
              <w:ind w:left="828" w:hanging="357"/>
              <w:rPr>
                <w:sz w:val="22"/>
                <w:szCs w:val="22"/>
              </w:rPr>
            </w:pPr>
            <w:r>
              <w:rPr>
                <w:sz w:val="22"/>
                <w:szCs w:val="22"/>
              </w:rPr>
              <w:t>Bisherige Verordnungen dürfen bis 02.04. aufrechterhalten werden, wenn sie nach neuer Rechtslage noch gültig wären.</w:t>
            </w:r>
          </w:p>
          <w:p>
            <w:pPr>
              <w:pStyle w:val="Listenabsatz"/>
              <w:numPr>
                <w:ilvl w:val="1"/>
                <w:numId w:val="5"/>
              </w:numPr>
              <w:ind w:left="828" w:hanging="357"/>
              <w:rPr>
                <w:sz w:val="22"/>
                <w:szCs w:val="22"/>
              </w:rPr>
            </w:pPr>
            <w:r>
              <w:rPr>
                <w:sz w:val="22"/>
                <w:szCs w:val="22"/>
              </w:rPr>
              <w:t>Bisherige Schutzmaßnehmen gelten nicht mehr:</w:t>
            </w:r>
          </w:p>
          <w:p>
            <w:pPr>
              <w:pStyle w:val="Listenabsatz"/>
              <w:numPr>
                <w:ilvl w:val="2"/>
                <w:numId w:val="29"/>
              </w:numPr>
              <w:ind w:left="1190" w:hanging="357"/>
              <w:rPr>
                <w:sz w:val="22"/>
                <w:szCs w:val="22"/>
              </w:rPr>
            </w:pPr>
            <w:r>
              <w:rPr>
                <w:sz w:val="22"/>
                <w:szCs w:val="22"/>
              </w:rPr>
              <w:t xml:space="preserve">3G Pflicht bei Arbeitsstätten, Befugnis des Arbeitgebers zur Nachweiskontrolle personenbezogene Daten zu verarbeiten, Verpflichtung des Arbeitgebers </w:t>
            </w:r>
            <w:proofErr w:type="gramStart"/>
            <w:r>
              <w:rPr>
                <w:sz w:val="22"/>
                <w:szCs w:val="22"/>
              </w:rPr>
              <w:t>Home Office</w:t>
            </w:r>
            <w:proofErr w:type="gramEnd"/>
            <w:r>
              <w:rPr>
                <w:sz w:val="22"/>
                <w:szCs w:val="22"/>
              </w:rPr>
              <w:t xml:space="preserve"> anzubieten. </w:t>
            </w:r>
          </w:p>
          <w:p>
            <w:pPr>
              <w:pStyle w:val="Listenabsatz"/>
              <w:numPr>
                <w:ilvl w:val="1"/>
                <w:numId w:val="5"/>
              </w:numPr>
              <w:ind w:left="828" w:hanging="357"/>
              <w:rPr>
                <w:sz w:val="22"/>
                <w:szCs w:val="22"/>
              </w:rPr>
            </w:pPr>
            <w:r>
              <w:rPr>
                <w:sz w:val="22"/>
                <w:szCs w:val="22"/>
              </w:rPr>
              <w:lastRenderedPageBreak/>
              <w:t xml:space="preserve">Künftig gilt Maskenpflicht nur noch im Luftverkehr und im öffentlichen Personenfernverkehr, die 3G-Bedingungen entfallen. </w:t>
            </w:r>
          </w:p>
          <w:p>
            <w:pPr>
              <w:pStyle w:val="Listenabsatz"/>
              <w:numPr>
                <w:ilvl w:val="1"/>
                <w:numId w:val="5"/>
              </w:numPr>
              <w:ind w:left="828" w:hanging="357"/>
              <w:rPr>
                <w:sz w:val="22"/>
                <w:szCs w:val="22"/>
              </w:rPr>
            </w:pPr>
            <w:r>
              <w:rPr>
                <w:sz w:val="22"/>
                <w:szCs w:val="22"/>
              </w:rPr>
              <w:t xml:space="preserve">Ausnahmen von Absonderungspflichten: noch unklar, welche Fälle darunterfallen. Genesene müssen scheinbar nicht mehr in Absonderung. </w:t>
            </w:r>
          </w:p>
          <w:p>
            <w:pPr>
              <w:pStyle w:val="Listenabsatz"/>
              <w:ind w:left="828"/>
              <w:rPr>
                <w:sz w:val="22"/>
                <w:szCs w:val="22"/>
              </w:rPr>
            </w:pPr>
          </w:p>
          <w:p>
            <w:pPr>
              <w:pStyle w:val="Listenabsatz"/>
              <w:numPr>
                <w:ilvl w:val="1"/>
                <w:numId w:val="5"/>
              </w:numPr>
              <w:ind w:left="828" w:hanging="357"/>
              <w:rPr>
                <w:sz w:val="22"/>
                <w:szCs w:val="22"/>
              </w:rPr>
            </w:pPr>
            <w:r>
              <w:rPr>
                <w:sz w:val="22"/>
                <w:szCs w:val="22"/>
              </w:rPr>
              <w:t xml:space="preserve">Monitoring in Altenheimen: FG37 wurde von Gesetz überrascht, evtl. Lösung wäre, Monitoring mit </w:t>
            </w:r>
            <w:proofErr w:type="spellStart"/>
            <w:r>
              <w:rPr>
                <w:sz w:val="22"/>
                <w:szCs w:val="22"/>
              </w:rPr>
              <w:t>Voxco</w:t>
            </w:r>
            <w:proofErr w:type="spellEnd"/>
            <w:r>
              <w:rPr>
                <w:sz w:val="22"/>
                <w:szCs w:val="22"/>
              </w:rPr>
              <w:t xml:space="preserve"> fortzu</w:t>
            </w:r>
            <w:r>
              <w:rPr>
                <w:sz w:val="22"/>
                <w:szCs w:val="22"/>
              </w:rPr>
              <w:softHyphen/>
              <w:t xml:space="preserve">führen. </w:t>
            </w:r>
          </w:p>
          <w:p>
            <w:pPr>
              <w:pStyle w:val="Listenabsatz"/>
              <w:numPr>
                <w:ilvl w:val="1"/>
                <w:numId w:val="5"/>
              </w:numPr>
              <w:ind w:left="828" w:hanging="357"/>
              <w:rPr>
                <w:sz w:val="22"/>
                <w:szCs w:val="22"/>
              </w:rPr>
            </w:pPr>
            <w:r>
              <w:rPr>
                <w:sz w:val="22"/>
                <w:szCs w:val="22"/>
              </w:rPr>
              <w:t>Infektionsschutzgesetzt soll zum Herbst 2022 novelliert werden mit Schweizer Gesetz als Vorbild.</w:t>
            </w:r>
          </w:p>
          <w:p>
            <w:pPr>
              <w:pStyle w:val="Listenabsatz"/>
              <w:ind w:left="828"/>
              <w:rPr>
                <w:sz w:val="22"/>
                <w:szCs w:val="22"/>
              </w:rPr>
            </w:pPr>
          </w:p>
          <w:p>
            <w:pPr>
              <w:pStyle w:val="Listenabsatz"/>
              <w:numPr>
                <w:ilvl w:val="0"/>
                <w:numId w:val="5"/>
              </w:numPr>
              <w:ind w:left="453" w:hanging="340"/>
              <w:rPr>
                <w:sz w:val="22"/>
                <w:szCs w:val="22"/>
              </w:rPr>
            </w:pPr>
            <w:r>
              <w:rPr>
                <w:sz w:val="22"/>
                <w:szCs w:val="22"/>
              </w:rPr>
              <w:t>Papier „Rahmenempfehlung für Kontaktnachverfolgung“</w:t>
            </w:r>
          </w:p>
          <w:p>
            <w:pPr>
              <w:pStyle w:val="Listenabsatz"/>
              <w:numPr>
                <w:ilvl w:val="1"/>
                <w:numId w:val="5"/>
              </w:numPr>
              <w:ind w:left="828" w:hanging="357"/>
              <w:rPr>
                <w:sz w:val="22"/>
                <w:szCs w:val="22"/>
              </w:rPr>
            </w:pPr>
            <w:r>
              <w:rPr>
                <w:sz w:val="22"/>
                <w:szCs w:val="22"/>
              </w:rPr>
              <w:t>Schon eine ganze Zeit werden individuelle Containment-Maßnahmen nicht mehr durchgeführt. Gedanke des Containments soll deshalb nicht mehr mit Kontaktpersonen</w:t>
            </w:r>
            <w:r>
              <w:rPr>
                <w:sz w:val="22"/>
                <w:szCs w:val="22"/>
              </w:rPr>
              <w:softHyphen/>
              <w:t>management fortgeführt werden.</w:t>
            </w:r>
          </w:p>
          <w:p>
            <w:pPr>
              <w:pStyle w:val="Listenabsatz"/>
              <w:numPr>
                <w:ilvl w:val="1"/>
                <w:numId w:val="5"/>
              </w:numPr>
              <w:ind w:left="828" w:hanging="357"/>
              <w:rPr>
                <w:sz w:val="22"/>
                <w:szCs w:val="22"/>
              </w:rPr>
            </w:pPr>
            <w:r>
              <w:rPr>
                <w:sz w:val="22"/>
                <w:szCs w:val="22"/>
              </w:rPr>
              <w:t>Schwerpunkt liegt in der Verantwortung der Erkrankten und Symptomatischen gegenüber Mitmenschen und vulnerablen Gruppen.</w:t>
            </w:r>
          </w:p>
          <w:p>
            <w:pPr>
              <w:pStyle w:val="Listenabsatz"/>
              <w:numPr>
                <w:ilvl w:val="1"/>
                <w:numId w:val="5"/>
              </w:numPr>
              <w:ind w:left="828" w:hanging="357"/>
              <w:rPr>
                <w:sz w:val="22"/>
                <w:szCs w:val="22"/>
              </w:rPr>
            </w:pPr>
            <w:r>
              <w:rPr>
                <w:sz w:val="22"/>
                <w:szCs w:val="22"/>
              </w:rPr>
              <w:t>Gesundheitsämter sollten sich auf Ausbruchsmanagement fokussieren.</w:t>
            </w:r>
          </w:p>
          <w:p>
            <w:pPr>
              <w:pStyle w:val="Listenabsatz"/>
              <w:numPr>
                <w:ilvl w:val="1"/>
                <w:numId w:val="5"/>
              </w:numPr>
              <w:ind w:left="828" w:hanging="357"/>
              <w:rPr>
                <w:sz w:val="22"/>
                <w:szCs w:val="22"/>
              </w:rPr>
            </w:pPr>
            <w:r>
              <w:rPr>
                <w:sz w:val="22"/>
                <w:szCs w:val="22"/>
              </w:rPr>
              <w:t xml:space="preserve">Punkte sollen nächsten Montag vorgestellt werden. </w:t>
            </w:r>
          </w:p>
          <w:p>
            <w:pPr>
              <w:pStyle w:val="Listenabsatz"/>
              <w:numPr>
                <w:ilvl w:val="1"/>
                <w:numId w:val="5"/>
              </w:numPr>
              <w:ind w:left="828" w:hanging="357"/>
              <w:rPr>
                <w:sz w:val="22"/>
                <w:szCs w:val="22"/>
              </w:rPr>
            </w:pPr>
            <w:r>
              <w:rPr>
                <w:sz w:val="22"/>
                <w:szCs w:val="22"/>
              </w:rPr>
              <w:t>Schrittweiser Prozess unter Einbeziehung der Länder.</w:t>
            </w:r>
          </w:p>
          <w:p>
            <w:pPr>
              <w:pStyle w:val="Listenabsatz"/>
              <w:ind w:left="828"/>
              <w:rPr>
                <w:sz w:val="22"/>
                <w:szCs w:val="22"/>
              </w:rPr>
            </w:pPr>
          </w:p>
          <w:p>
            <w:pPr>
              <w:pStyle w:val="Listenabsatz"/>
              <w:numPr>
                <w:ilvl w:val="1"/>
                <w:numId w:val="5"/>
              </w:numPr>
              <w:ind w:left="828" w:hanging="357"/>
              <w:rPr>
                <w:sz w:val="22"/>
                <w:szCs w:val="22"/>
              </w:rPr>
            </w:pPr>
            <w:r>
              <w:rPr>
                <w:sz w:val="22"/>
                <w:szCs w:val="22"/>
              </w:rPr>
              <w:t xml:space="preserve">Rückmeldung aus AGI: MPK Beschlüsse sind Hemmschuh, MPK und BMK revidieren ihre Beschlüsse nie; über Länder mit Prüfbitte ans RKI herantreten. </w:t>
            </w:r>
          </w:p>
          <w:p>
            <w:pPr>
              <w:pStyle w:val="Listenabsatz"/>
              <w:numPr>
                <w:ilvl w:val="1"/>
                <w:numId w:val="5"/>
              </w:numPr>
              <w:ind w:left="828" w:hanging="357"/>
              <w:rPr>
                <w:sz w:val="22"/>
                <w:szCs w:val="22"/>
              </w:rPr>
            </w:pPr>
            <w:proofErr w:type="spellStart"/>
            <w:r>
              <w:rPr>
                <w:sz w:val="22"/>
                <w:szCs w:val="22"/>
              </w:rPr>
              <w:t>KoNa</w:t>
            </w:r>
            <w:proofErr w:type="spellEnd"/>
            <w:r>
              <w:rPr>
                <w:sz w:val="22"/>
                <w:szCs w:val="22"/>
              </w:rPr>
              <w:t xml:space="preserve"> läuft aufgrund der vielen Ausnahmen ins Leere. </w:t>
            </w:r>
          </w:p>
          <w:p>
            <w:pPr>
              <w:pStyle w:val="Listenabsatz"/>
              <w:numPr>
                <w:ilvl w:val="1"/>
                <w:numId w:val="5"/>
              </w:numPr>
              <w:ind w:left="828" w:hanging="357"/>
              <w:rPr>
                <w:sz w:val="22"/>
                <w:szCs w:val="22"/>
              </w:rPr>
            </w:pPr>
            <w:r>
              <w:rPr>
                <w:sz w:val="22"/>
                <w:szCs w:val="22"/>
              </w:rPr>
              <w:t>Berichtsfrequenz: wird in GMK reingegeben. Es soll ab Ende März nichts mehr am Wochenende übermittelt werden. Ab Ende der ARE-Saison nur noch wöchentlich. Dem widerspricht, dass auf Gebietsebene doch auf Zahlen geachtet wird.</w:t>
            </w:r>
          </w:p>
          <w:p>
            <w:pPr>
              <w:pStyle w:val="Listenabsatz"/>
              <w:ind w:left="828"/>
              <w:rPr>
                <w:sz w:val="22"/>
                <w:szCs w:val="22"/>
              </w:rPr>
            </w:pPr>
          </w:p>
          <w:p>
            <w:pPr>
              <w:pStyle w:val="Listenabsatz"/>
              <w:numPr>
                <w:ilvl w:val="1"/>
                <w:numId w:val="5"/>
              </w:numPr>
              <w:ind w:left="828" w:hanging="357"/>
              <w:rPr>
                <w:sz w:val="22"/>
                <w:szCs w:val="22"/>
              </w:rPr>
            </w:pPr>
            <w:r>
              <w:rPr>
                <w:sz w:val="22"/>
                <w:szCs w:val="22"/>
              </w:rPr>
              <w:t xml:space="preserve">Fallzahlen sind kaum noch handlungsleitend. Wäre es nicht Zeit zu überlegen, die Meldepflichten so zu revidieren, dass nur noch Hospitalisierungen meldepflichtig sind? </w:t>
            </w:r>
          </w:p>
          <w:p>
            <w:pPr>
              <w:pStyle w:val="Listenabsatz"/>
              <w:numPr>
                <w:ilvl w:val="2"/>
                <w:numId w:val="29"/>
              </w:numPr>
              <w:ind w:left="1190" w:hanging="357"/>
              <w:rPr>
                <w:sz w:val="22"/>
                <w:szCs w:val="22"/>
              </w:rPr>
            </w:pPr>
            <w:r>
              <w:rPr>
                <w:sz w:val="22"/>
                <w:szCs w:val="22"/>
              </w:rPr>
              <w:t xml:space="preserve">Lohnenswerter Gedanke, was gibt es für Meldestandards bei Influenza? Je nach pandemischem Geschehen könnte sich die Meldepflicht wieder ändern. Gutes strategisches Papier zusammen mit Influenza wäre notwendig. </w:t>
            </w:r>
          </w:p>
          <w:p>
            <w:pPr>
              <w:pStyle w:val="Listenabsatz"/>
              <w:numPr>
                <w:ilvl w:val="1"/>
                <w:numId w:val="5"/>
              </w:numPr>
              <w:ind w:left="828" w:hanging="357"/>
              <w:rPr>
                <w:sz w:val="22"/>
                <w:szCs w:val="22"/>
              </w:rPr>
            </w:pPr>
            <w:r>
              <w:rPr>
                <w:sz w:val="22"/>
                <w:szCs w:val="22"/>
              </w:rPr>
              <w:t>Sowohl bei Influenza als auch bei vielen anderen Erkrankungen basieren die Meldungen auf Labor</w:t>
            </w:r>
            <w:r>
              <w:rPr>
                <w:sz w:val="22"/>
                <w:szCs w:val="22"/>
              </w:rPr>
              <w:softHyphen/>
              <w:t>nachweisen. Eine Arztmeldung von symptomatischen Erkrankungen führt zu großer Untererfassung, da Ärzte eher schlecht melden und nicht alle zum Arzt gehen.</w:t>
            </w:r>
          </w:p>
          <w:p>
            <w:pPr>
              <w:pStyle w:val="Listenabsatz"/>
              <w:numPr>
                <w:ilvl w:val="1"/>
                <w:numId w:val="5"/>
              </w:numPr>
              <w:ind w:left="828" w:hanging="357"/>
              <w:rPr>
                <w:sz w:val="22"/>
                <w:szCs w:val="22"/>
              </w:rPr>
            </w:pPr>
            <w:r>
              <w:rPr>
                <w:sz w:val="22"/>
                <w:szCs w:val="22"/>
              </w:rPr>
              <w:t>Problematik liegt nicht in Daten, sondern in Interpretation der Daten.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ind w:left="828"/>
              <w:rPr>
                <w:sz w:val="22"/>
                <w:szCs w:val="22"/>
              </w:rPr>
            </w:pPr>
          </w:p>
        </w:tc>
        <w:tc>
          <w:tcPr>
            <w:tcW w:w="1492" w:type="dxa"/>
          </w:tcPr>
          <w:p>
            <w:pPr>
              <w:rPr>
                <w:sz w:val="22"/>
                <w:szCs w:val="22"/>
              </w:rPr>
            </w:pPr>
          </w:p>
          <w:p>
            <w:pPr>
              <w:rPr>
                <w:sz w:val="22"/>
                <w:szCs w:val="22"/>
              </w:rPr>
            </w:pPr>
          </w:p>
          <w:p>
            <w:pPr>
              <w:rPr>
                <w:sz w:val="22"/>
                <w:szCs w:val="22"/>
              </w:rPr>
            </w:pPr>
            <w:r>
              <w:rPr>
                <w:sz w:val="22"/>
                <w:szCs w:val="22"/>
              </w:rPr>
              <w:t>L1</w:t>
            </w:r>
          </w:p>
          <w:p>
            <w:pPr>
              <w:rPr>
                <w:sz w:val="22"/>
                <w:szCs w:val="22"/>
              </w:rPr>
            </w:pPr>
            <w:r>
              <w:rPr>
                <w:sz w:val="22"/>
                <w:szCs w:val="22"/>
              </w:rPr>
              <w:t>(Mehlitz)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Dokumente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rPr>
                <w:i/>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spacing w:line="276" w:lineRule="auto"/>
              <w:rPr>
                <w:b/>
                <w:sz w:val="22"/>
                <w:szCs w:val="22"/>
              </w:rPr>
            </w:pPr>
          </w:p>
        </w:tc>
        <w:tc>
          <w:tcPr>
            <w:tcW w:w="1492" w:type="dxa"/>
          </w:tcPr>
          <w:p>
            <w:pPr>
              <w:rPr>
                <w:sz w:val="22"/>
                <w:szCs w:val="22"/>
              </w:rPr>
            </w:pPr>
            <w:r>
              <w:rPr>
                <w:sz w:val="22"/>
                <w:szCs w:val="22"/>
              </w:rPr>
              <w:t>FG33</w:t>
            </w:r>
          </w:p>
        </w:tc>
      </w:tr>
      <w:tr>
        <w:tc>
          <w:tcPr>
            <w:tcW w:w="684" w:type="dxa"/>
          </w:tcPr>
          <w:p>
            <w:pPr>
              <w:rPr>
                <w:b/>
              </w:rPr>
            </w:pPr>
            <w:r>
              <w:rPr>
                <w:b/>
              </w:rPr>
              <w:t>10</w:t>
            </w:r>
          </w:p>
        </w:tc>
        <w:tc>
          <w:tcPr>
            <w:tcW w:w="6795" w:type="dxa"/>
          </w:tcPr>
          <w:p>
            <w:pPr>
              <w:spacing w:line="276" w:lineRule="auto"/>
              <w:rPr>
                <w:b/>
                <w:sz w:val="28"/>
              </w:rPr>
            </w:pPr>
            <w:r>
              <w:rPr>
                <w:b/>
                <w:sz w:val="28"/>
              </w:rPr>
              <w:t xml:space="preserve">Labordiagnostik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rPr>
                <w:sz w:val="22"/>
              </w:rPr>
            </w:pPr>
          </w:p>
        </w:tc>
        <w:tc>
          <w:tcPr>
            <w:tcW w:w="1492" w:type="dxa"/>
          </w:tcPr>
          <w:p>
            <w:pPr>
              <w:rPr>
                <w:sz w:val="22"/>
                <w:szCs w:val="22"/>
              </w:rPr>
            </w:pPr>
            <w:r>
              <w:rPr>
                <w:sz w:val="22"/>
                <w:szCs w:val="22"/>
              </w:rPr>
              <w:t>FG17 /</w:t>
            </w:r>
          </w:p>
          <w:p>
            <w:pPr>
              <w:rPr>
                <w:sz w:val="22"/>
                <w:szCs w:val="22"/>
              </w:rPr>
            </w:pPr>
            <w:r>
              <w:rPr>
                <w:sz w:val="22"/>
                <w:szCs w:val="22"/>
              </w:rPr>
              <w:t xml:space="preserve">ZBS1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p>
            <w:pPr>
              <w:pStyle w:val="Listenabsatz"/>
              <w:ind w:left="828"/>
              <w:rPr>
                <w:sz w:val="22"/>
                <w:szCs w:val="22"/>
              </w:rPr>
            </w:pP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montags)</w:t>
            </w:r>
          </w:p>
          <w:p>
            <w:pPr>
              <w:pStyle w:val="Listenabsatz"/>
              <w:numPr>
                <w:ilvl w:val="0"/>
                <w:numId w:val="5"/>
              </w:numPr>
              <w:ind w:left="453" w:hanging="340"/>
              <w:rPr>
                <w:sz w:val="22"/>
                <w:szCs w:val="22"/>
              </w:rPr>
            </w:pPr>
            <w:r>
              <w:rPr>
                <w:sz w:val="22"/>
                <w:szCs w:val="22"/>
              </w:rPr>
              <w:t xml:space="preserve">(nicht berichtet) </w:t>
            </w:r>
          </w:p>
          <w:p>
            <w:pPr>
              <w:pStyle w:val="Listenabsatz"/>
              <w:ind w:left="828"/>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montags)</w:t>
            </w:r>
          </w:p>
          <w:p>
            <w:pPr>
              <w:pStyle w:val="Listenabsatz"/>
              <w:numPr>
                <w:ilvl w:val="0"/>
                <w:numId w:val="5"/>
              </w:numPr>
              <w:ind w:left="453" w:hanging="340"/>
              <w:rPr>
                <w:sz w:val="22"/>
              </w:rPr>
            </w:pPr>
            <w:r>
              <w:rPr>
                <w:sz w:val="22"/>
                <w:szCs w:val="22"/>
              </w:rPr>
              <w:t>(nicht berichtet)</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montags)</w:t>
            </w:r>
          </w:p>
          <w:p>
            <w:pPr>
              <w:pStyle w:val="Listenabsatz"/>
              <w:numPr>
                <w:ilvl w:val="0"/>
                <w:numId w:val="5"/>
              </w:numPr>
              <w:ind w:left="453" w:hanging="340"/>
              <w:rPr>
                <w:sz w:val="22"/>
                <w:szCs w:val="22"/>
              </w:rPr>
            </w:pPr>
            <w:r>
              <w:rPr>
                <w:sz w:val="22"/>
                <w:szCs w:val="22"/>
              </w:rPr>
              <w:t>(nicht berichtet)</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21.03.2022,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13:03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 w:numId="31">
    <w:abstractNumId w:val="4"/>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85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link w:val="3Zchn"/>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customStyle="1" w:styleId="3Zchn">
    <w:name w:val="Ü3 Zchn"/>
    <w:basedOn w:val="Absatz-Standardschriftart"/>
    <w:link w:val="3"/>
    <w:rPr>
      <w:b/>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MiZchn">
    <w:name w:val="Tag_Mi Zchn"/>
    <w:basedOn w:val="ListenabsatzZchn"/>
    <w:link w:val="TagMi"/>
    <w:rPr>
      <w:b/>
      <w:i/>
      <w:color w:val="D99594" w:themeColor="accent2" w:themeTint="99"/>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022-03-16_Intensivregister_SPoCK.pptx" TargetMode="External"/><Relationship Id="rId18" Type="http://schemas.openxmlformats.org/officeDocument/2006/relationships/hyperlink" Target="P1-Verhaltenstipps_Fru&#776;hjahr_2022-FG14.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LageNational_2022-03-16.pptx" TargetMode="External"/><Relationship Id="rId17" Type="http://schemas.openxmlformats.org/officeDocument/2006/relationships/hyperlink" Target="220301-bfr-corona-monitor.pdf" TargetMode="External"/><Relationship Id="rId2" Type="http://schemas.openxmlformats.org/officeDocument/2006/relationships/numbering" Target="numbering.xml"/><Relationship Id="rId16" Type="http://schemas.openxmlformats.org/officeDocument/2006/relationships/hyperlink" Target="syndrom-ARE-SARI-COVID_bis_KW10_2022_f&#252;r-Krisenstab.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3-16.pptx" TargetMode="External"/><Relationship Id="rId5" Type="http://schemas.openxmlformats.org/officeDocument/2006/relationships/webSettings" Target="webSettings.xml"/><Relationship Id="rId15" Type="http://schemas.openxmlformats.org/officeDocument/2006/relationships/hyperlink" Target="VOC20220316_LageAG_sk.pptx" TargetMode="External"/><Relationship Id="rId10" Type="http://schemas.openxmlformats.org/officeDocument/2006/relationships/footer" Target="footer2.xml"/><Relationship Id="rId19" Type="http://schemas.openxmlformats.org/officeDocument/2006/relationships/hyperlink" Target="2022-03-16%20L1%20&#220;bersicht%20&#196;nderungen%20IfSG%20SchAusnahmV%20EinreiseV%20ab%2020.03.202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Testzahlerfassung%20am%20RKI_2022_03-15.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F3C8C-A9FA-4065-87BC-95A16975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2548</Words>
  <Characters>16055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Niebank, Michaela</cp:lastModifiedBy>
  <cp:revision>39</cp:revision>
  <cp:lastPrinted>2020-05-06T16:43:00Z</cp:lastPrinted>
  <dcterms:created xsi:type="dcterms:W3CDTF">2022-03-16T12:49:00Z</dcterms:created>
  <dcterms:modified xsi:type="dcterms:W3CDTF">2022-03-17T13:05:00Z</dcterms:modified>
</cp:coreProperties>
</file>