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21.03.2022,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rPr>
      </w:pPr>
      <w:r>
        <w:rPr>
          <w:sz w:val="22"/>
        </w:rPr>
        <w:t>Wolfgang 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b/>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Justus Benzler</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Ole Wichmann </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Marieke Degen</w:t>
      </w:r>
    </w:p>
    <w:p>
      <w:pPr>
        <w:pStyle w:val="Listenabsatz"/>
        <w:numPr>
          <w:ilvl w:val="0"/>
          <w:numId w:val="2"/>
        </w:numPr>
        <w:spacing w:after="0"/>
        <w:rPr>
          <w:sz w:val="22"/>
          <w:szCs w:val="22"/>
        </w:rPr>
      </w:pPr>
      <w:r>
        <w:rPr>
          <w:sz w:val="22"/>
          <w:szCs w:val="22"/>
        </w:rPr>
        <w:t>ZBS 7</w:t>
      </w:r>
    </w:p>
    <w:p>
      <w:pPr>
        <w:pStyle w:val="Listenabsatz"/>
        <w:numPr>
          <w:ilvl w:val="0"/>
          <w:numId w:val="11"/>
        </w:numPr>
        <w:spacing w:after="0"/>
        <w:rPr>
          <w:sz w:val="22"/>
          <w:szCs w:val="22"/>
        </w:rPr>
      </w:pPr>
      <w:r>
        <w:rPr>
          <w:sz w:val="22"/>
          <w:szCs w:val="22"/>
        </w:rPr>
        <w:t>Michaela Niebank</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montags)</w:t>
            </w:r>
          </w:p>
          <w:p>
            <w:pPr>
              <w:pStyle w:val="Liste2"/>
            </w:pPr>
            <w:r>
              <w:t>(</w:t>
            </w:r>
            <w:proofErr w:type="spellStart"/>
            <w:r>
              <w:t>nicht</w:t>
            </w:r>
            <w:proofErr w:type="spellEnd"/>
            <w:r>
              <w:t xml:space="preserve"> </w:t>
            </w:r>
            <w:proofErr w:type="spellStart"/>
            <w:r>
              <w:t>berichtet</w:t>
            </w:r>
            <w:proofErr w:type="spellEnd"/>
            <w:r>
              <w:t>)</w:t>
            </w:r>
          </w:p>
          <w:p>
            <w:pPr>
              <w:pStyle w:val="2"/>
            </w:pPr>
            <w:r>
              <w:t xml:space="preserve">National </w:t>
            </w:r>
          </w:p>
          <w:p>
            <w:pPr>
              <w:pStyle w:val="Liste2"/>
              <w:rPr>
                <w:lang w:val="de-DE"/>
              </w:rPr>
            </w:pPr>
            <w:r>
              <w:rPr>
                <w:lang w:val="de-DE"/>
              </w:rPr>
              <w:t xml:space="preserve">Fallzahlen, Todesfälle, Trend, Folien </w:t>
            </w:r>
            <w:hyperlink r:id="rId14"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18.772.331 (+92314), davon 126.929 (+13) Todesfälle </w:t>
            </w:r>
          </w:p>
          <w:p>
            <w:pPr>
              <w:pStyle w:val="Liste2"/>
            </w:pPr>
            <w:r>
              <w:t xml:space="preserve">7-Tage-Inzidenz:  1.714,2/100.000 </w:t>
            </w:r>
            <w:proofErr w:type="spellStart"/>
            <w:r>
              <w:t>Einw</w:t>
            </w:r>
            <w:proofErr w:type="spellEnd"/>
            <w:r>
              <w:t>.</w:t>
            </w:r>
          </w:p>
          <w:p>
            <w:pPr>
              <w:pStyle w:val="Liste2"/>
              <w:rPr>
                <w:lang w:val="de-DE"/>
              </w:rPr>
            </w:pPr>
            <w:r>
              <w:rPr>
                <w:lang w:val="de-DE"/>
              </w:rPr>
              <w:t>Impfmonitoring: Geimpfte mit 1. Dosis 63.617.998 (76,5%), mit vollständiger Impfung 63.045.378 (75,8%)</w:t>
            </w:r>
          </w:p>
          <w:p>
            <w:pPr>
              <w:pStyle w:val="Liste2"/>
              <w:rPr>
                <w:lang w:val="de-DE"/>
              </w:rPr>
            </w:pPr>
            <w:r>
              <w:rPr>
                <w:lang w:val="de-DE"/>
              </w:rPr>
              <w:t>Verlauf der 7-Tage-Inzidenz der Bundesländer:</w:t>
            </w:r>
          </w:p>
          <w:p>
            <w:pPr>
              <w:pStyle w:val="Liste3"/>
              <w:rPr>
                <w:lang w:val="en-US"/>
              </w:rPr>
            </w:pPr>
            <w:r>
              <w:rPr>
                <w:lang w:val="en-US"/>
              </w:rPr>
              <w:t>Anstieg in BY, BW, SA, SL, TH</w:t>
            </w:r>
          </w:p>
          <w:p>
            <w:pPr>
              <w:pStyle w:val="Liste3"/>
            </w:pPr>
            <w:r>
              <w:t>Bei Inzidenzen nach Altersgruppen wird in fast allen Altersgruppen ein leichter Rückgang beobachtet</w:t>
            </w:r>
          </w:p>
          <w:p>
            <w:pPr>
              <w:pStyle w:val="Liste3"/>
            </w:pPr>
            <w:r>
              <w:t>Die Hospitalisierungsinzidenz bei den über 60-Jährigen ist leicht steigend, bei den 0-59-Jährigen bewegt er sich auf einem gleichbleibenden Niveau</w:t>
            </w:r>
          </w:p>
          <w:p>
            <w:pPr>
              <w:pStyle w:val="Liste2"/>
            </w:pPr>
            <w:proofErr w:type="spellStart"/>
            <w:r>
              <w:t>Diskussion</w:t>
            </w:r>
            <w:proofErr w:type="spellEnd"/>
          </w:p>
          <w:p>
            <w:pPr>
              <w:pStyle w:val="Liste3"/>
            </w:pPr>
            <w:r>
              <w:t>200 Gesundheitsämter haben über das Wochenende nicht übermittelt, dies muss bei der Interpretation der Daten berücksichtigt werden</w:t>
            </w:r>
          </w:p>
          <w:p>
            <w:pPr>
              <w:pStyle w:val="Liste3"/>
            </w:pPr>
            <w:r>
              <w:t>Zusätzlich traten Probleme bei den Laboren mit DEMIS Meldungen auf, einige Fälle wurden daher noch nicht an die Gesundheitsämter weitergeleitet</w:t>
            </w:r>
          </w:p>
          <w:p>
            <w:pPr>
              <w:pStyle w:val="Liste3"/>
            </w:pPr>
            <w:r>
              <w:t>Eine Abschätzung des Übermittlungs-/Meldeeffekt ist derzeit noch nicht möglich</w:t>
            </w:r>
          </w:p>
          <w:p>
            <w:pPr>
              <w:pStyle w:val="Liste3"/>
            </w:pPr>
            <w:r>
              <w:t>Ein Disclaimer soll hierzu noch geschaltet werden</w:t>
            </w:r>
          </w:p>
          <w:p>
            <w:pPr>
              <w:pStyle w:val="Liste3"/>
            </w:pPr>
            <w:r>
              <w:t xml:space="preserve">In AGI </w:t>
            </w:r>
            <w:proofErr w:type="spellStart"/>
            <w:r>
              <w:t>TelKo</w:t>
            </w:r>
            <w:proofErr w:type="spellEnd"/>
            <w:r>
              <w:t xml:space="preserve"> wurde festgelegt, dass BL bei GMK einen Beschluss bzgl. der Meldungen am Wochenende einreichen sollen </w:t>
            </w:r>
          </w:p>
          <w:p>
            <w:pPr>
              <w:pStyle w:val="Liste3"/>
            </w:pPr>
            <w:r>
              <w:t>Frage der WHO nach Ausblick der Auswirkungen der Lockerungen. Relativ klar, dass bei Lockerungen die ansteckende Variante zu mehr Infektionen führt, kann derzeit auch beobachtet werden. Trends können gut abgebildet werden, die 7-Tages-Inzidenz steigt in allen Bundesländern. Über das Sentinel kann R eingeschätzt werden</w:t>
            </w:r>
          </w:p>
          <w:p>
            <w:pPr>
              <w:pStyle w:val="Liste3"/>
              <w:numPr>
                <w:ilvl w:val="0"/>
                <w:numId w:val="0"/>
              </w:numPr>
              <w:ind w:left="1193"/>
            </w:pPr>
          </w:p>
          <w:p>
            <w:pPr>
              <w:pStyle w:val="Liste3"/>
              <w:numPr>
                <w:ilvl w:val="0"/>
                <w:numId w:val="0"/>
              </w:numPr>
              <w:ind w:left="1193"/>
            </w:pP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w:t>
            </w:r>
            <w:proofErr w:type="spellStart"/>
            <w:r>
              <w:t>nicht</w:t>
            </w:r>
            <w:proofErr w:type="spellEnd"/>
            <w:r>
              <w:t xml:space="preserve"> </w:t>
            </w:r>
            <w:proofErr w:type="spellStart"/>
            <w:r>
              <w:t>berichtet</w:t>
            </w:r>
            <w:proofErr w:type="spellEnd"/>
            <w:r>
              <w:t>)</w:t>
            </w:r>
          </w:p>
          <w:p>
            <w:pPr>
              <w:pStyle w:val="Liste2"/>
            </w:pPr>
            <w:r>
              <w:t>ARS-</w:t>
            </w:r>
            <w:proofErr w:type="spellStart"/>
            <w:r>
              <w:t>Daten</w:t>
            </w:r>
            <w:proofErr w:type="spellEnd"/>
            <w:r>
              <w:t xml:space="preserve"> </w:t>
            </w:r>
          </w:p>
          <w:p>
            <w:pPr>
              <w:pStyle w:val="Liste2"/>
            </w:pPr>
            <w:r>
              <w:t>(</w:t>
            </w:r>
            <w:proofErr w:type="spellStart"/>
            <w:r>
              <w:t>nicht</w:t>
            </w:r>
            <w:proofErr w:type="spellEnd"/>
            <w:r>
              <w:t xml:space="preserve"> </w:t>
            </w:r>
            <w:proofErr w:type="spellStart"/>
            <w:r>
              <w:t>berichtet</w:t>
            </w:r>
            <w:proofErr w:type="spellEnd"/>
            <w:r>
              <w:t>)</w:t>
            </w:r>
          </w:p>
          <w:p>
            <w:pPr>
              <w:pStyle w:val="Liste2"/>
            </w:pPr>
            <w:r>
              <w:t>VOC-</w:t>
            </w:r>
            <w:proofErr w:type="spellStart"/>
            <w:r>
              <w:t>Bericht</w:t>
            </w:r>
            <w:proofErr w:type="spellEnd"/>
          </w:p>
          <w:p>
            <w:pPr>
              <w:pStyle w:val="Liste2"/>
            </w:pPr>
            <w:r>
              <w:t>(</w:t>
            </w:r>
            <w:proofErr w:type="spellStart"/>
            <w:r>
              <w:t>nicht</w:t>
            </w:r>
            <w:proofErr w:type="spellEnd"/>
            <w:r>
              <w:t xml:space="preserve"> </w:t>
            </w:r>
            <w:proofErr w:type="spellStart"/>
            <w:r>
              <w:t>berichtet</w:t>
            </w:r>
            <w:proofErr w:type="spellEnd"/>
            <w:r>
              <w:t>)</w:t>
            </w:r>
          </w:p>
          <w:p>
            <w:pPr>
              <w:pStyle w:val="Liste2"/>
            </w:pPr>
            <w:proofErr w:type="spellStart"/>
            <w:r>
              <w:t>Molekulare</w:t>
            </w:r>
            <w:proofErr w:type="spellEnd"/>
            <w:r>
              <w:t xml:space="preserve"> Surveillance (</w:t>
            </w:r>
            <w:proofErr w:type="spellStart"/>
            <w:r>
              <w:t>nur</w:t>
            </w:r>
            <w:proofErr w:type="spellEnd"/>
            <w:r>
              <w:t xml:space="preserve"> </w:t>
            </w:r>
            <w:proofErr w:type="spellStart"/>
            <w:r>
              <w:t>mittwochs</w:t>
            </w:r>
            <w:proofErr w:type="spellEnd"/>
            <w:r>
              <w:t>)</w:t>
            </w:r>
          </w:p>
          <w:p>
            <w:pPr>
              <w:pStyle w:val="Liste2"/>
            </w:pPr>
            <w:r>
              <w:t>(</w:t>
            </w:r>
            <w:proofErr w:type="spellStart"/>
            <w:r>
              <w:t>nicht</w:t>
            </w:r>
            <w:proofErr w:type="spellEnd"/>
            <w:r>
              <w:t xml:space="preserve"> </w:t>
            </w:r>
            <w:proofErr w:type="spellStart"/>
            <w:r>
              <w:t>berichtet</w:t>
            </w:r>
            <w:proofErr w:type="spellEnd"/>
            <w:r>
              <w:t>)</w:t>
            </w:r>
          </w:p>
          <w:p>
            <w:pPr>
              <w:pStyle w:val="Liste2"/>
            </w:pPr>
            <w:r>
              <w:t>Syndromische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lastRenderedPageBreak/>
              <w:t>(</w:t>
            </w:r>
            <w:proofErr w:type="spellStart"/>
            <w:r>
              <w:t>nicht</w:t>
            </w:r>
            <w:proofErr w:type="spellEnd"/>
            <w:r>
              <w:t xml:space="preserve"> </w:t>
            </w:r>
            <w:proofErr w:type="spellStart"/>
            <w:r>
              <w:t>berichtet</w:t>
            </w:r>
            <w:proofErr w:type="spellEnd"/>
            <w:r>
              <w: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w:t>
            </w:r>
            <w:proofErr w:type="spellStart"/>
            <w:r>
              <w:t>nicht</w:t>
            </w:r>
            <w:proofErr w:type="spellEnd"/>
            <w:r>
              <w:t xml:space="preserve"> </w:t>
            </w:r>
            <w:proofErr w:type="spellStart"/>
            <w:r>
              <w:t>berichtet</w:t>
            </w:r>
            <w:proofErr w:type="spellEnd"/>
            <w:r>
              <w: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w:t>
            </w:r>
            <w:proofErr w:type="spellStart"/>
            <w:r>
              <w:t>nicht</w:t>
            </w:r>
            <w:proofErr w:type="spellEnd"/>
            <w:r>
              <w:t xml:space="preserve"> </w:t>
            </w:r>
            <w:proofErr w:type="spellStart"/>
            <w:r>
              <w:t>berichtet</w:t>
            </w:r>
            <w:proofErr w:type="spellEnd"/>
            <w:r>
              <w: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nabsatz"/>
              <w:rPr>
                <w:b/>
              </w:rPr>
            </w:pPr>
          </w:p>
          <w:p>
            <w:pPr>
              <w:pStyle w:val="Liste2"/>
              <w:numPr>
                <w:ilvl w:val="0"/>
                <w:numId w:val="0"/>
              </w:numPr>
              <w:ind w:left="720"/>
              <w:rPr>
                <w:lang w:val="de-DE"/>
              </w:rPr>
            </w:pPr>
          </w:p>
          <w:p>
            <w:pPr>
              <w:pStyle w:val="Liste2"/>
              <w:numPr>
                <w:ilvl w:val="0"/>
                <w:numId w:val="0"/>
              </w:numPr>
              <w:rPr>
                <w:b/>
                <w:lang w:val="de-DE"/>
              </w:rPr>
            </w:pPr>
          </w:p>
          <w:p>
            <w:pPr>
              <w:pStyle w:val="Liste2"/>
              <w:numPr>
                <w:ilvl w:val="0"/>
                <w:numId w:val="0"/>
              </w:numPr>
              <w:rPr>
                <w:b/>
                <w:lang w:val="de-DE"/>
              </w:rPr>
            </w:pPr>
            <w:proofErr w:type="spellStart"/>
            <w:r>
              <w:rPr>
                <w:b/>
                <w:lang w:val="de-DE"/>
              </w:rPr>
              <w:t>ToDo</w:t>
            </w:r>
            <w:proofErr w:type="spellEnd"/>
          </w:p>
          <w:p>
            <w:pPr>
              <w:pStyle w:val="Liste2"/>
              <w:numPr>
                <w:ilvl w:val="0"/>
                <w:numId w:val="0"/>
              </w:numPr>
              <w:rPr>
                <w:i/>
                <w:lang w:val="de-DE"/>
              </w:rPr>
            </w:pPr>
            <w:r>
              <w:rPr>
                <w:i/>
                <w:lang w:val="de-DE"/>
              </w:rPr>
              <w:t>Heutige Schaltung eines Disclaimers mit dem Hinweis, dass am Wochenende 200 Gesundheitsämter nicht gemeldet haben (Fr. Diercke)</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p>
            <w:pPr>
              <w:pStyle w:val="Listenabsatz"/>
              <w:numPr>
                <w:ilvl w:val="0"/>
                <w:numId w:val="10"/>
              </w:numPr>
              <w:rPr>
                <w:sz w:val="22"/>
              </w:rPr>
            </w:pPr>
            <w:r>
              <w:rPr>
                <w:sz w:val="22"/>
              </w:rPr>
              <w:t xml:space="preserve">44 </w:t>
            </w:r>
            <w:proofErr w:type="spellStart"/>
            <w:r>
              <w:rPr>
                <w:sz w:val="22"/>
              </w:rPr>
              <w:t>Mio</w:t>
            </w:r>
            <w:proofErr w:type="spellEnd"/>
            <w:r>
              <w:rPr>
                <w:sz w:val="22"/>
              </w:rPr>
              <w:t xml:space="preserve"> Downloads der CWA</w:t>
            </w:r>
          </w:p>
          <w:p>
            <w:pPr>
              <w:pStyle w:val="Listenabsatz"/>
              <w:numPr>
                <w:ilvl w:val="0"/>
                <w:numId w:val="10"/>
              </w:numPr>
              <w:rPr>
                <w:sz w:val="22"/>
              </w:rPr>
            </w:pPr>
            <w:r>
              <w:rPr>
                <w:sz w:val="22"/>
              </w:rPr>
              <w:t xml:space="preserve">4 </w:t>
            </w:r>
            <w:proofErr w:type="spellStart"/>
            <w:r>
              <w:rPr>
                <w:sz w:val="22"/>
              </w:rPr>
              <w:t>Mio</w:t>
            </w:r>
            <w:proofErr w:type="spellEnd"/>
            <w:r>
              <w:rPr>
                <w:sz w:val="22"/>
              </w:rPr>
              <w:t xml:space="preserve"> geteilte Warnungen</w:t>
            </w:r>
          </w:p>
          <w:p>
            <w:pPr>
              <w:pStyle w:val="Listenabsatz"/>
              <w:numPr>
                <w:ilvl w:val="0"/>
                <w:numId w:val="10"/>
              </w:numPr>
              <w:rPr>
                <w:sz w:val="22"/>
              </w:rPr>
            </w:pPr>
            <w:r>
              <w:rPr>
                <w:sz w:val="22"/>
              </w:rPr>
              <w:t xml:space="preserve">Version 2.19 Update ermöglicht eine fehlertolerantere Zuordnung von Zertifikaten zu Personen. Zukünftig kann nun auch bei Unterscheidung des Geburtsdatums das Zertifikat korrekt einer Person zugeordnet werden </w:t>
            </w:r>
          </w:p>
          <w:p>
            <w:pPr>
              <w:pStyle w:val="Listenabsatz"/>
              <w:numPr>
                <w:ilvl w:val="0"/>
                <w:numId w:val="10"/>
              </w:numPr>
              <w:rPr>
                <w:sz w:val="22"/>
                <w:szCs w:val="22"/>
              </w:rPr>
            </w:pPr>
            <w:r>
              <w:rPr>
                <w:sz w:val="22"/>
              </w:rPr>
              <w:t>CoronaWarnApp hat den UXDA22-Preis gewonnen, Gewinn ging an SAP</w:t>
            </w:r>
          </w:p>
          <w:p>
            <w:pPr>
              <w:pStyle w:val="Listenabsatz"/>
              <w:numPr>
                <w:ilvl w:val="0"/>
                <w:numId w:val="10"/>
              </w:numPr>
              <w:rPr>
                <w:sz w:val="22"/>
                <w:szCs w:val="22"/>
              </w:rPr>
            </w:pPr>
            <w:r>
              <w:rPr>
                <w:sz w:val="22"/>
                <w:szCs w:val="22"/>
              </w:rPr>
              <w:t>Planung der Zukunft der CWA, mögliche Optionen sind das Einstellen, einen Wartungsprozess durchführen oder die Weiterführung</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r>
              <w:rPr>
                <w:sz w:val="22"/>
                <w:szCs w:val="22"/>
              </w:rPr>
              <w:t>(Scheida)</w:t>
            </w: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Anstieg der Hospitalisierungsrate der über 60-Jährigen</w:t>
            </w:r>
          </w:p>
          <w:p>
            <w:pPr>
              <w:pStyle w:val="Liste2"/>
              <w:rPr>
                <w:lang w:val="de-DE"/>
              </w:rPr>
            </w:pPr>
            <w:r>
              <w:rPr>
                <w:lang w:val="de-DE"/>
              </w:rPr>
              <w:t>Wichtig, die über 60-Jährigen für die Relevanz der Impfung zu sensibilisieren, Kommunikationsaktivitäten mit Fokus auf diese Risikogruppe</w:t>
            </w:r>
          </w:p>
          <w:p>
            <w:pPr>
              <w:pStyle w:val="Liste2"/>
              <w:rPr>
                <w:lang w:val="de-DE"/>
              </w:rPr>
            </w:pPr>
            <w:r>
              <w:rPr>
                <w:lang w:val="de-DE"/>
              </w:rPr>
              <w:t>BZgA hat derzeit noch keinen Kommunikationsschwerpunkt hierauf gelegt, nimmt dies aber mit</w:t>
            </w:r>
          </w:p>
          <w:p>
            <w:pPr>
              <w:pStyle w:val="Liste2"/>
              <w:rPr>
                <w:lang w:val="de-DE"/>
              </w:rPr>
            </w:pPr>
            <w:r>
              <w:rPr>
                <w:lang w:val="de-DE"/>
              </w:rPr>
              <w:t>P1 schickt Mittwoch einen Flyer für den Frühling rum</w:t>
            </w:r>
            <w:bookmarkStart w:id="1" w:name="_GoBack"/>
            <w:bookmarkEnd w:id="1"/>
            <w:r>
              <w:rPr>
                <w:lang w:val="de-DE"/>
              </w:rPr>
              <w:t>, nimmt die Anregung der Fokuslegung auf die Impfkampagne der über 60-Jährigen mit</w:t>
            </w:r>
          </w:p>
          <w:p>
            <w:pPr>
              <w:pStyle w:val="Liste2"/>
              <w:rPr>
                <w:lang w:val="de-DE"/>
              </w:rPr>
            </w:pPr>
            <w:r>
              <w:rPr>
                <w:lang w:val="de-DE"/>
              </w:rPr>
              <w:t xml:space="preserve">COSMO-Studie zeigt auf, dass sich Widerstände in der Altersgruppe dadurch ergeben, dass die Nebenwirkungen und das Risiko der Impfung überschätzt werden </w:t>
            </w:r>
          </w:p>
          <w:p>
            <w:pPr>
              <w:pStyle w:val="Liste2"/>
              <w:rPr>
                <w:lang w:val="de-DE"/>
              </w:rPr>
            </w:pPr>
            <w:r>
              <w:rPr>
                <w:lang w:val="de-DE"/>
              </w:rPr>
              <w:t>Noch nicht veröffentlichte Beobachtungen zeigen, dass die Übertragungen der Infektion im Menschen immer besser wird und die Infektionen in Tiermodellen erschwert ist. Das Virus könnte sich so von einer Zoonose zu einem Humanpathogen entwickeln. Es werden noch die Ergebnisse vom Paper abgewartet</w:t>
            </w:r>
          </w:p>
          <w:p>
            <w:pPr>
              <w:pStyle w:val="Liste2"/>
              <w:rPr>
                <w:lang w:val="de-DE"/>
              </w:rPr>
            </w:pPr>
            <w:r>
              <w:rPr>
                <w:lang w:val="de-DE"/>
              </w:rPr>
              <w:lastRenderedPageBreak/>
              <w:t xml:space="preserve">Derzeit findet eine Modellierung von P4 statt, wie viele Ungeimpfte eine Wildinfektion hatten </w:t>
            </w:r>
          </w:p>
          <w:p>
            <w:pPr>
              <w:pStyle w:val="Liste2"/>
              <w:rPr>
                <w:lang w:val="de-DE"/>
              </w:rPr>
            </w:pPr>
            <w:r>
              <w:rPr>
                <w:lang w:val="de-DE"/>
              </w:rPr>
              <w:t>In der Risikobewertung wird derzeit nicht direkt nach Altersgruppen differenziert</w:t>
            </w:r>
          </w:p>
          <w:p>
            <w:pPr>
              <w:pStyle w:val="Liste2"/>
              <w:rPr>
                <w:lang w:val="de-DE"/>
              </w:rPr>
            </w:pPr>
            <w:r>
              <w:rPr>
                <w:lang w:val="de-DE"/>
              </w:rPr>
              <w:t>Priming Impfung und nachfolgende Infektion als gute Kombination vor schwerem Verlauf, aber auch bei vorausgegangener Infektion auf die Relevanz der nachfolgenden Impfung für einen breiten Schutz hinweisen</w:t>
            </w:r>
          </w:p>
          <w:p>
            <w:pPr>
              <w:pStyle w:val="Liste2"/>
              <w:numPr>
                <w:ilvl w:val="0"/>
                <w:numId w:val="0"/>
              </w:numPr>
              <w:rPr>
                <w:b/>
                <w:lang w:val="de-DE"/>
              </w:rPr>
            </w:pPr>
            <w:proofErr w:type="spellStart"/>
            <w:r>
              <w:rPr>
                <w:b/>
                <w:lang w:val="de-DE"/>
              </w:rPr>
              <w:t>ToDo</w:t>
            </w:r>
            <w:proofErr w:type="spellEnd"/>
          </w:p>
          <w:p>
            <w:pPr>
              <w:pStyle w:val="Liste2"/>
              <w:numPr>
                <w:ilvl w:val="0"/>
                <w:numId w:val="0"/>
              </w:numPr>
              <w:rPr>
                <w:i/>
                <w:lang w:val="de-DE"/>
              </w:rPr>
            </w:pPr>
            <w:r>
              <w:rPr>
                <w:i/>
                <w:lang w:val="de-DE"/>
              </w:rPr>
              <w:t>Fokus der Kommunikationsaktivitäten der Impfung der Ü-60-Jährigen wird von Fr. Lein, Hr. Ommen und Hr. Wichmann mitgenommen</w:t>
            </w:r>
          </w:p>
          <w:p>
            <w:pPr>
              <w:pStyle w:val="Liste2"/>
              <w:numPr>
                <w:ilvl w:val="0"/>
                <w:numId w:val="0"/>
              </w:numPr>
              <w:ind w:left="473"/>
              <w:rPr>
                <w:lang w:val="de-DE"/>
              </w:rPr>
            </w:pPr>
            <w:r>
              <w:rPr>
                <w:lang w:val="de-DE"/>
              </w:rPr>
              <w:br/>
            </w:r>
          </w:p>
        </w:tc>
        <w:tc>
          <w:tcPr>
            <w:tcW w:w="1463" w:type="dxa"/>
          </w:tcPr>
          <w:p>
            <w:pPr>
              <w:rPr>
                <w:sz w:val="22"/>
                <w:szCs w:val="22"/>
              </w:rPr>
            </w:pPr>
          </w:p>
          <w:p>
            <w:pPr>
              <w:rPr>
                <w:sz w:val="22"/>
                <w:szCs w:val="22"/>
              </w:rPr>
            </w:pPr>
            <w:r>
              <w:rPr>
                <w:sz w:val="22"/>
                <w:szCs w:val="22"/>
              </w:rPr>
              <w:t>Abt. 3</w:t>
            </w:r>
            <w:r>
              <w:rPr>
                <w:sz w:val="22"/>
                <w:szCs w:val="22"/>
              </w:rPr>
              <w:br/>
              <w:t>(Mielke)</w:t>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Nichts neues, Stellungnahme für Herbst wird morgen im Expertenrat besprochen</w:t>
            </w:r>
          </w:p>
        </w:tc>
        <w:tc>
          <w:tcPr>
            <w:tcW w:w="1463" w:type="dxa"/>
          </w:tcPr>
          <w:p>
            <w:pPr>
              <w:rPr>
                <w:sz w:val="22"/>
                <w:szCs w:val="22"/>
              </w:rPr>
            </w:pPr>
            <w:r>
              <w:rPr>
                <w:sz w:val="22"/>
                <w:szCs w:val="22"/>
              </w:rPr>
              <w:t>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(nichts berichtet)</w:t>
            </w:r>
          </w:p>
          <w:p>
            <w:pPr>
              <w:pStyle w:val="2"/>
            </w:pPr>
            <w:r>
              <w:t>Presse</w:t>
            </w:r>
          </w:p>
          <w:p>
            <w:pPr>
              <w:pStyle w:val="Liste1"/>
            </w:pPr>
            <w:r>
              <w:t>Freitag ist BPK geplant, Hinweis auf Impfkampagne der Ü-60-Jährigen</w:t>
            </w:r>
          </w:p>
          <w:p>
            <w:pPr>
              <w:pStyle w:val="2"/>
            </w:pPr>
            <w:r>
              <w:t>P1</w:t>
            </w:r>
          </w:p>
          <w:p>
            <w:pPr>
              <w:pStyle w:val="Liste1"/>
              <w:rPr>
                <w:i/>
              </w:rPr>
            </w:pPr>
            <w:r>
              <w:t>Flyer für Verhaltenstipps für das Frühjahr wird Mittwoch weitergesendet</w:t>
            </w:r>
            <w:r>
              <w:br/>
            </w:r>
          </w:p>
        </w:tc>
        <w:tc>
          <w:tcPr>
            <w:tcW w:w="1463" w:type="dxa"/>
          </w:tcPr>
          <w:p>
            <w:pPr>
              <w:rPr>
                <w:sz w:val="22"/>
                <w:szCs w:val="22"/>
              </w:rPr>
            </w:pPr>
          </w:p>
          <w:p>
            <w:pPr>
              <w:rPr>
                <w:sz w:val="22"/>
                <w:szCs w:val="22"/>
              </w:rPr>
            </w:pPr>
            <w:r>
              <w:rPr>
                <w:sz w:val="22"/>
                <w:szCs w:val="22"/>
              </w:rPr>
              <w:t>BZgA (Ommen)</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 (Degen)</w:t>
            </w:r>
            <w:r>
              <w:rPr>
                <w:sz w:val="22"/>
                <w:szCs w:val="22"/>
              </w:rPr>
              <w:br/>
            </w:r>
          </w:p>
          <w:p>
            <w:pPr>
              <w:rPr>
                <w:sz w:val="22"/>
                <w:szCs w:val="22"/>
              </w:rPr>
            </w:pPr>
          </w:p>
          <w:p>
            <w:pPr>
              <w:rPr>
                <w:sz w:val="22"/>
                <w:szCs w:val="22"/>
              </w:rPr>
            </w:pPr>
            <w:r>
              <w:rPr>
                <w:sz w:val="22"/>
                <w:szCs w:val="22"/>
              </w:rPr>
              <w:t xml:space="preserve">P1 </w:t>
            </w:r>
          </w:p>
          <w:p>
            <w:pPr>
              <w:rPr>
                <w:sz w:val="22"/>
                <w:szCs w:val="22"/>
              </w:rPr>
            </w:pPr>
            <w:r>
              <w:rPr>
                <w:sz w:val="22"/>
                <w:szCs w:val="22"/>
              </w:rPr>
              <w:t>(Lein)</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 xml:space="preserve">Zeitnahes Abschaffen/Einschränken der Bürgerteste, Änderung der </w:t>
            </w:r>
            <w:proofErr w:type="spellStart"/>
            <w:r>
              <w:t>TestVO</w:t>
            </w:r>
            <w:proofErr w:type="spellEnd"/>
          </w:p>
          <w:p>
            <w:pPr>
              <w:pStyle w:val="Liste1"/>
              <w:rPr>
                <w:u w:val="single"/>
              </w:rPr>
            </w:pPr>
            <w:r>
              <w:rPr>
                <w:u w:val="single"/>
              </w:rPr>
              <w:t>Diskussion</w:t>
            </w:r>
          </w:p>
          <w:p>
            <w:pPr>
              <w:pStyle w:val="Liste1"/>
            </w:pPr>
            <w:r>
              <w:t>In Pflegeheimen häufig kein eigenes Testangebot, sondern Verweis auf öffentliche Teststationen. Wenn die geschlossen werden, sind Pflegeheime derzeit nicht gut aufgestellt, die Reduktionen zu kompensieren</w:t>
            </w:r>
          </w:p>
          <w:p>
            <w:pPr>
              <w:pStyle w:val="Liste1"/>
            </w:pPr>
            <w:r>
              <w:t xml:space="preserve">Auch für </w:t>
            </w:r>
            <w:proofErr w:type="spellStart"/>
            <w:r>
              <w:t>Genesenennachweise</w:t>
            </w:r>
            <w:proofErr w:type="spellEnd"/>
            <w:r>
              <w:t xml:space="preserve"> sind Testangebote noch relevant</w:t>
            </w:r>
          </w:p>
          <w:p>
            <w:pPr>
              <w:pStyle w:val="Liste1"/>
            </w:pPr>
            <w:r>
              <w:t>Ist derzeit auf Leitungsebene des BMG im Gespräch, Donnerstag nächste BMG-Runde</w:t>
            </w:r>
          </w:p>
          <w:p>
            <w:pPr>
              <w:pStyle w:val="Liste1"/>
            </w:pPr>
            <w:r>
              <w:t>AGI: Ausspruch für weitestgehende Reduktion der Testung</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 xml:space="preserve">Mittwoch Treffen der STIKO für Beschlussentwurf mit den Themen der Beibehaltung der Impfempfehlung für Kinder im </w:t>
            </w:r>
            <w:r>
              <w:lastRenderedPageBreak/>
              <w:t>Alter von 5-11 Jahren und der Empfehlung für Personen mit einem Impfstatus mit nicht in der EU zugelassenen Impfstoffen</w:t>
            </w:r>
          </w:p>
          <w:p>
            <w:pPr>
              <w:pStyle w:val="Liste1"/>
            </w:pPr>
            <w:r>
              <w:t xml:space="preserve">Beschlussentwurf geht Ende der Woche in das </w:t>
            </w:r>
            <w:proofErr w:type="spellStart"/>
            <w:r>
              <w:t>Stellungnahmeverfahren</w:t>
            </w:r>
            <w:proofErr w:type="spellEnd"/>
          </w:p>
          <w:p>
            <w:pPr>
              <w:pStyle w:val="Liste1"/>
            </w:pPr>
            <w:r>
              <w:t xml:space="preserve">Treffen zwischen RKI, PEI, dem Gesundheitsminister und </w:t>
            </w:r>
            <w:proofErr w:type="spellStart"/>
            <w:r>
              <w:t>BioNTech</w:t>
            </w:r>
            <w:proofErr w:type="spellEnd"/>
            <w:r>
              <w:t xml:space="preserve">. Themen sollen u.a. neue Daten bezüglich eines </w:t>
            </w:r>
            <w:proofErr w:type="spellStart"/>
            <w:r>
              <w:t>omikronspezifischen</w:t>
            </w:r>
            <w:proofErr w:type="spellEnd"/>
            <w:r>
              <w:t xml:space="preserve"> Impfstoffes sowie der Ausblick bzgl. der Zulassung eines Impfstoffes unter 5 Jahren sein</w:t>
            </w:r>
          </w:p>
          <w:p>
            <w:pPr>
              <w:pStyle w:val="Liste1"/>
            </w:pPr>
            <w:r>
              <w:t>Insgesamt wurden seit Start der Verabreichung der 4. Impfstoffdosis vor 4 Wochen 1,1 Mio. Impfstoffdosen verabreicht. Ggf. Planung einer Kampagne, wie die Empfehlung zur 4. Impfung besser kommuniziert werden kann</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r>
              <w:rPr>
                <w:sz w:val="22"/>
                <w:szCs w:val="22"/>
              </w:rPr>
              <w:lastRenderedPageBreak/>
              <w:t>(Wichmann)</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Labordiagnostik</w:t>
            </w:r>
          </w:p>
          <w:p>
            <w:pPr>
              <w:pStyle w:val="2"/>
            </w:pPr>
            <w:r>
              <w:t>FG17</w:t>
            </w:r>
          </w:p>
          <w:p>
            <w:pPr>
              <w:pStyle w:val="2"/>
              <w:rPr>
                <w:b w:val="0"/>
                <w:sz w:val="22"/>
                <w:szCs w:val="22"/>
              </w:rPr>
            </w:pPr>
            <w:r>
              <w:rPr>
                <w:b w:val="0"/>
                <w:sz w:val="22"/>
                <w:szCs w:val="22"/>
              </w:rPr>
              <w:t xml:space="preserve">Beobachtungen der Existenzen von Hybrid-Varianten, die eine Kombination aus Teilen der Varianten sind. Diese gab es bereits bei Alpha und B.1.1.7., wiesen jedoch keinen Vorteil auf und sind ausgestorben. Die Hybrid-Variante aus Delta und Omikron wird unter dem Namen XD geführt, die Hybride aus BA.1 und BA.2 als XE. In Deutschland gab es einen Fall der Delta BA.1 Rekombinante. Ein Isolat aus Delta und Omikron wird derzeit phänotypisch untersucht. Die Herausgabe der Analyse zum Antigenprofil vom </w:t>
            </w:r>
            <w:proofErr w:type="spellStart"/>
            <w:r>
              <w:rPr>
                <w:b w:val="0"/>
                <w:sz w:val="22"/>
                <w:szCs w:val="22"/>
              </w:rPr>
              <w:t>Pasteurinstitut</w:t>
            </w:r>
            <w:proofErr w:type="spellEnd"/>
            <w:r>
              <w:rPr>
                <w:b w:val="0"/>
                <w:sz w:val="22"/>
                <w:szCs w:val="22"/>
              </w:rPr>
              <w:t xml:space="preserve"> hat das erwartete Spikeprotein bestätigt. Von jeder Variante gibt es nicht mehr als 100 Genome.</w:t>
            </w:r>
          </w:p>
          <w:p>
            <w:pPr>
              <w:pStyle w:val="2"/>
              <w:rPr>
                <w:b w:val="0"/>
              </w:rPr>
            </w:pPr>
          </w:p>
          <w:p>
            <w:pPr>
              <w:pStyle w:val="Liste1"/>
            </w:pPr>
            <w:r>
              <w:t>Virologisches Sentinel hatte in den letzten 4 Wochen ## Proben, davon:</w:t>
            </w:r>
          </w:p>
          <w:p>
            <w:pPr>
              <w:pStyle w:val="Liste2"/>
            </w:pPr>
            <w:r>
              <w:t># SARS-CoV-2</w:t>
            </w:r>
          </w:p>
          <w:p>
            <w:pPr>
              <w:pStyle w:val="Liste2"/>
            </w:pPr>
            <w:r>
              <w:t>## Rhinovirus</w:t>
            </w:r>
          </w:p>
          <w:p>
            <w:pPr>
              <w:pStyle w:val="Liste2"/>
            </w:pPr>
            <w:r>
              <w:t xml:space="preserve">## </w:t>
            </w:r>
            <w:proofErr w:type="spellStart"/>
            <w:r>
              <w:t>Parainfluenzavirus</w:t>
            </w:r>
            <w:proofErr w:type="spellEnd"/>
          </w:p>
          <w:p>
            <w:pPr>
              <w:pStyle w:val="Liste2"/>
            </w:pPr>
            <w:r>
              <w:t xml:space="preserve">## </w:t>
            </w:r>
            <w:proofErr w:type="spellStart"/>
            <w:r>
              <w:t>saisonale</w:t>
            </w:r>
            <w:proofErr w:type="spellEnd"/>
            <w:r>
              <w:t xml:space="preserve"> (</w:t>
            </w:r>
            <w:proofErr w:type="spellStart"/>
            <w:r>
              <w:t>endemische</w:t>
            </w:r>
            <w:proofErr w:type="spellEnd"/>
            <w:r>
              <w:t xml:space="preserve">) </w:t>
            </w:r>
            <w:proofErr w:type="spellStart"/>
            <w:r>
              <w:t>Coronaviren</w:t>
            </w:r>
            <w:proofErr w:type="spellEnd"/>
            <w:r>
              <w:t xml:space="preserve">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r>
              <w:rPr>
                <w:sz w:val="22"/>
                <w:szCs w:val="22"/>
              </w:rPr>
              <w:t>(Wolff)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t>(Niebank)</w:t>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p>
            <w:pPr>
              <w:rPr>
                <w:sz w:val="22"/>
                <w:szCs w:val="22"/>
              </w:rPr>
            </w:pPr>
            <w:r>
              <w:rPr>
                <w:sz w:val="22"/>
                <w:szCs w:val="22"/>
              </w:rPr>
              <w:t>(Brunke)</w:t>
            </w:r>
          </w:p>
        </w:tc>
      </w:tr>
      <w:tr>
        <w:tc>
          <w:tcPr>
            <w:tcW w:w="684" w:type="dxa"/>
          </w:tcPr>
          <w:p>
            <w:pPr>
              <w:rPr>
                <w:b/>
              </w:rPr>
            </w:pPr>
            <w:r>
              <w:rPr>
                <w:b/>
              </w:rPr>
              <w:t>13</w:t>
            </w:r>
          </w:p>
        </w:tc>
        <w:tc>
          <w:tcPr>
            <w:tcW w:w="6824" w:type="dxa"/>
          </w:tcPr>
          <w:p>
            <w:pPr>
              <w:pStyle w:val="1"/>
              <w:rPr>
                <w:sz w:val="22"/>
              </w:rPr>
            </w:pPr>
            <w:r>
              <w:t>Surveillance</w:t>
            </w:r>
          </w:p>
          <w:p>
            <w:pPr>
              <w:pStyle w:val="Liste1"/>
              <w:rPr>
                <w:highlight w:val="yellow"/>
              </w:rPr>
            </w:pPr>
            <w:r>
              <w:rPr>
                <w:highlight w:val="yellow"/>
              </w:rPr>
              <w:lastRenderedPageBreak/>
              <w:t>am 16.03.22 wurde in DEMIS die Eingabemaske für die elektronische Meldung von Hospitalisierung in Bezug auf COVID-19 für Krankenhäuser installiert</w:t>
            </w:r>
          </w:p>
          <w:p>
            <w:pPr>
              <w:pStyle w:val="Liste1"/>
            </w:pPr>
            <w:r>
              <w:t>Donnerstag wurden erste Pilotversuche mit Krankenhäusern gestartet, der Bericht hierüber wird Mittwoch vorgestellt</w:t>
            </w:r>
          </w:p>
          <w:p>
            <w:pPr>
              <w:pStyle w:val="Liste1"/>
              <w:rPr>
                <w:u w:val="single"/>
              </w:rPr>
            </w:pPr>
            <w:r>
              <w:rPr>
                <w:u w:val="single"/>
              </w:rPr>
              <w:t>Diskussion</w:t>
            </w:r>
          </w:p>
          <w:p>
            <w:pPr>
              <w:pStyle w:val="Liste1"/>
              <w:rPr>
                <w:u w:val="single"/>
              </w:rPr>
            </w:pPr>
            <w:r>
              <w:t>Die Anbindung der Krankenhäuser an DEMIS ist ein guter Zeitpunkt, um zukünftig auch den Hospitalisierungsgrund auszuweisen (COVID als Haupt- oder Nebendiagnose)</w:t>
            </w:r>
            <w:r>
              <w:rPr>
                <w:u w:val="single"/>
              </w:rPr>
              <w:t xml:space="preserve"> </w:t>
            </w:r>
          </w:p>
          <w:p>
            <w:pPr>
              <w:pStyle w:val="Liste1"/>
            </w:pPr>
            <w:r>
              <w:t>Dies kann ggf. unsystematisch sein, da die Entscheidungsmöglichkeit vom ärztlichen Personal, die Haupt- oder Nebendiagnose festzulegen, individuell ist</w:t>
            </w:r>
          </w:p>
          <w:p>
            <w:pPr>
              <w:pStyle w:val="Liste1"/>
            </w:pPr>
            <w:r>
              <w:t>Frage ob/wie die Daten veröffentlicht werden sollen (ggf. mit Hinweis auf begrenzte Aussagefähigkeit und Hinweis auf die Instrumente, die die Lage besser bewerten)</w:t>
            </w:r>
          </w:p>
          <w:p>
            <w:pPr>
              <w:pStyle w:val="Liste1"/>
            </w:pPr>
            <w:r>
              <w:t>Kein Starten einer erneuten Diskussion, da es bereits schon eine Einigung gab, dass mit der Umstellung der Hospitalisierungsmeldungen der Grund angegeben werden soll</w:t>
            </w:r>
          </w:p>
          <w:p>
            <w:pPr>
              <w:pStyle w:val="Liste1"/>
              <w:numPr>
                <w:ilvl w:val="0"/>
                <w:numId w:val="0"/>
              </w:numPr>
              <w:ind w:left="473"/>
            </w:pPr>
          </w:p>
        </w:tc>
        <w:tc>
          <w:tcPr>
            <w:tcW w:w="1463" w:type="dxa"/>
          </w:tcPr>
          <w:p>
            <w:pPr>
              <w:rPr>
                <w:sz w:val="22"/>
                <w:szCs w:val="22"/>
              </w:rPr>
            </w:pPr>
          </w:p>
          <w:p>
            <w:pPr>
              <w:rPr>
                <w:sz w:val="22"/>
                <w:szCs w:val="22"/>
              </w:rPr>
            </w:pPr>
            <w:r>
              <w:rPr>
                <w:sz w:val="22"/>
                <w:szCs w:val="22"/>
              </w:rPr>
              <w:t>FG 32</w:t>
            </w:r>
          </w:p>
          <w:p>
            <w:pPr>
              <w:rPr>
                <w:sz w:val="22"/>
                <w:szCs w:val="22"/>
              </w:rPr>
            </w:pPr>
            <w:r>
              <w:rPr>
                <w:sz w:val="22"/>
                <w:szCs w:val="22"/>
              </w:rPr>
              <w:t>(Diercke)</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t>(</w:t>
            </w:r>
            <w:proofErr w:type="gramStart"/>
            <w:r>
              <w:rPr>
                <w:sz w:val="22"/>
                <w:szCs w:val="22"/>
              </w:rPr>
              <w:t>an der Heiden</w:t>
            </w:r>
            <w:proofErr w:type="gramEnd"/>
            <w:r>
              <w:rPr>
                <w:sz w:val="22"/>
                <w:szCs w:val="22"/>
              </w:rPr>
              <w:t>)</w:t>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Aufruf zur Anmeldung zur IAR Durchführung nächsten Montag. Anmeldungen gehen an Meike Schöll, die Frist endet heute</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t>(</w:t>
            </w:r>
            <w:proofErr w:type="gramStart"/>
            <w:r>
              <w:rPr>
                <w:sz w:val="22"/>
                <w:szCs w:val="22"/>
              </w:rPr>
              <w:t>an der Heiden</w:t>
            </w:r>
            <w:proofErr w:type="gramEnd"/>
            <w:r>
              <w:rPr>
                <w:sz w:val="22"/>
                <w:szCs w:val="22"/>
              </w:rPr>
              <w:t>)</w:t>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23.03.2022,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13:58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4AAE74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3638D"/>
    <w:multiLevelType w:val="hybridMultilevel"/>
    <w:tmpl w:val="AA0E8AB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B08AF"/>
    <w:multiLevelType w:val="hybridMultilevel"/>
    <w:tmpl w:val="AFF4C614"/>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0710C59"/>
    <w:multiLevelType w:val="hybridMultilevel"/>
    <w:tmpl w:val="C422C464"/>
    <w:lvl w:ilvl="0" w:tplc="04090001">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9" w15:restartNumberingAfterBreak="0">
    <w:nsid w:val="60DC1A23"/>
    <w:multiLevelType w:val="hybridMultilevel"/>
    <w:tmpl w:val="DC367BF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735774"/>
    <w:multiLevelType w:val="hybridMultilevel"/>
    <w:tmpl w:val="67F81A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3"/>
  </w:num>
  <w:num w:numId="7">
    <w:abstractNumId w:val="6"/>
  </w:num>
  <w:num w:numId="8">
    <w:abstractNumId w:val="8"/>
  </w:num>
  <w:num w:numId="9">
    <w:abstractNumId w:val="10"/>
  </w:num>
  <w:num w:numId="10">
    <w:abstractNumId w:val="9"/>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3246468">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3-2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4880C-8A4A-41D9-B59A-446CEE3B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7829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Lein, Ines</cp:lastModifiedBy>
  <cp:revision>5</cp:revision>
  <cp:lastPrinted>2022-03-14T15:43:00Z</cp:lastPrinted>
  <dcterms:created xsi:type="dcterms:W3CDTF">2022-03-21T16:34:00Z</dcterms:created>
  <dcterms:modified xsi:type="dcterms:W3CDTF">2022-03-22T07:54:00Z</dcterms:modified>
</cp:coreProperties>
</file>