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11.04.2022,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Ute Rexroth</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Julia Hermes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Agata Mikolajewska</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montags)</w:t>
            </w:r>
          </w:p>
          <w:p>
            <w:pPr>
              <w:pStyle w:val="Liste2"/>
            </w:pPr>
            <w:r>
              <w:t xml:space="preserve">(nicht </w:t>
            </w:r>
            <w:proofErr w:type="spellStart"/>
            <w:r>
              <w:t>berichtet</w:t>
            </w:r>
            <w:proofErr w:type="spellEnd"/>
            <w:r>
              <w:t>)</w:t>
            </w:r>
          </w:p>
          <w:p>
            <w:pPr>
              <w:pStyle w:val="2"/>
            </w:pPr>
            <w:r>
              <w:t xml:space="preserve">National </w:t>
            </w:r>
          </w:p>
          <w:p>
            <w:pPr>
              <w:pStyle w:val="Liste2"/>
              <w:rPr>
                <w:lang w:val="de-DE"/>
              </w:rPr>
            </w:pPr>
            <w:r>
              <w:rPr>
                <w:lang w:val="de-DE"/>
              </w:rPr>
              <w:t xml:space="preserve">Fallzahlen, Todesfälle, Trend, Folien </w:t>
            </w:r>
            <w:hyperlink r:id="rId14" w:history="1">
              <w:r>
                <w:rPr>
                  <w:rStyle w:val="Hyperlink"/>
                  <w:lang w:val="de-DE"/>
                </w:rPr>
                <w:t>hier</w:t>
              </w:r>
            </w:hyperlink>
          </w:p>
          <w:p>
            <w:pPr>
              <w:pStyle w:val="Liste2"/>
              <w:rPr>
                <w:lang w:val="de-DE"/>
              </w:rPr>
            </w:pPr>
            <w:r>
              <w:rPr>
                <w:lang w:val="de-DE"/>
              </w:rPr>
              <w:t xml:space="preserve">SurvNet übermittelt: 22.677.986 (+30.789), davon 131.728 (+13) Todesfälle </w:t>
            </w:r>
          </w:p>
          <w:p>
            <w:pPr>
              <w:pStyle w:val="Liste2"/>
              <w:rPr>
                <w:lang w:val="de-DE"/>
              </w:rPr>
            </w:pPr>
            <w:r>
              <w:rPr>
                <w:lang w:val="de-DE"/>
              </w:rPr>
              <w:t xml:space="preserve">7-Tage-Inzidenz:  1.080,0/100.000 </w:t>
            </w:r>
            <w:proofErr w:type="spellStart"/>
            <w:r>
              <w:rPr>
                <w:lang w:val="de-DE"/>
              </w:rPr>
              <w:t>Einw</w:t>
            </w:r>
            <w:proofErr w:type="spellEnd"/>
            <w:r>
              <w:rPr>
                <w:lang w:val="de-DE"/>
              </w:rPr>
              <w:t>.</w:t>
            </w:r>
          </w:p>
          <w:p>
            <w:pPr>
              <w:pStyle w:val="Liste2"/>
              <w:rPr>
                <w:lang w:val="de-DE"/>
              </w:rPr>
            </w:pPr>
            <w:proofErr w:type="spellStart"/>
            <w:r>
              <w:rPr>
                <w:lang w:val="de-DE"/>
              </w:rPr>
              <w:t>Impfmonitoring</w:t>
            </w:r>
            <w:proofErr w:type="spellEnd"/>
            <w:r>
              <w:rPr>
                <w:lang w:val="de-DE"/>
              </w:rPr>
              <w:t>: Geimpfte mit 1. Dosis 63.713.640 (76,6%), mit vollständiger Impfung 49.054.067 (59,0%)</w:t>
            </w:r>
          </w:p>
          <w:p>
            <w:pPr>
              <w:pStyle w:val="Liste2"/>
              <w:rPr>
                <w:lang w:val="de-DE"/>
              </w:rPr>
            </w:pPr>
            <w:r>
              <w:rPr>
                <w:lang w:val="de-DE"/>
              </w:rPr>
              <w:t>Verlauf der 7-Tage-Inzidenz der Bundesländer:</w:t>
            </w:r>
          </w:p>
          <w:p>
            <w:pPr>
              <w:pStyle w:val="Liste3"/>
            </w:pPr>
            <w:r>
              <w:t>Rückgang der 7-Tages-Inzidenz in allen Bundesländern</w:t>
            </w:r>
          </w:p>
          <w:p>
            <w:pPr>
              <w:pStyle w:val="Liste3"/>
            </w:pPr>
            <w:r>
              <w:t>Aktivität im Südosten, MV, NS</w:t>
            </w:r>
          </w:p>
          <w:p>
            <w:pPr>
              <w:pStyle w:val="Liste3"/>
            </w:pPr>
            <w:r>
              <w:t>Rückgang in allen Altersgruppen</w:t>
            </w:r>
          </w:p>
          <w:p>
            <w:pPr>
              <w:pStyle w:val="Liste2"/>
            </w:pPr>
            <w:proofErr w:type="spellStart"/>
            <w:r>
              <w:t>Diskussion</w:t>
            </w:r>
            <w:proofErr w:type="spellEnd"/>
          </w:p>
          <w:p>
            <w:pPr>
              <w:pStyle w:val="Liste3"/>
            </w:pPr>
            <w:r>
              <w:t>An den Ostertagen soll ein Disclaimer geschaltet werden, da das LZ nicht besetzt ist. Disclaimer kommt auf Dashboard und Fallzahlen-Seite</w:t>
            </w:r>
          </w:p>
          <w:p>
            <w:pPr>
              <w:pStyle w:val="Liste3"/>
              <w:numPr>
                <w:ilvl w:val="0"/>
                <w:numId w:val="0"/>
              </w:numPr>
              <w:ind w:left="1193"/>
            </w:pPr>
          </w:p>
          <w:p>
            <w:pPr>
              <w:pStyle w:val="Liste3"/>
              <w:numPr>
                <w:ilvl w:val="0"/>
                <w:numId w:val="0"/>
              </w:numPr>
              <w:ind w:left="1193"/>
            </w:pP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 xml:space="preserve">(nicht </w:t>
            </w:r>
            <w:proofErr w:type="spellStart"/>
            <w:r>
              <w:t>berichtet</w:t>
            </w:r>
            <w:proofErr w:type="spellEnd"/>
            <w:r>
              <w:t>)</w:t>
            </w:r>
          </w:p>
          <w:p>
            <w:pPr>
              <w:pStyle w:val="Liste2"/>
            </w:pPr>
            <w:r>
              <w:t>ARS-</w:t>
            </w:r>
            <w:proofErr w:type="spellStart"/>
            <w:r>
              <w:t>Daten</w:t>
            </w:r>
            <w:proofErr w:type="spellEnd"/>
            <w:r>
              <w:t xml:space="preserve"> </w:t>
            </w:r>
          </w:p>
          <w:p>
            <w:pPr>
              <w:pStyle w:val="Liste2"/>
            </w:pPr>
            <w:r>
              <w:t xml:space="preserve">(nicht </w:t>
            </w:r>
            <w:proofErr w:type="spellStart"/>
            <w:r>
              <w:t>berichtet</w:t>
            </w:r>
            <w:proofErr w:type="spellEnd"/>
            <w:r>
              <w:t>)</w:t>
            </w:r>
          </w:p>
          <w:p>
            <w:pPr>
              <w:pStyle w:val="Liste2"/>
            </w:pPr>
            <w:r>
              <w:t>VOC-</w:t>
            </w:r>
            <w:proofErr w:type="spellStart"/>
            <w:r>
              <w:t>Bericht</w:t>
            </w:r>
            <w:proofErr w:type="spellEnd"/>
          </w:p>
          <w:p>
            <w:pPr>
              <w:pStyle w:val="Liste2"/>
            </w:pPr>
            <w:r>
              <w:t xml:space="preserve">(nicht </w:t>
            </w:r>
            <w:proofErr w:type="spellStart"/>
            <w:r>
              <w:t>berichtet</w:t>
            </w:r>
            <w:proofErr w:type="spellEnd"/>
            <w:r>
              <w:t>)</w:t>
            </w:r>
          </w:p>
          <w:p>
            <w:pPr>
              <w:pStyle w:val="Liste2"/>
            </w:pPr>
            <w:proofErr w:type="spellStart"/>
            <w:r>
              <w:t>Molekulare</w:t>
            </w:r>
            <w:proofErr w:type="spellEnd"/>
            <w:r>
              <w:t xml:space="preserve"> Surveillance (</w:t>
            </w:r>
            <w:proofErr w:type="spellStart"/>
            <w:r>
              <w:t>nur</w:t>
            </w:r>
            <w:proofErr w:type="spellEnd"/>
            <w:r>
              <w:t xml:space="preserve"> </w:t>
            </w:r>
            <w:proofErr w:type="spellStart"/>
            <w:r>
              <w:t>mittwochs</w:t>
            </w:r>
            <w:proofErr w:type="spellEnd"/>
            <w:r>
              <w:t>)</w:t>
            </w:r>
          </w:p>
          <w:p>
            <w:pPr>
              <w:pStyle w:val="Liste2"/>
            </w:pPr>
            <w:r>
              <w:t xml:space="preserve">(nicht </w:t>
            </w:r>
            <w:proofErr w:type="spellStart"/>
            <w:r>
              <w:t>berichtet</w:t>
            </w:r>
            <w:proofErr w:type="spellEnd"/>
            <w:r>
              <w: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t xml:space="preserve">(nicht </w:t>
            </w:r>
            <w:proofErr w:type="spellStart"/>
            <w:r>
              <w:t>berichtet</w:t>
            </w:r>
            <w:proofErr w:type="spellEnd"/>
            <w:r>
              <w: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 xml:space="preserve">(nicht </w:t>
            </w:r>
            <w:proofErr w:type="spellStart"/>
            <w:r>
              <w:t>berichtet</w:t>
            </w:r>
            <w:proofErr w:type="spellEnd"/>
            <w:r>
              <w: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 xml:space="preserve">(nicht </w:t>
            </w:r>
            <w:proofErr w:type="spellStart"/>
            <w:r>
              <w:t>berichtet</w:t>
            </w:r>
            <w:proofErr w:type="spellEnd"/>
            <w:r>
              <w: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nabsatz"/>
              <w:rPr>
                <w:b/>
              </w:rPr>
            </w:pPr>
          </w:p>
          <w:p>
            <w:pPr>
              <w:pStyle w:val="Liste2"/>
              <w:numPr>
                <w:ilvl w:val="0"/>
                <w:numId w:val="0"/>
              </w:numPr>
              <w:ind w:left="720"/>
              <w:rPr>
                <w:lang w:val="de-DE"/>
              </w:rPr>
            </w:pPr>
          </w:p>
          <w:p>
            <w:pPr>
              <w:pStyle w:val="Liste2"/>
              <w:numPr>
                <w:ilvl w:val="0"/>
                <w:numId w:val="0"/>
              </w:numPr>
              <w:rPr>
                <w:b/>
                <w:lang w:val="de-DE"/>
              </w:rPr>
            </w:pPr>
          </w:p>
          <w:p>
            <w:pPr>
              <w:pStyle w:val="Liste2"/>
              <w:numPr>
                <w:ilvl w:val="0"/>
                <w:numId w:val="0"/>
              </w:numPr>
              <w:rPr>
                <w:b/>
                <w:lang w:val="de-DE"/>
              </w:rPr>
            </w:pPr>
            <w:proofErr w:type="spellStart"/>
            <w:r>
              <w:rPr>
                <w:b/>
                <w:lang w:val="de-DE"/>
              </w:rPr>
              <w:t>ToDo</w:t>
            </w:r>
            <w:proofErr w:type="spellEnd"/>
            <w:r>
              <w:rPr>
                <w:i/>
                <w:lang w:val="de-DE"/>
              </w:rPr>
              <w:t xml:space="preserve"> Disclaimer stellen, dass über Ostertage die Fallzahlen nicht ausgewiesen werden, auch Zirkulation an Presse, damit der Disclaimer auch auf Fallzahlenseite geschaltet werden kann (Diercke und Presse)</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t>2</w:t>
            </w:r>
          </w:p>
        </w:tc>
        <w:tc>
          <w:tcPr>
            <w:tcW w:w="6824" w:type="dxa"/>
          </w:tcPr>
          <w:p>
            <w:pPr>
              <w:rPr>
                <w:b/>
                <w:i/>
                <w:color w:val="8DB3E2" w:themeColor="text2" w:themeTint="66"/>
                <w:sz w:val="28"/>
                <w:szCs w:val="28"/>
              </w:rPr>
            </w:pPr>
            <w:r>
              <w:rPr>
                <w:b/>
                <w:sz w:val="28"/>
                <w:szCs w:val="28"/>
              </w:rPr>
              <w:t xml:space="preserve">Update Impfen </w:t>
            </w:r>
            <w:r>
              <w:rPr>
                <w:b/>
                <w:i/>
                <w:color w:val="8DB3E2" w:themeColor="text2" w:themeTint="66"/>
                <w:sz w:val="28"/>
                <w:szCs w:val="28"/>
              </w:rPr>
              <w:t>(nur montags)</w:t>
            </w:r>
          </w:p>
          <w:p>
            <w:pPr>
              <w:pStyle w:val="Listenabsatz"/>
              <w:numPr>
                <w:ilvl w:val="0"/>
                <w:numId w:val="12"/>
              </w:numPr>
              <w:rPr>
                <w:sz w:val="22"/>
              </w:rPr>
            </w:pPr>
            <w:r>
              <w:rPr>
                <w:sz w:val="22"/>
              </w:rPr>
              <w:t xml:space="preserve">Fokus der STIKO auf Impfung der 5-11-Jährigen, verminderte Impfstoffwirksamkeit von </w:t>
            </w:r>
            <w:proofErr w:type="spellStart"/>
            <w:r>
              <w:rPr>
                <w:sz w:val="22"/>
              </w:rPr>
              <w:t>BioNTech</w:t>
            </w:r>
            <w:proofErr w:type="spellEnd"/>
            <w:r>
              <w:rPr>
                <w:sz w:val="22"/>
              </w:rPr>
              <w:t xml:space="preserve"> unter </w:t>
            </w:r>
            <w:proofErr w:type="spellStart"/>
            <w:r>
              <w:rPr>
                <w:sz w:val="22"/>
              </w:rPr>
              <w:t>Omicron</w:t>
            </w:r>
            <w:proofErr w:type="spellEnd"/>
          </w:p>
          <w:p>
            <w:pPr>
              <w:pStyle w:val="Listenabsatz"/>
              <w:numPr>
                <w:ilvl w:val="0"/>
                <w:numId w:val="12"/>
              </w:numPr>
              <w:rPr>
                <w:sz w:val="22"/>
              </w:rPr>
            </w:pPr>
            <w:r>
              <w:rPr>
                <w:sz w:val="22"/>
              </w:rPr>
              <w:lastRenderedPageBreak/>
              <w:t xml:space="preserve">Verzerrte Hospitalisierungsdaten von Geimpften, wenn </w:t>
            </w:r>
            <w:proofErr w:type="spellStart"/>
            <w:r>
              <w:rPr>
                <w:sz w:val="22"/>
              </w:rPr>
              <w:t>Covid</w:t>
            </w:r>
            <w:proofErr w:type="spellEnd"/>
            <w:r>
              <w:rPr>
                <w:sz w:val="22"/>
              </w:rPr>
              <w:t xml:space="preserve"> die Nebendiagnose war</w:t>
            </w:r>
          </w:p>
          <w:p>
            <w:pPr>
              <w:pStyle w:val="Listenabsatz"/>
              <w:numPr>
                <w:ilvl w:val="0"/>
                <w:numId w:val="12"/>
              </w:numPr>
              <w:rPr>
                <w:sz w:val="22"/>
              </w:rPr>
            </w:pPr>
            <w:r>
              <w:rPr>
                <w:sz w:val="22"/>
              </w:rPr>
              <w:t>BMG hat Wunsch, auf Impfdashboard Grafik im Wochenbericht darzustellen</w:t>
            </w:r>
          </w:p>
          <w:p>
            <w:pPr>
              <w:pStyle w:val="Listenabsatz"/>
              <w:numPr>
                <w:ilvl w:val="0"/>
                <w:numId w:val="12"/>
              </w:numPr>
              <w:rPr>
                <w:sz w:val="22"/>
              </w:rPr>
            </w:pPr>
            <w:r>
              <w:rPr>
                <w:sz w:val="22"/>
              </w:rPr>
              <w:t xml:space="preserve">Frage nach Dauer der Fortführung des </w:t>
            </w:r>
            <w:proofErr w:type="spellStart"/>
            <w:r>
              <w:rPr>
                <w:sz w:val="22"/>
              </w:rPr>
              <w:t>Impfdashboardes</w:t>
            </w:r>
            <w:proofErr w:type="spellEnd"/>
            <w:r>
              <w:rPr>
                <w:sz w:val="22"/>
              </w:rPr>
              <w:t xml:space="preserve">, derzeit kein Einstellen geplant, wird aber mit auf die Agenda für den Jour Fixe mit dem BMG genommen </w:t>
            </w:r>
          </w:p>
          <w:p>
            <w:pPr>
              <w:pStyle w:val="Listenabsatz"/>
              <w:numPr>
                <w:ilvl w:val="0"/>
                <w:numId w:val="12"/>
              </w:numPr>
              <w:rPr>
                <w:sz w:val="22"/>
              </w:rPr>
            </w:pPr>
            <w:r>
              <w:rPr>
                <w:sz w:val="22"/>
                <w:highlight w:val="yellow"/>
              </w:rPr>
              <w:t>Bitte um Ergänzung FG33/Wichmann</w:t>
            </w:r>
          </w:p>
          <w:p>
            <w:pPr>
              <w:pStyle w:val="Listenabsatz"/>
              <w:rPr>
                <w:sz w:val="22"/>
              </w:rPr>
            </w:pPr>
          </w:p>
          <w:p>
            <w:pPr>
              <w:ind w:left="360"/>
              <w:rPr>
                <w:i/>
              </w:rPr>
            </w:pPr>
            <w:proofErr w:type="spellStart"/>
            <w:r>
              <w:rPr>
                <w:b/>
                <w:i/>
                <w:sz w:val="22"/>
              </w:rPr>
              <w:t>ToDo</w:t>
            </w:r>
            <w:proofErr w:type="spellEnd"/>
            <w:r>
              <w:rPr>
                <w:i/>
                <w:sz w:val="22"/>
              </w:rPr>
              <w:t xml:space="preserve">: Besprechung der Zukunft des </w:t>
            </w:r>
            <w:proofErr w:type="spellStart"/>
            <w:r>
              <w:rPr>
                <w:i/>
                <w:sz w:val="22"/>
              </w:rPr>
              <w:t>Impfdashboardes</w:t>
            </w:r>
            <w:proofErr w:type="spellEnd"/>
            <w:r>
              <w:rPr>
                <w:i/>
                <w:sz w:val="22"/>
              </w:rPr>
              <w:t xml:space="preserve"> im Jour Fixe</w:t>
            </w:r>
          </w:p>
        </w:tc>
        <w:tc>
          <w:tcPr>
            <w:tcW w:w="1463" w:type="dxa"/>
          </w:tcPr>
          <w:p>
            <w:pPr>
              <w:rPr>
                <w:sz w:val="22"/>
                <w:szCs w:val="22"/>
              </w:rPr>
            </w:pPr>
            <w:r>
              <w:rPr>
                <w:sz w:val="22"/>
                <w:szCs w:val="22"/>
              </w:rPr>
              <w:lastRenderedPageBreak/>
              <w:t>FG33</w:t>
            </w:r>
          </w:p>
          <w:p>
            <w:pPr>
              <w:rPr>
                <w:sz w:val="22"/>
                <w:szCs w:val="22"/>
              </w:rPr>
            </w:pPr>
            <w:r>
              <w:rPr>
                <w:sz w:val="22"/>
                <w:szCs w:val="22"/>
              </w:rPr>
              <w:t>Wichmann</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RKI hat Anfrage erhalten aus mehreren zentralasiatischen Ländern, einen Austausch zu COVID zu organisieren</w:t>
            </w:r>
          </w:p>
          <w:p>
            <w:pPr>
              <w:pStyle w:val="Liste1"/>
            </w:pPr>
            <w:r>
              <w:t>Verstärkter Wunsch des BMG um Austausch und Bündelung von Wissen</w:t>
            </w:r>
          </w:p>
          <w:p>
            <w:pPr>
              <w:pStyle w:val="Liste1"/>
            </w:pPr>
            <w:r>
              <w:t>Planung eines 90-minütigen Webinars für Kirgistan und Turkmenistan</w:t>
            </w:r>
          </w:p>
          <w:p>
            <w:pPr>
              <w:pStyle w:val="Liste1"/>
            </w:pPr>
            <w:r>
              <w:t xml:space="preserve">Teilnahme von Lars Schaade, Wunsch um 2 weitere </w:t>
            </w:r>
            <w:proofErr w:type="spellStart"/>
            <w:r>
              <w:t>Kolleg:innen</w:t>
            </w:r>
            <w:proofErr w:type="spellEnd"/>
            <w:r>
              <w:t xml:space="preserve"> (FG32, FG38) für 10-minütigen Vortrag</w:t>
            </w:r>
          </w:p>
          <w:p>
            <w:pPr>
              <w:pStyle w:val="Liste1"/>
            </w:pPr>
            <w:r>
              <w:t>Organisation wird von Herrn Kloth übernommen</w:t>
            </w:r>
          </w:p>
          <w:p>
            <w:pPr>
              <w:pStyle w:val="Liste1"/>
            </w:pPr>
            <w:r>
              <w:t>Termin voraussichtlich in 2 Wochen (Ende April/Anfang Mai)</w:t>
            </w:r>
          </w:p>
          <w:p>
            <w:pPr>
              <w:pStyle w:val="Liste1"/>
              <w:numPr>
                <w:ilvl w:val="0"/>
                <w:numId w:val="0"/>
              </w:numPr>
              <w:ind w:left="113"/>
            </w:pPr>
          </w:p>
          <w:p>
            <w:pPr>
              <w:pStyle w:val="Liste1"/>
              <w:numPr>
                <w:ilvl w:val="0"/>
                <w:numId w:val="0"/>
              </w:numPr>
              <w:ind w:left="113"/>
              <w:rPr>
                <w:i/>
              </w:rPr>
            </w:pPr>
            <w:proofErr w:type="spellStart"/>
            <w:r>
              <w:rPr>
                <w:b/>
                <w:i/>
              </w:rPr>
              <w:t>ToDo</w:t>
            </w:r>
            <w:proofErr w:type="spellEnd"/>
            <w:r>
              <w:rPr>
                <w:i/>
              </w:rPr>
              <w:t xml:space="preserve">: Teilnahme zwei </w:t>
            </w:r>
            <w:proofErr w:type="spellStart"/>
            <w:r>
              <w:rPr>
                <w:i/>
              </w:rPr>
              <w:t>Kolleg:innen</w:t>
            </w:r>
            <w:proofErr w:type="spellEnd"/>
            <w:r>
              <w:rPr>
                <w:i/>
              </w:rPr>
              <w:t xml:space="preserve"> aus FG32/FG38 an Webinar mit 10-minütigem Vortrag</w:t>
            </w:r>
          </w:p>
          <w:p>
            <w:pPr>
              <w:pStyle w:val="Liste3"/>
              <w:numPr>
                <w:ilvl w:val="0"/>
                <w:numId w:val="0"/>
              </w:numPr>
            </w:pPr>
          </w:p>
        </w:tc>
        <w:tc>
          <w:tcPr>
            <w:tcW w:w="1463" w:type="dxa"/>
          </w:tcPr>
          <w:p>
            <w:pPr>
              <w:rPr>
                <w:sz w:val="22"/>
                <w:szCs w:val="22"/>
              </w:rPr>
            </w:pPr>
            <w:r>
              <w:rPr>
                <w:sz w:val="22"/>
                <w:szCs w:val="22"/>
              </w:rPr>
              <w:t>ZIG</w:t>
            </w:r>
          </w:p>
          <w:p>
            <w:pPr>
              <w:rPr>
                <w:sz w:val="22"/>
                <w:szCs w:val="22"/>
              </w:rPr>
            </w:pPr>
            <w:r>
              <w:rPr>
                <w:sz w:val="22"/>
                <w:szCs w:val="22"/>
              </w:rPr>
              <w:t>(Hanefeld)</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p>
            <w:pPr>
              <w:pStyle w:val="Listenabsatz"/>
              <w:numPr>
                <w:ilvl w:val="0"/>
                <w:numId w:val="10"/>
              </w:numPr>
              <w:rPr>
                <w:sz w:val="22"/>
                <w:szCs w:val="22"/>
              </w:rPr>
            </w:pPr>
            <w:r>
              <w:rPr>
                <w:sz w:val="22"/>
                <w:szCs w:val="22"/>
              </w:rPr>
              <w:t>(nicht berichtet)</w:t>
            </w:r>
          </w:p>
        </w:tc>
        <w:tc>
          <w:tcPr>
            <w:tcW w:w="1463" w:type="dxa"/>
          </w:tcPr>
          <w:p>
            <w:pPr>
              <w:rPr>
                <w:sz w:val="22"/>
                <w:szCs w:val="22"/>
              </w:rPr>
            </w:pPr>
          </w:p>
          <w:p>
            <w:pPr>
              <w:rPr>
                <w:sz w:val="22"/>
                <w:szCs w:val="22"/>
              </w:rPr>
            </w:pPr>
            <w:r>
              <w:rPr>
                <w:sz w:val="22"/>
                <w:szCs w:val="22"/>
              </w:rPr>
              <w:t>FG21</w:t>
            </w:r>
            <w:r>
              <w:rPr>
                <w:sz w:val="22"/>
                <w:szCs w:val="22"/>
              </w:rPr>
              <w:br/>
            </w:r>
          </w:p>
        </w:tc>
      </w:tr>
      <w:tr>
        <w:tc>
          <w:tcPr>
            <w:tcW w:w="684" w:type="dxa"/>
          </w:tcPr>
          <w:p>
            <w:pPr>
              <w:rPr>
                <w:b/>
              </w:rPr>
            </w:pPr>
            <w:r>
              <w:rPr>
                <w:b/>
              </w:rPr>
              <w:t>5</w:t>
            </w:r>
          </w:p>
        </w:tc>
        <w:tc>
          <w:tcPr>
            <w:tcW w:w="6824" w:type="dxa"/>
          </w:tcPr>
          <w:p>
            <w:pPr>
              <w:pStyle w:val="1"/>
            </w:pPr>
            <w:r>
              <w:t>Aktuelle Risikobewertung</w:t>
            </w:r>
          </w:p>
          <w:p>
            <w:pPr>
              <w:pStyle w:val="Liste2"/>
              <w:numPr>
                <w:ilvl w:val="0"/>
                <w:numId w:val="0"/>
              </w:numPr>
              <w:ind w:left="833" w:hanging="360"/>
              <w:rPr>
                <w:lang w:val="de-DE"/>
              </w:rPr>
            </w:pPr>
            <w:r>
              <w:rPr>
                <w:lang w:val="de-DE"/>
              </w:rPr>
              <w:t>Anpassung der Risikobewertung zu COVID-19</w:t>
            </w:r>
          </w:p>
          <w:p>
            <w:pPr>
              <w:pStyle w:val="Liste2"/>
              <w:rPr>
                <w:lang w:val="de-DE"/>
              </w:rPr>
            </w:pPr>
            <w:r>
              <w:rPr>
                <w:lang w:val="de-DE"/>
              </w:rPr>
              <w:t>Dokument mit Anmerkungen/Kommentaren zirkulierte, derzeit nur Anmerkungen von Frau Glasmacher</w:t>
            </w:r>
          </w:p>
          <w:p>
            <w:pPr>
              <w:pStyle w:val="Liste2"/>
              <w:rPr>
                <w:lang w:val="de-DE"/>
              </w:rPr>
            </w:pPr>
            <w:r>
              <w:rPr>
                <w:lang w:val="de-DE"/>
              </w:rPr>
              <w:t>Erneute Zirkulation, mehrere Bereiche sollen angepasst werden (Risikobewertung deeskalieren, ggf. Empfehlungen vollständig streichen oder reduzieren, Deeskalation Übertragbarkeit, Krankheitsschwere, Ressourcenbelastung des Gesundheitssystems)</w:t>
            </w:r>
          </w:p>
          <w:p>
            <w:pPr>
              <w:pStyle w:val="Liste2"/>
              <w:rPr>
                <w:lang w:val="de-DE"/>
              </w:rPr>
            </w:pPr>
            <w:r>
              <w:rPr>
                <w:lang w:val="de-DE"/>
              </w:rPr>
              <w:t>Wie ist die derzeitige Ressourcenbelastung des Gesundheitssystems/der Kliniken? Deutschlandweit etwas entspannter, lokal aber teilweise noch überlastet/angespannt</w:t>
            </w:r>
          </w:p>
          <w:p>
            <w:pPr>
              <w:pStyle w:val="Liste2"/>
              <w:rPr>
                <w:lang w:val="de-DE"/>
              </w:rPr>
            </w:pPr>
            <w:r>
              <w:rPr>
                <w:lang w:val="de-DE"/>
              </w:rPr>
              <w:t>Dokument zirkuliert erneut, Bitte um Anmerkungen, Abstimmung über schriftlichen Weg, Finalisierung nächste Woche</w:t>
            </w:r>
          </w:p>
          <w:p>
            <w:pPr>
              <w:pStyle w:val="Liste2"/>
              <w:numPr>
                <w:ilvl w:val="0"/>
                <w:numId w:val="0"/>
              </w:numPr>
              <w:ind w:left="833"/>
              <w:rPr>
                <w:lang w:val="de-DE"/>
              </w:rPr>
            </w:pPr>
          </w:p>
          <w:p>
            <w:pPr>
              <w:pStyle w:val="Liste2"/>
              <w:numPr>
                <w:ilvl w:val="0"/>
                <w:numId w:val="0"/>
              </w:numPr>
              <w:rPr>
                <w:b/>
                <w:lang w:val="de-DE"/>
              </w:rPr>
            </w:pPr>
            <w:proofErr w:type="spellStart"/>
            <w:r>
              <w:rPr>
                <w:b/>
                <w:lang w:val="de-DE"/>
              </w:rPr>
              <w:t>ToDo</w:t>
            </w:r>
            <w:proofErr w:type="spellEnd"/>
          </w:p>
          <w:p>
            <w:pPr>
              <w:pStyle w:val="Liste2"/>
              <w:numPr>
                <w:ilvl w:val="0"/>
                <w:numId w:val="0"/>
              </w:numPr>
              <w:rPr>
                <w:i/>
                <w:lang w:val="de-DE"/>
              </w:rPr>
            </w:pPr>
            <w:r>
              <w:rPr>
                <w:i/>
                <w:lang w:val="de-DE"/>
              </w:rPr>
              <w:t>Dokument Risikobewertung überarbeiten, schriftliche Abstimmung, da nächster Krisenstab erst am 20.4. stattfindet.</w:t>
            </w:r>
          </w:p>
          <w:p>
            <w:pPr>
              <w:pStyle w:val="Liste2"/>
              <w:numPr>
                <w:ilvl w:val="0"/>
                <w:numId w:val="0"/>
              </w:numPr>
              <w:ind w:left="473"/>
              <w:rPr>
                <w:lang w:val="de-DE"/>
              </w:rPr>
            </w:pPr>
            <w:r>
              <w:rPr>
                <w:lang w:val="de-DE"/>
              </w:rPr>
              <w:br/>
            </w:r>
          </w:p>
        </w:tc>
        <w:tc>
          <w:tcPr>
            <w:tcW w:w="1463" w:type="dxa"/>
          </w:tcPr>
          <w:p>
            <w:pPr>
              <w:rPr>
                <w:sz w:val="22"/>
                <w:szCs w:val="22"/>
              </w:rPr>
            </w:pPr>
          </w:p>
          <w:p>
            <w:pPr>
              <w:rPr>
                <w:sz w:val="22"/>
                <w:szCs w:val="22"/>
              </w:rPr>
            </w:pPr>
            <w:r>
              <w:rPr>
                <w:sz w:val="22"/>
                <w:szCs w:val="22"/>
              </w:rPr>
              <w:t>Abt. 3</w:t>
            </w:r>
            <w:r>
              <w:rPr>
                <w:sz w:val="22"/>
                <w:szCs w:val="22"/>
              </w:rPr>
              <w:br/>
              <w:t>(Rexroth, Alle)</w:t>
            </w:r>
          </w:p>
          <w:p>
            <w:pPr>
              <w:rPr>
                <w:sz w:val="22"/>
                <w:szCs w:val="22"/>
              </w:rPr>
            </w:pPr>
          </w:p>
        </w:tc>
      </w:tr>
      <w:tr>
        <w:tc>
          <w:tcPr>
            <w:tcW w:w="684" w:type="dxa"/>
          </w:tcPr>
          <w:p>
            <w:pPr>
              <w:rPr>
                <w:b/>
              </w:rPr>
            </w:pPr>
            <w:r>
              <w:rPr>
                <w:b/>
              </w:rPr>
              <w:lastRenderedPageBreak/>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Diese Woche fand keine Sitzung statt, nächste Sitzung am nächsten Dienstag, dort auch Besprechung der Stellungnahme zu Pflege- und Altenheim  </w:t>
            </w:r>
          </w:p>
        </w:tc>
        <w:tc>
          <w:tcPr>
            <w:tcW w:w="1463" w:type="dxa"/>
          </w:tcPr>
          <w:p>
            <w:pPr>
              <w:rPr>
                <w:sz w:val="22"/>
                <w:szCs w:val="22"/>
              </w:rPr>
            </w:pPr>
            <w:r>
              <w:rPr>
                <w:sz w:val="22"/>
                <w:szCs w:val="22"/>
              </w:rPr>
              <w:t>Wieler</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da, Bericht von Wichmann)</w:t>
            </w:r>
          </w:p>
          <w:p>
            <w:pPr>
              <w:pStyle w:val="Liste1"/>
            </w:pPr>
            <w:r>
              <w:t xml:space="preserve">Sitzung Kampagne Finanzausschuss. Wunsch aus Bundestag der kritischen Evaluation der Höhe der Ausgabe in Impfkampagnen, da trotz der Höhe der Investition in Impfkampagnen die Impfquote nicht entsprechend war. Noch viel Verunsicherung/Wissensfragen in Bevölkerung bzgl. bspw. Nebenwirkungen. Stärkerer Fokus auf Kampagnen, die zielgruppenorientiert, evidenzbasiert sind und mit stärkerer Evaluation verfolgt werden </w:t>
            </w:r>
          </w:p>
          <w:p>
            <w:pPr>
              <w:pStyle w:val="2"/>
            </w:pPr>
            <w:r>
              <w:t>Presse</w:t>
            </w:r>
          </w:p>
          <w:p>
            <w:pPr>
              <w:pStyle w:val="Liste1"/>
            </w:pPr>
            <w:r>
              <w:t>Auf Twitter die 600.000 Follower überschritten, RKI ist der zweitgrößte Behördenkanal in Deutschland</w:t>
            </w:r>
          </w:p>
          <w:p>
            <w:pPr>
              <w:pStyle w:val="Liste1"/>
            </w:pPr>
            <w:r>
              <w:t xml:space="preserve">Botschaft am Donnerstag bezieht sich auf die Treffen, die über die Feiertage/Ostertage/Ramadan stattfinden; Verweis auf den Flyer von P1 bezüglich </w:t>
            </w:r>
            <w:proofErr w:type="spellStart"/>
            <w:r>
              <w:t>Tips</w:t>
            </w:r>
            <w:proofErr w:type="spellEnd"/>
            <w:r>
              <w:t>/Schutz im Frühling</w:t>
            </w:r>
          </w:p>
          <w:p>
            <w:pPr>
              <w:pStyle w:val="2"/>
            </w:pPr>
            <w:r>
              <w:t>P1</w:t>
            </w:r>
          </w:p>
          <w:p>
            <w:pPr>
              <w:pStyle w:val="Liste1"/>
              <w:rPr>
                <w:i/>
              </w:rPr>
            </w:pPr>
            <w:r>
              <w:t xml:space="preserve">Aufbereitung der </w:t>
            </w:r>
            <w:proofErr w:type="spellStart"/>
            <w:r>
              <w:t>Tips</w:t>
            </w:r>
            <w:proofErr w:type="spellEnd"/>
            <w:r>
              <w:t xml:space="preserve"> fürs Frühjahr, diese Woche dazu Post auf Instagram </w:t>
            </w:r>
            <w:r>
              <w:br/>
            </w:r>
          </w:p>
        </w:tc>
        <w:tc>
          <w:tcPr>
            <w:tcW w:w="1463" w:type="dxa"/>
          </w:tcPr>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w:t>
            </w:r>
          </w:p>
          <w:p>
            <w:pPr>
              <w:rPr>
                <w:sz w:val="22"/>
                <w:szCs w:val="22"/>
              </w:rPr>
            </w:pPr>
            <w:r>
              <w:rPr>
                <w:sz w:val="22"/>
                <w:szCs w:val="22"/>
              </w:rPr>
              <w:t>(Leuker)</w:t>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numPr>
                <w:ilvl w:val="0"/>
                <w:numId w:val="0"/>
              </w:numPr>
              <w:ind w:left="473" w:hanging="360"/>
            </w:pPr>
            <w:r>
              <w:t>GMK-Beschlüsse und Lauterbach-Kehrtwende zu Quarantäne- und Isolationsregelungen</w:t>
            </w:r>
          </w:p>
          <w:p>
            <w:pPr>
              <w:pStyle w:val="Liste1"/>
            </w:pPr>
            <w:r>
              <w:t xml:space="preserve">Kehrtwende BMG: Vorschlag der freiwilligen Isolation nach positiver Testung wurde verworfen. Sowohl für die allgemeine Bevölkerung als auch für den medizinischen Bereich soll eine behördliche Isolation </w:t>
            </w:r>
            <w:proofErr w:type="spellStart"/>
            <w:r>
              <w:t>angeorndet</w:t>
            </w:r>
            <w:proofErr w:type="spellEnd"/>
            <w:r>
              <w:t xml:space="preserve"> werden </w:t>
            </w:r>
          </w:p>
          <w:p>
            <w:pPr>
              <w:pStyle w:val="Liste1"/>
            </w:pPr>
            <w:r>
              <w:t>Freitag fand eine Sonder-AGI und Jour Fixe statt</w:t>
            </w:r>
          </w:p>
          <w:p>
            <w:pPr>
              <w:pStyle w:val="Liste1"/>
            </w:pPr>
            <w:r>
              <w:t xml:space="preserve">RKI soll zunächst reaktiv und nicht proaktiv agieren. Abwarten bis weitere Entschlüsse auf höherer Ebene abgestimmt werden, Erwartung auf </w:t>
            </w:r>
            <w:proofErr w:type="spellStart"/>
            <w:r>
              <w:t>heute nachmittag</w:t>
            </w:r>
            <w:proofErr w:type="spellEnd"/>
          </w:p>
          <w:p>
            <w:pPr>
              <w:pStyle w:val="Liste1"/>
            </w:pPr>
            <w:r>
              <w:t xml:space="preserve">Wunsch des BMG der wissenschaftlichen Nachlieferung/Argumentation bei Festlegung auf bestimmte Anzahl Isolation (Erwartung 5 Tage), </w:t>
            </w:r>
            <w:proofErr w:type="spellStart"/>
            <w:r>
              <w:t>covid</w:t>
            </w:r>
            <w:proofErr w:type="spellEnd"/>
            <w:r>
              <w:t xml:space="preserve"> </w:t>
            </w:r>
            <w:proofErr w:type="spellStart"/>
            <w:r>
              <w:t>strategy</w:t>
            </w:r>
            <w:proofErr w:type="spellEnd"/>
            <w:r>
              <w:t xml:space="preserve"> </w:t>
            </w:r>
            <w:proofErr w:type="spellStart"/>
            <w:r>
              <w:t>calculator</w:t>
            </w:r>
            <w:proofErr w:type="spellEnd"/>
            <w:r>
              <w:t xml:space="preserve"> kann hierzu herangezogen werden</w:t>
            </w:r>
          </w:p>
          <w:p>
            <w:pPr>
              <w:pStyle w:val="Liste1"/>
              <w:numPr>
                <w:ilvl w:val="0"/>
                <w:numId w:val="0"/>
              </w:numPr>
              <w:ind w:left="473"/>
            </w:pPr>
          </w:p>
          <w:p>
            <w:pPr>
              <w:pStyle w:val="Liste1"/>
              <w:numPr>
                <w:ilvl w:val="0"/>
                <w:numId w:val="0"/>
              </w:numPr>
              <w:ind w:left="473"/>
              <w:rPr>
                <w:b/>
              </w:rPr>
            </w:pPr>
            <w:r>
              <w:rPr>
                <w:b/>
              </w:rPr>
              <w:t>Diskussion</w:t>
            </w:r>
          </w:p>
          <w:p>
            <w:pPr>
              <w:pStyle w:val="Liste1"/>
            </w:pPr>
            <w:r>
              <w:t xml:space="preserve">Es soll kein </w:t>
            </w:r>
            <w:proofErr w:type="spellStart"/>
            <w:r>
              <w:t>Präzendenzfall</w:t>
            </w:r>
            <w:proofErr w:type="spellEnd"/>
            <w:r>
              <w:t xml:space="preserve"> werden, dass politische Vorgaben nachträglich wissenschaftlich begründet werden, eher </w:t>
            </w:r>
            <w:r>
              <w:lastRenderedPageBreak/>
              <w:t>Anreichung von Begleitmaterial zu den Vorgaben, vorsichtige Formulierung</w:t>
            </w:r>
          </w:p>
          <w:p>
            <w:pPr>
              <w:pStyle w:val="Liste1"/>
            </w:pPr>
            <w:r>
              <w:t>Primär wohl Argumentationslieferung seitens des RKIs, welches Restrisiko bei einer Reduzierung der Isolationstage bleibt und Auswirkungen der Entscheidungen aus Sicht des RKIs</w:t>
            </w:r>
          </w:p>
          <w:p>
            <w:pPr>
              <w:pStyle w:val="Liste1"/>
            </w:pPr>
            <w:r>
              <w:t>Heute Eingang Erlass vom BMG zu Fragen zu Meldepflicht, Symptome, derzeitiger Bearbeitungsstand an FAQs, mögliche Termine der Veröffentlichung der Überarbeitung des Isolationsdokumentes, wurde zunächst zurückgestellt und mit Verweis auf GMK-Treffen heute pausiert</w:t>
            </w:r>
          </w:p>
          <w:p>
            <w:pPr>
              <w:pStyle w:val="Liste1"/>
            </w:pPr>
            <w:r>
              <w:t>Überarbeitung des Eckpunktepapiers, dass es an Länder zirkulieren kann und langfristig auch darüber hinaus, Einpflegung weiterer wissenschaftlicher Grundlagen (bereits 3 Studien von Hrn. Mielke eingepflegt)</w:t>
            </w:r>
          </w:p>
          <w:p>
            <w:pPr>
              <w:pStyle w:val="Liste1"/>
            </w:pPr>
            <w:r>
              <w:t xml:space="preserve">Bis Ende April Vorlage als </w:t>
            </w:r>
            <w:proofErr w:type="spellStart"/>
            <w:r>
              <w:t>Gesamptpaket</w:t>
            </w:r>
            <w:proofErr w:type="spellEnd"/>
            <w:r>
              <w:t xml:space="preserve"> mit Risikobewertung, Einpflegen der Tabelle zur Isolierungsdauer, Dokument inhaltliche Erklärung Strategiewechsel, Sonderdokumente für Alten- und Pflegeheime</w:t>
            </w:r>
          </w:p>
          <w:p>
            <w:pPr>
              <w:pStyle w:val="Liste1"/>
            </w:pPr>
            <w:r>
              <w:t>Reduzierung der niedrigschwelligen Testungen Symptomloser außer in Krankenhäusern, Altern- und Pflegeheimen</w:t>
            </w:r>
          </w:p>
          <w:p>
            <w:pPr>
              <w:pStyle w:val="Liste1"/>
            </w:pPr>
            <w:r>
              <w:t>Testungen in Schulungen damals auf expliziten Wunsch der Bundeskanzlerin aufgenommen, nicht RKI Schwerpunkt, welcher Stellenwert hat ein Test in den Schulen, wenn sich die Situation wieder verschärft?</w:t>
            </w:r>
          </w:p>
          <w:p>
            <w:pPr>
              <w:pStyle w:val="Liste1"/>
            </w:pPr>
            <w:r>
              <w:t>Effektstärken unterschiedlicher Teststrategien werden erforscht</w:t>
            </w:r>
          </w:p>
          <w:p>
            <w:pPr>
              <w:pStyle w:val="Liste1"/>
            </w:pPr>
            <w:r>
              <w:t>Verweis auf grundsätzliche strukturelle Verbesserungen der Verhältnisse in Schulen als Learning für den Herbst. Kann als Stellungnahme im Expertenrat, der sich an die Bundesregierung wendet, aufgenommen werden, ist der bessere Weg als über RKI</w:t>
            </w:r>
          </w:p>
          <w:p>
            <w:pPr>
              <w:pStyle w:val="Liste1"/>
              <w:numPr>
                <w:ilvl w:val="0"/>
                <w:numId w:val="0"/>
              </w:numPr>
              <w:ind w:left="473"/>
            </w:pPr>
          </w:p>
          <w:p>
            <w:pPr>
              <w:pStyle w:val="Liste1"/>
              <w:rPr>
                <w:b/>
              </w:rPr>
            </w:pPr>
            <w:r>
              <w:rPr>
                <w:b/>
              </w:rPr>
              <w:t>RKI-intern</w:t>
            </w:r>
          </w:p>
          <w:p>
            <w:pPr>
              <w:pStyle w:val="Liste1"/>
            </w:pPr>
            <w:r>
              <w:t xml:space="preserve">Auflistung/Gegenüberstellung der wesentlichen Unterschiede </w:t>
            </w:r>
            <w:proofErr w:type="spellStart"/>
            <w:r>
              <w:t>zwsichen</w:t>
            </w:r>
            <w:proofErr w:type="spellEnd"/>
            <w:r>
              <w:t xml:space="preserve"> </w:t>
            </w:r>
            <w:proofErr w:type="spellStart"/>
            <w:r>
              <w:t>Influneza</w:t>
            </w:r>
            <w:proofErr w:type="spellEnd"/>
            <w:r>
              <w:t xml:space="preserve"> und COVID-19, auch bzgl. der Relevanz der Meldung, ggf. Erstellung einer FAQ</w:t>
            </w:r>
          </w:p>
          <w:p>
            <w:pPr>
              <w:pStyle w:val="Liste1"/>
            </w:pPr>
            <w:r>
              <w:t xml:space="preserve">Unterscheiden, dass es sich bei COVID um einen </w:t>
            </w:r>
            <w:proofErr w:type="spellStart"/>
            <w:r>
              <w:t>neuaritigen</w:t>
            </w:r>
            <w:proofErr w:type="spellEnd"/>
            <w:r>
              <w:t xml:space="preserve"> Erreger in pandemischer Phase handelt, der einer Erkrankung gegenübergestellt wird, dessen Erreger seit Jahren zirkuliert. Eher Absehen von FAQ, eher Veröffentlichung einer Gegenüberstellung</w:t>
            </w:r>
          </w:p>
          <w:p>
            <w:pPr>
              <w:pStyle w:val="Liste1"/>
            </w:pPr>
            <w:r>
              <w:t>Berücksichtigen, dass das RKI lange von einem Vergleich abgesehen hat, kommunikatives Begleiten des Umschwenkens</w:t>
            </w:r>
          </w:p>
          <w:p>
            <w:pPr>
              <w:pStyle w:val="Liste1"/>
              <w:numPr>
                <w:ilvl w:val="0"/>
                <w:numId w:val="0"/>
              </w:numPr>
              <w:ind w:left="473"/>
            </w:pPr>
          </w:p>
          <w:p>
            <w:pPr>
              <w:pStyle w:val="Liste1"/>
              <w:numPr>
                <w:ilvl w:val="0"/>
                <w:numId w:val="0"/>
              </w:numPr>
              <w:ind w:left="473"/>
            </w:pPr>
            <w:proofErr w:type="spellStart"/>
            <w:r>
              <w:rPr>
                <w:b/>
                <w:i/>
              </w:rPr>
              <w:t>ToDo</w:t>
            </w:r>
            <w:proofErr w:type="spellEnd"/>
            <w:r>
              <w:t xml:space="preserve">: </w:t>
            </w:r>
            <w:r>
              <w:rPr>
                <w:i/>
              </w:rPr>
              <w:t>Erstellung einer Gegenüberstellung von Influenza und COVID bezüglich Meldewesen, Unterschiede, Gemeinsamkeiten (FG36, Fr. Buda) zu Herbst/Winter</w:t>
            </w:r>
            <w:r>
              <w:t xml:space="preserve"> </w:t>
            </w:r>
            <w:bookmarkStart w:id="1" w:name="_GoBack"/>
            <w:r>
              <w:t>(ID 5298)</w:t>
            </w:r>
            <w:bookmarkEnd w:id="1"/>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br/>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roofErr w:type="spellStart"/>
            <w:r>
              <w:rPr>
                <w:sz w:val="22"/>
                <w:szCs w:val="22"/>
                <w:lang w:val="en-GB"/>
              </w:rPr>
              <w:t>Präs</w:t>
            </w:r>
            <w:proofErr w:type="spellEnd"/>
            <w:r>
              <w:rPr>
                <w:sz w:val="22"/>
                <w:szCs w:val="22"/>
                <w:lang w:val="en-GB"/>
              </w:rPr>
              <w:t>, FG36</w:t>
            </w:r>
          </w:p>
        </w:tc>
      </w:tr>
      <w:tr>
        <w:tc>
          <w:tcPr>
            <w:tcW w:w="684" w:type="dxa"/>
          </w:tcPr>
          <w:p>
            <w:pPr>
              <w:rPr>
                <w:b/>
              </w:rPr>
            </w:pPr>
            <w:r>
              <w:rPr>
                <w:b/>
              </w:rPr>
              <w:lastRenderedPageBreak/>
              <w:t>9</w:t>
            </w:r>
          </w:p>
        </w:tc>
        <w:tc>
          <w:tcPr>
            <w:tcW w:w="6824" w:type="dxa"/>
          </w:tcPr>
          <w:p>
            <w:pPr>
              <w:spacing w:line="276" w:lineRule="auto"/>
              <w:rPr>
                <w:b/>
                <w:sz w:val="28"/>
              </w:rPr>
            </w:pPr>
            <w:r>
              <w:rPr>
                <w:b/>
                <w:sz w:val="28"/>
              </w:rPr>
              <w:t>Dokumente</w:t>
            </w:r>
          </w:p>
          <w:p>
            <w:pPr>
              <w:pStyle w:val="Liste1"/>
            </w:pPr>
            <w:r>
              <w:t>Isolierung Krankenhaus ist fertig</w:t>
            </w:r>
          </w:p>
          <w:p>
            <w:pPr>
              <w:pStyle w:val="Liste1"/>
            </w:pPr>
            <w:r>
              <w:t>Alten- und Pflege wartet auf finale Informationen aus GMK</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Liste1"/>
              <w:numPr>
                <w:ilvl w:val="0"/>
                <w:numId w:val="15"/>
              </w:numPr>
            </w:pPr>
            <w:r>
              <w:lastRenderedPageBreak/>
              <w:t>Thema Virusevolution bei ECDC und WHO: Viruslinie in Südafrika im Januar entdeckt, Abkömmling von BA.2, trägt zusätzliche Mutation</w:t>
            </w:r>
          </w:p>
          <w:p>
            <w:pPr>
              <w:pStyle w:val="Liste1"/>
              <w:numPr>
                <w:ilvl w:val="0"/>
                <w:numId w:val="15"/>
              </w:numPr>
            </w:pPr>
            <w:r>
              <w:t>Virale Spikeprotein Mutation: weitere Immunfluchteigenschaft (als Annahme), BA.4 und BA.5 genannt, sind untereinander ähnlich zueinander und nehmen erheblichen Anteil an Viruslast an</w:t>
            </w:r>
          </w:p>
          <w:p>
            <w:pPr>
              <w:pStyle w:val="Liste1"/>
              <w:numPr>
                <w:ilvl w:val="0"/>
                <w:numId w:val="15"/>
              </w:numPr>
            </w:pPr>
            <w:r>
              <w:t>Mutationen auch im März in GB und DK entdeckt</w:t>
            </w:r>
          </w:p>
          <w:p>
            <w:pPr>
              <w:pStyle w:val="Liste1"/>
              <w:numPr>
                <w:ilvl w:val="0"/>
                <w:numId w:val="15"/>
              </w:numPr>
            </w:pPr>
            <w:r>
              <w:t xml:space="preserve">Nach Analyse im </w:t>
            </w:r>
            <w:proofErr w:type="spellStart"/>
            <w:r>
              <w:t>Dashdatensatz</w:t>
            </w:r>
            <w:proofErr w:type="spellEnd"/>
            <w:r>
              <w:t>: in Deutschland 13 dieser Genome, derzeit wird eine Informationserstellung vorbereitet, Mutationen weiter unter Beobachtung</w:t>
            </w:r>
          </w:p>
          <w:p>
            <w:pPr>
              <w:pStyle w:val="Liste1"/>
              <w:numPr>
                <w:ilvl w:val="0"/>
                <w:numId w:val="0"/>
              </w:numPr>
              <w:ind w:left="720"/>
            </w:pPr>
          </w:p>
          <w:p>
            <w:pPr>
              <w:pStyle w:val="Liste1"/>
              <w:numPr>
                <w:ilvl w:val="0"/>
                <w:numId w:val="15"/>
              </w:numPr>
            </w:pPr>
            <w:r>
              <w:t>Virologisches Sentinel hatte in den letzten 4 Wochen ## Proben, davon:</w:t>
            </w:r>
          </w:p>
          <w:p>
            <w:pPr>
              <w:pStyle w:val="Liste2"/>
              <w:numPr>
                <w:ilvl w:val="0"/>
                <w:numId w:val="15"/>
              </w:numPr>
            </w:pPr>
            <w:r>
              <w:t># SARS-CoV-2</w:t>
            </w:r>
          </w:p>
          <w:p>
            <w:pPr>
              <w:pStyle w:val="Liste2"/>
              <w:numPr>
                <w:ilvl w:val="0"/>
                <w:numId w:val="15"/>
              </w:numPr>
            </w:pPr>
            <w:r>
              <w:t>## Rhinovirus</w:t>
            </w:r>
          </w:p>
          <w:p>
            <w:pPr>
              <w:pStyle w:val="Liste2"/>
              <w:numPr>
                <w:ilvl w:val="0"/>
                <w:numId w:val="15"/>
              </w:numPr>
            </w:pPr>
            <w:r>
              <w:t xml:space="preserve">## </w:t>
            </w:r>
            <w:proofErr w:type="spellStart"/>
            <w:r>
              <w:t>Parainfluenzavirus</w:t>
            </w:r>
            <w:proofErr w:type="spellEnd"/>
          </w:p>
          <w:p>
            <w:pPr>
              <w:pStyle w:val="Liste2"/>
              <w:numPr>
                <w:ilvl w:val="0"/>
                <w:numId w:val="15"/>
              </w:numPr>
            </w:pPr>
            <w:r>
              <w:t xml:space="preserve">## </w:t>
            </w:r>
            <w:proofErr w:type="spellStart"/>
            <w:r>
              <w:t>saisonale</w:t>
            </w:r>
            <w:proofErr w:type="spellEnd"/>
            <w:r>
              <w:t xml:space="preserve"> (</w:t>
            </w:r>
            <w:proofErr w:type="spellStart"/>
            <w:r>
              <w:t>endemische</w:t>
            </w:r>
            <w:proofErr w:type="spellEnd"/>
            <w:r>
              <w:t xml:space="preserve">) </w:t>
            </w:r>
            <w:proofErr w:type="spellStart"/>
            <w:r>
              <w:t>Coronaviren</w:t>
            </w:r>
            <w:proofErr w:type="spellEnd"/>
            <w:r>
              <w:t xml:space="preserve"> </w:t>
            </w:r>
          </w:p>
          <w:p>
            <w:pPr>
              <w:pStyle w:val="Liste2"/>
              <w:numPr>
                <w:ilvl w:val="0"/>
                <w:numId w:val="15"/>
              </w:numPr>
            </w:pPr>
            <w:r>
              <w:t>## Metapneumovirus</w:t>
            </w:r>
          </w:p>
          <w:p>
            <w:pPr>
              <w:pStyle w:val="Liste2"/>
              <w:numPr>
                <w:ilvl w:val="0"/>
                <w:numId w:val="15"/>
              </w:numPr>
            </w:pPr>
            <w:r>
              <w:t xml:space="preserve">## </w:t>
            </w:r>
            <w:proofErr w:type="spellStart"/>
            <w:r>
              <w:t>Influenzavirus</w:t>
            </w:r>
            <w:proofErr w:type="spellEnd"/>
          </w:p>
          <w:p>
            <w:pPr>
              <w:pStyle w:val="Liste2"/>
              <w:numPr>
                <w:ilvl w:val="0"/>
                <w:numId w:val="15"/>
              </w:numPr>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824" w:type="dxa"/>
          </w:tcPr>
          <w:p>
            <w:pPr>
              <w:pStyle w:val="1"/>
            </w:pPr>
            <w:r>
              <w:t>Klinisches Management/Entlassungsmanagement</w:t>
            </w:r>
          </w:p>
          <w:p>
            <w:pPr>
              <w:pStyle w:val="3"/>
              <w:numPr>
                <w:ilvl w:val="0"/>
                <w:numId w:val="0"/>
              </w:numPr>
              <w:spacing w:before="0"/>
              <w:rPr>
                <w:b w:val="0"/>
              </w:rPr>
            </w:pPr>
            <w:r>
              <w:rPr>
                <w:b w:val="0"/>
              </w:rPr>
              <w:t>Update zu Therapie</w:t>
            </w:r>
          </w:p>
          <w:p>
            <w:pPr>
              <w:pStyle w:val="3"/>
              <w:spacing w:before="0"/>
              <w:ind w:left="1077" w:hanging="357"/>
              <w:rPr>
                <w:b w:val="0"/>
              </w:rPr>
            </w:pPr>
            <w:r>
              <w:rPr>
                <w:b w:val="0"/>
              </w:rPr>
              <w:t>STAKOB bewertet neue Erkenntnisse zu ausgewählten Erregern und erarbeitet entsprechende Stellungnahmen für die Fachöffentlichkeit, bereitet Therapiehinweise von Patient:innen mit COVID-19 vor</w:t>
            </w:r>
          </w:p>
          <w:p>
            <w:pPr>
              <w:pStyle w:val="3"/>
              <w:spacing w:before="0"/>
              <w:ind w:left="1077" w:hanging="357"/>
              <w:rPr>
                <w:b w:val="0"/>
              </w:rPr>
            </w:pPr>
            <w:r>
              <w:rPr>
                <w:b w:val="0"/>
              </w:rPr>
              <w:t>Seit 06.04 neues Update</w:t>
            </w:r>
          </w:p>
          <w:p>
            <w:pPr>
              <w:pStyle w:val="3"/>
              <w:spacing w:before="0"/>
              <w:ind w:left="1077" w:hanging="357"/>
              <w:rPr>
                <w:b w:val="0"/>
              </w:rPr>
            </w:pPr>
            <w:r>
              <w:rPr>
                <w:b w:val="0"/>
              </w:rPr>
              <w:t>FG COVRIIN seit Mai 2020: schreibt Praxisberichte von Kliniken zu Kliniken, diese sind seit November 2020 in Form von Tabellen zusammengefasst</w:t>
            </w:r>
          </w:p>
          <w:p>
            <w:pPr>
              <w:pStyle w:val="3"/>
              <w:spacing w:before="0"/>
              <w:ind w:left="1077" w:hanging="357"/>
              <w:rPr>
                <w:b w:val="0"/>
              </w:rPr>
            </w:pPr>
            <w:r>
              <w:rPr>
                <w:b w:val="0"/>
              </w:rPr>
              <w:t xml:space="preserve">Unter www.rki.de/covid-19-therapie Therapiehinweise von FG STAKOB, FG COVRIIN, nationale </w:t>
            </w:r>
            <w:proofErr w:type="spellStart"/>
            <w:r>
              <w:rPr>
                <w:b w:val="0"/>
              </w:rPr>
              <w:t>Leitlinine</w:t>
            </w:r>
            <w:proofErr w:type="spellEnd"/>
            <w:r>
              <w:rPr>
                <w:b w:val="0"/>
              </w:rPr>
              <w:t xml:space="preserve"> und Stellungnahmen (s3-Leitlinie)</w:t>
            </w:r>
          </w:p>
          <w:p>
            <w:pPr>
              <w:pStyle w:val="3"/>
              <w:spacing w:before="0"/>
              <w:ind w:left="1077" w:hanging="357"/>
              <w:rPr>
                <w:b w:val="0"/>
              </w:rPr>
            </w:pPr>
            <w:r>
              <w:rPr>
                <w:b w:val="0"/>
              </w:rPr>
              <w:t xml:space="preserve">Überarbeitung: Erstellung Infografik COVID-19: Medikamentöse und nicht-medikamentöse Therapieempfehlungen nach Erkrankungsphase, Grafik wird nach wissenschaftlichen neuen Erkenntnissen stets angepasst. Grafik stellt eine Orientierungshilfe für </w:t>
            </w:r>
            <w:proofErr w:type="spellStart"/>
            <w:r>
              <w:rPr>
                <w:b w:val="0"/>
              </w:rPr>
              <w:t>Ärzt:innen</w:t>
            </w:r>
            <w:proofErr w:type="spellEnd"/>
            <w:r>
              <w:rPr>
                <w:b w:val="0"/>
              </w:rPr>
              <w:t xml:space="preserve"> dar, in denen nach unterschiedlichen Erkrankungsschweren (asymptomatisch/mild/schwer/kritisch), ambulant/hospitalisiert unterschieden werden kann und je nach Schweregrad unterschiedliche Therapieoptionen dargestellt werden </w:t>
            </w:r>
          </w:p>
          <w:p>
            <w:pPr>
              <w:pStyle w:val="3"/>
              <w:spacing w:before="0"/>
              <w:ind w:left="1077" w:hanging="357"/>
              <w:rPr>
                <w:b w:val="0"/>
              </w:rPr>
            </w:pPr>
            <w:r>
              <w:rPr>
                <w:b w:val="0"/>
              </w:rPr>
              <w:t xml:space="preserve">Therapieempfehlung in früher Phase ist die Gabe von monoklonalen neutralisierenden Antikörpern oder </w:t>
            </w:r>
            <w:proofErr w:type="spellStart"/>
            <w:r>
              <w:rPr>
                <w:b w:val="0"/>
              </w:rPr>
              <w:t>Virusstatika</w:t>
            </w:r>
            <w:proofErr w:type="spellEnd"/>
            <w:r>
              <w:rPr>
                <w:b w:val="0"/>
              </w:rPr>
              <w:t xml:space="preserve">, die bis auf </w:t>
            </w:r>
            <w:proofErr w:type="spellStart"/>
            <w:r>
              <w:rPr>
                <w:b w:val="0"/>
              </w:rPr>
              <w:t>Molnupiravir</w:t>
            </w:r>
            <w:proofErr w:type="spellEnd"/>
            <w:r>
              <w:rPr>
                <w:b w:val="0"/>
              </w:rPr>
              <w:t xml:space="preserve"> alle zugelassen sind</w:t>
            </w:r>
          </w:p>
          <w:p>
            <w:pPr>
              <w:pStyle w:val="3"/>
              <w:spacing w:before="0"/>
              <w:ind w:left="1077" w:hanging="357"/>
              <w:rPr>
                <w:b w:val="0"/>
              </w:rPr>
            </w:pPr>
            <w:r>
              <w:rPr>
                <w:b w:val="0"/>
              </w:rPr>
              <w:lastRenderedPageBreak/>
              <w:t>Die Gabe von monoklonalen Antikörpern gegen Omikron wird aktuell diskutiert, derzeit Informationen nur aus in vitro Daten, dort mehrfache Bestätigung, dass eine reduzierte Wirksamkeit bei BA.2 beobachtet wird, wird aktuell in Therapie aber noch eingesetzt</w:t>
            </w:r>
          </w:p>
          <w:p>
            <w:pPr>
              <w:pStyle w:val="3"/>
              <w:spacing w:before="0"/>
              <w:ind w:left="1077" w:hanging="357"/>
              <w:rPr>
                <w:b w:val="0"/>
              </w:rPr>
            </w:pPr>
            <w:r>
              <w:rPr>
                <w:b w:val="0"/>
              </w:rPr>
              <w:t xml:space="preserve">Erstellung Dokument für Vorschlag für den Entscheidungsprozess bei der Auswahl der antiviralen Therapie (Entscheidungsbaum-Aufbau), 2 Wahlen von antiviraler Therapie je nach Auswahl VOC, Setting, Komorbiditäten, </w:t>
            </w:r>
            <w:proofErr w:type="spellStart"/>
            <w:r>
              <w:rPr>
                <w:b w:val="0"/>
              </w:rPr>
              <w:t>Komedikation</w:t>
            </w:r>
            <w:proofErr w:type="spellEnd"/>
          </w:p>
          <w:p>
            <w:pPr>
              <w:pStyle w:val="3"/>
              <w:spacing w:before="0"/>
              <w:ind w:left="1077" w:hanging="357"/>
              <w:rPr>
                <w:b w:val="0"/>
              </w:rPr>
            </w:pPr>
            <w:r>
              <w:rPr>
                <w:b w:val="0"/>
              </w:rPr>
              <w:t xml:space="preserve">Bzgl. </w:t>
            </w:r>
            <w:proofErr w:type="spellStart"/>
            <w:r>
              <w:rPr>
                <w:b w:val="0"/>
              </w:rPr>
              <w:t>Komedikation</w:t>
            </w:r>
            <w:proofErr w:type="spellEnd"/>
            <w:r>
              <w:rPr>
                <w:b w:val="0"/>
              </w:rPr>
              <w:t xml:space="preserve"> wurde ein Dokument mit Hinweisen zu Arzneimittelwechselwirkung mit der gleichzeitigen Gabe von </w:t>
            </w:r>
            <w:proofErr w:type="spellStart"/>
            <w:r>
              <w:rPr>
                <w:b w:val="0"/>
              </w:rPr>
              <w:t>Paxlovid</w:t>
            </w:r>
            <w:proofErr w:type="spellEnd"/>
            <w:r>
              <w:rPr>
                <w:b w:val="0"/>
              </w:rPr>
              <w:t xml:space="preserve"> erstellt: Arzneimittel, die auf jeden Fall vermieden werden müssen sowie Arzneimittel, die vorsichtiger dosiert werden müssen</w:t>
            </w:r>
          </w:p>
          <w:p>
            <w:pPr>
              <w:pStyle w:val="3"/>
              <w:spacing w:before="0"/>
              <w:ind w:left="1077" w:hanging="357"/>
              <w:rPr>
                <w:b w:val="0"/>
              </w:rPr>
            </w:pPr>
            <w:r>
              <w:rPr>
                <w:b w:val="0"/>
              </w:rPr>
              <w:t>Prä-Expositionsprophylaxe: Möglichkeiten der Prophylaxe bei Patient:innen, die das Risiko für einen schweren COVID-19 Verlauf haben</w:t>
            </w:r>
          </w:p>
          <w:p>
            <w:pPr>
              <w:pStyle w:val="3"/>
              <w:spacing w:before="0"/>
              <w:ind w:left="1077" w:hanging="357"/>
              <w:rPr>
                <w:b w:val="0"/>
              </w:rPr>
            </w:pPr>
            <w:r>
              <w:rPr>
                <w:b w:val="0"/>
              </w:rPr>
              <w:t>Gegebene Antikörper haben die Fähigkeit der Langzeitwirkung von bis zu 6 Monaten, werden intramuskulär gegeben</w:t>
            </w:r>
          </w:p>
          <w:p>
            <w:pPr>
              <w:pStyle w:val="3"/>
              <w:spacing w:before="0"/>
              <w:ind w:left="1077" w:hanging="357"/>
              <w:rPr>
                <w:b w:val="0"/>
              </w:rPr>
            </w:pPr>
            <w:proofErr w:type="spellStart"/>
            <w:r>
              <w:rPr>
                <w:b w:val="0"/>
              </w:rPr>
              <w:t>Cilgavimab</w:t>
            </w:r>
            <w:proofErr w:type="spellEnd"/>
            <w:r>
              <w:rPr>
                <w:b w:val="0"/>
              </w:rPr>
              <w:t xml:space="preserve"> hat bei BA.2 die Wirksamkeit beibehalten, keine Dosisanpassung notwendig</w:t>
            </w:r>
          </w:p>
          <w:p>
            <w:pPr>
              <w:pStyle w:val="3"/>
              <w:spacing w:before="0"/>
              <w:ind w:left="1077" w:hanging="357"/>
              <w:rPr>
                <w:b w:val="0"/>
              </w:rPr>
            </w:pPr>
            <w:r>
              <w:rPr>
                <w:b w:val="0"/>
              </w:rPr>
              <w:t>Erstellung Dokument der Wirksamkeit der monoklonalen Antikörper bei VOC</w:t>
            </w:r>
          </w:p>
          <w:p>
            <w:pPr>
              <w:pStyle w:val="3"/>
              <w:spacing w:before="0"/>
              <w:ind w:left="1077" w:hanging="357"/>
              <w:rPr>
                <w:b w:val="0"/>
              </w:rPr>
            </w:pPr>
            <w:r>
              <w:rPr>
                <w:b w:val="0"/>
              </w:rPr>
              <w:t xml:space="preserve">Letzte Woche gemeinsame Stellungnahme zur COVID-19-Präexpositionsprophylaxe : AWMF, STAKOB, COVRIIN: Daten werden bewertet, </w:t>
            </w:r>
            <w:proofErr w:type="spellStart"/>
            <w:r>
              <w:rPr>
                <w:b w:val="0"/>
              </w:rPr>
              <w:t>Patientgruppen</w:t>
            </w:r>
            <w:proofErr w:type="spellEnd"/>
            <w:r>
              <w:rPr>
                <w:b w:val="0"/>
              </w:rPr>
              <w:t xml:space="preserve"> genauer definiert, Vorgehen klarer für Kliniker dargestellt, ist auf www.rki.de/covid-19-therapie zu finden</w:t>
            </w:r>
          </w:p>
          <w:p>
            <w:pPr>
              <w:pStyle w:val="3"/>
              <w:spacing w:before="0"/>
              <w:ind w:left="1077" w:hanging="357"/>
              <w:rPr>
                <w:b w:val="0"/>
              </w:rPr>
            </w:pPr>
            <w:r>
              <w:rPr>
                <w:b w:val="0"/>
              </w:rPr>
              <w:t>Web-Seminare zu COVID-19 für Ärztinnen und Ärzte vorbereitet , Themen der Therapiestrategie, neue VOC, therapeutische Updates und gesundheitliche Langzeitfolgen</w:t>
            </w:r>
          </w:p>
          <w:p>
            <w:pPr>
              <w:pStyle w:val="3"/>
              <w:spacing w:before="0"/>
              <w:ind w:left="1077" w:hanging="357"/>
              <w:rPr>
                <w:b w:val="0"/>
              </w:rPr>
            </w:pPr>
            <w:r>
              <w:rPr>
                <w:b w:val="0"/>
              </w:rPr>
              <w:t>Derzeit wird an einem webbasierten Tool für therapeutische Entscheidungen gearbeitet: Entscheidungsbäume je nach Risikofaktor/Impfung/Symptombeginne und Empfehlung, bestmögliche Therapie (Antivirale Therapie bspw.), geht für alle Krankheitsphasen, ist noch nicht online aber wird geplant</w:t>
            </w:r>
          </w:p>
          <w:p>
            <w:pPr>
              <w:pStyle w:val="3"/>
              <w:numPr>
                <w:ilvl w:val="0"/>
                <w:numId w:val="0"/>
              </w:numPr>
              <w:spacing w:before="0"/>
              <w:ind w:left="1077"/>
              <w:rPr>
                <w:b w:val="0"/>
              </w:rPr>
            </w:pPr>
          </w:p>
          <w:p>
            <w:pPr>
              <w:pStyle w:val="3"/>
              <w:numPr>
                <w:ilvl w:val="0"/>
                <w:numId w:val="0"/>
              </w:numPr>
              <w:spacing w:before="0"/>
              <w:ind w:left="1077"/>
            </w:pPr>
            <w:r>
              <w:t>Diskussion</w:t>
            </w:r>
          </w:p>
          <w:p>
            <w:pPr>
              <w:pStyle w:val="3"/>
              <w:spacing w:before="0"/>
              <w:ind w:left="1077" w:hanging="357"/>
              <w:rPr>
                <w:b w:val="0"/>
              </w:rPr>
            </w:pPr>
            <w:r>
              <w:rPr>
                <w:b w:val="0"/>
              </w:rPr>
              <w:t>Schnittstelle mit STIKO, da antivirale Substanzen in STIKO Empfehlung vorgestellt wurden</w:t>
            </w:r>
          </w:p>
          <w:p>
            <w:pPr>
              <w:pStyle w:val="3"/>
              <w:spacing w:before="0"/>
              <w:ind w:left="1077" w:hanging="357"/>
              <w:rPr>
                <w:b w:val="0"/>
              </w:rPr>
            </w:pPr>
            <w:r>
              <w:rPr>
                <w:b w:val="0"/>
              </w:rPr>
              <w:t xml:space="preserve">Übertragbarkeit der Empfehlung der viralen Prä-Expositionsprophylaxe von COVID-19 auf Influenza? </w:t>
            </w:r>
          </w:p>
          <w:p>
            <w:pPr>
              <w:pStyle w:val="3"/>
              <w:spacing w:before="0"/>
              <w:ind w:left="1077" w:hanging="357"/>
              <w:rPr>
                <w:b w:val="0"/>
              </w:rPr>
            </w:pPr>
            <w:r>
              <w:rPr>
                <w:b w:val="0"/>
              </w:rPr>
              <w:t>Post-Expositionsprophylaxe ist bei COVID-19 derzeit keine Maßnahme, hier überwiegend Monitoring</w:t>
            </w:r>
          </w:p>
          <w:p>
            <w:pPr>
              <w:pStyle w:val="3"/>
              <w:spacing w:before="0"/>
              <w:ind w:left="1077" w:hanging="357"/>
              <w:rPr>
                <w:b w:val="0"/>
              </w:rPr>
            </w:pPr>
            <w:r>
              <w:rPr>
                <w:b w:val="0"/>
              </w:rPr>
              <w:t>Informationen aktualisieren sich sehr zügig, Revision der Leitlinien kommen derzeit alle drei Monate, wird dem Praxisbedarf derzeit nicht gerecht</w:t>
            </w:r>
          </w:p>
          <w:p>
            <w:pPr>
              <w:pStyle w:val="3"/>
              <w:spacing w:before="0"/>
              <w:ind w:left="1077" w:hanging="357"/>
              <w:rPr>
                <w:b w:val="0"/>
              </w:rPr>
            </w:pPr>
            <w:r>
              <w:rPr>
                <w:b w:val="0"/>
              </w:rPr>
              <w:lastRenderedPageBreak/>
              <w:t>Zulassung der Medikamente bedeutet auch eine Auseinandersetzung der STIKO mit dem Thema, daher enger Austausch mit FG33</w:t>
            </w:r>
          </w:p>
          <w:p>
            <w:pPr>
              <w:pStyle w:val="3"/>
              <w:numPr>
                <w:ilvl w:val="0"/>
                <w:numId w:val="0"/>
              </w:numPr>
              <w:spacing w:before="0"/>
              <w:ind w:left="720"/>
              <w:rPr>
                <w:b w:val="0"/>
              </w:rPr>
            </w:pPr>
          </w:p>
        </w:tc>
        <w:tc>
          <w:tcPr>
            <w:tcW w:w="1463" w:type="dxa"/>
          </w:tcPr>
          <w:p>
            <w:pPr>
              <w:rPr>
                <w:sz w:val="22"/>
                <w:szCs w:val="22"/>
              </w:rPr>
            </w:pPr>
          </w:p>
          <w:p>
            <w:pPr>
              <w:rPr>
                <w:sz w:val="22"/>
                <w:szCs w:val="22"/>
              </w:rPr>
            </w:pPr>
            <w:r>
              <w:rPr>
                <w:sz w:val="22"/>
                <w:szCs w:val="22"/>
              </w:rPr>
              <w:t>ZBS7.1</w:t>
            </w:r>
            <w:r>
              <w:rPr>
                <w:sz w:val="22"/>
                <w:szCs w:val="22"/>
              </w:rPr>
              <w:br/>
              <w:t>(Mikolajewska)</w:t>
            </w:r>
          </w:p>
          <w:p>
            <w:pPr>
              <w:rPr>
                <w:sz w:val="22"/>
                <w:szCs w:val="22"/>
              </w:rPr>
            </w:pPr>
          </w:p>
        </w:tc>
      </w:tr>
      <w:tr>
        <w:tc>
          <w:tcPr>
            <w:tcW w:w="684" w:type="dxa"/>
          </w:tcPr>
          <w:p>
            <w:pPr>
              <w:rPr>
                <w:b/>
              </w:rPr>
            </w:pPr>
            <w:r>
              <w:rPr>
                <w:b/>
              </w:rPr>
              <w:lastRenderedPageBreak/>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p>
            <w:pPr>
              <w:rPr>
                <w:sz w:val="22"/>
                <w:szCs w:val="22"/>
              </w:rPr>
            </w:pPr>
            <w:r>
              <w:rPr>
                <w:sz w:val="22"/>
                <w:szCs w:val="22"/>
              </w:rPr>
              <w:t>(Brunke)</w:t>
            </w:r>
          </w:p>
        </w:tc>
      </w:tr>
      <w:tr>
        <w:tc>
          <w:tcPr>
            <w:tcW w:w="684" w:type="dxa"/>
          </w:tcPr>
          <w:p>
            <w:pPr>
              <w:rPr>
                <w:b/>
              </w:rPr>
            </w:pPr>
            <w:r>
              <w:rPr>
                <w:b/>
              </w:rPr>
              <w:t>13</w:t>
            </w:r>
          </w:p>
        </w:tc>
        <w:tc>
          <w:tcPr>
            <w:tcW w:w="6824" w:type="dxa"/>
          </w:tcPr>
          <w:p>
            <w:pPr>
              <w:pStyle w:val="1"/>
              <w:rPr>
                <w:sz w:val="22"/>
              </w:rPr>
            </w:pPr>
            <w:r>
              <w:t>Surveillance</w:t>
            </w:r>
          </w:p>
          <w:p>
            <w:pPr>
              <w:pStyle w:val="Liste1"/>
            </w:pPr>
            <w:r>
              <w:t>Frage nach Änderung der Meldepflicht bei Strategiewechsel. Meldepflicht ist weiterhin sinnvoll und notwendig, um einen allgemeinen Überblick über die Krankheit und Verbreitung zu erlangen. Eine Entlastung der GA kann über Reduktion der Teststrategie erreicht werden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 32</w:t>
            </w:r>
          </w:p>
          <w:p>
            <w:pPr>
              <w:rPr>
                <w:sz w:val="22"/>
                <w:szCs w:val="22"/>
              </w:rPr>
            </w:pPr>
            <w:r>
              <w:rPr>
                <w:sz w:val="22"/>
                <w:szCs w:val="22"/>
              </w:rPr>
              <w:t>(Diercke)</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t>(an der Heiden)</w:t>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Freitag und Montag kein Situationsbericht, an diesen Tagen LZ zu, auch für internationale Kommunikation</w:t>
            </w:r>
          </w:p>
          <w:p>
            <w:pPr>
              <w:pStyle w:val="Liste1"/>
            </w:pPr>
            <w:r>
              <w:t>BMG wird per Mail noch informiert, Fr. Rexroth hat eine Mail für Hrn. Wieler vorbereitet, heute noch Versendung und Morgen erneutes Ansprechen</w:t>
            </w:r>
          </w:p>
          <w:p>
            <w:pPr>
              <w:pStyle w:val="Liste1"/>
            </w:pPr>
            <w:r>
              <w:t xml:space="preserve">Keine Krisenstabssitzung vorerst, erste Krisenstabssitzung wieder am 20.4, Bitte um schriftliche Abstimmung/Absprachen </w:t>
            </w:r>
          </w:p>
          <w:p>
            <w:pPr>
              <w:pStyle w:val="Liste1"/>
            </w:pPr>
          </w:p>
        </w:tc>
        <w:tc>
          <w:tcPr>
            <w:tcW w:w="1463" w:type="dxa"/>
          </w:tcPr>
          <w:p>
            <w:pPr>
              <w:rPr>
                <w:sz w:val="22"/>
                <w:szCs w:val="22"/>
              </w:rPr>
            </w:pPr>
          </w:p>
          <w:p>
            <w:pPr>
              <w:rPr>
                <w:sz w:val="22"/>
                <w:szCs w:val="22"/>
              </w:rPr>
            </w:pPr>
            <w:r>
              <w:rPr>
                <w:sz w:val="22"/>
                <w:szCs w:val="22"/>
              </w:rPr>
              <w:t>FG38</w:t>
            </w:r>
            <w:r>
              <w:rPr>
                <w:sz w:val="22"/>
                <w:szCs w:val="22"/>
              </w:rPr>
              <w:br/>
              <w:t>(Rexroth)</w:t>
            </w:r>
          </w:p>
        </w:tc>
      </w:tr>
      <w:tr>
        <w:tc>
          <w:tcPr>
            <w:tcW w:w="684" w:type="dxa"/>
          </w:tcPr>
          <w:p>
            <w:pPr>
              <w:rPr>
                <w:b/>
              </w:rPr>
            </w:pPr>
            <w:r>
              <w:rPr>
                <w:b/>
              </w:rPr>
              <w:t>16</w:t>
            </w:r>
          </w:p>
        </w:tc>
        <w:tc>
          <w:tcPr>
            <w:tcW w:w="6824" w:type="dxa"/>
          </w:tcPr>
          <w:p>
            <w:pPr>
              <w:pStyle w:val="1"/>
            </w:pPr>
            <w:r>
              <w:t>Wichtige Termine</w:t>
            </w:r>
          </w:p>
          <w:p>
            <w:pPr>
              <w:pStyle w:val="Liste1"/>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20.04.2022, 11:00 Uhr, via </w:t>
            </w:r>
            <w:proofErr w:type="spellStart"/>
            <w:r>
              <w:t>Webex</w:t>
            </w:r>
            <w:proofErr w:type="spellEnd"/>
            <w:r>
              <w:t xml:space="preserve">, </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14:45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95F08D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B4E435E6">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CEB8EA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3638D"/>
    <w:multiLevelType w:val="hybridMultilevel"/>
    <w:tmpl w:val="AA0E8AB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A893FDD"/>
    <w:multiLevelType w:val="hybridMultilevel"/>
    <w:tmpl w:val="950A2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C3E1197"/>
    <w:multiLevelType w:val="hybridMultilevel"/>
    <w:tmpl w:val="5E20806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DE68A5"/>
    <w:multiLevelType w:val="hybridMultilevel"/>
    <w:tmpl w:val="A0B026EA"/>
    <w:lvl w:ilvl="0" w:tplc="04070001">
      <w:start w:val="1"/>
      <w:numFmt w:val="bullet"/>
      <w:lvlText w:val=""/>
      <w:lvlJc w:val="left"/>
      <w:pPr>
        <w:ind w:left="1797" w:hanging="360"/>
      </w:pPr>
      <w:rPr>
        <w:rFonts w:ascii="Symbol" w:hAnsi="Symbol" w:hint="default"/>
      </w:rPr>
    </w:lvl>
    <w:lvl w:ilvl="1" w:tplc="04070003" w:tentative="1">
      <w:start w:val="1"/>
      <w:numFmt w:val="bullet"/>
      <w:lvlText w:val="o"/>
      <w:lvlJc w:val="left"/>
      <w:pPr>
        <w:ind w:left="2517" w:hanging="360"/>
      </w:pPr>
      <w:rPr>
        <w:rFonts w:ascii="Courier New" w:hAnsi="Courier New" w:cs="Courier New" w:hint="default"/>
      </w:rPr>
    </w:lvl>
    <w:lvl w:ilvl="2" w:tplc="04070005" w:tentative="1">
      <w:start w:val="1"/>
      <w:numFmt w:val="bullet"/>
      <w:lvlText w:val=""/>
      <w:lvlJc w:val="left"/>
      <w:pPr>
        <w:ind w:left="3237" w:hanging="360"/>
      </w:pPr>
      <w:rPr>
        <w:rFonts w:ascii="Wingdings" w:hAnsi="Wingdings" w:hint="default"/>
      </w:rPr>
    </w:lvl>
    <w:lvl w:ilvl="3" w:tplc="04070001" w:tentative="1">
      <w:start w:val="1"/>
      <w:numFmt w:val="bullet"/>
      <w:lvlText w:val=""/>
      <w:lvlJc w:val="left"/>
      <w:pPr>
        <w:ind w:left="3957" w:hanging="360"/>
      </w:pPr>
      <w:rPr>
        <w:rFonts w:ascii="Symbol" w:hAnsi="Symbol" w:hint="default"/>
      </w:rPr>
    </w:lvl>
    <w:lvl w:ilvl="4" w:tplc="04070003" w:tentative="1">
      <w:start w:val="1"/>
      <w:numFmt w:val="bullet"/>
      <w:lvlText w:val="o"/>
      <w:lvlJc w:val="left"/>
      <w:pPr>
        <w:ind w:left="4677" w:hanging="360"/>
      </w:pPr>
      <w:rPr>
        <w:rFonts w:ascii="Courier New" w:hAnsi="Courier New" w:cs="Courier New" w:hint="default"/>
      </w:rPr>
    </w:lvl>
    <w:lvl w:ilvl="5" w:tplc="04070005" w:tentative="1">
      <w:start w:val="1"/>
      <w:numFmt w:val="bullet"/>
      <w:lvlText w:val=""/>
      <w:lvlJc w:val="left"/>
      <w:pPr>
        <w:ind w:left="5397" w:hanging="360"/>
      </w:pPr>
      <w:rPr>
        <w:rFonts w:ascii="Wingdings" w:hAnsi="Wingdings" w:hint="default"/>
      </w:rPr>
    </w:lvl>
    <w:lvl w:ilvl="6" w:tplc="04070001" w:tentative="1">
      <w:start w:val="1"/>
      <w:numFmt w:val="bullet"/>
      <w:lvlText w:val=""/>
      <w:lvlJc w:val="left"/>
      <w:pPr>
        <w:ind w:left="6117" w:hanging="360"/>
      </w:pPr>
      <w:rPr>
        <w:rFonts w:ascii="Symbol" w:hAnsi="Symbol" w:hint="default"/>
      </w:rPr>
    </w:lvl>
    <w:lvl w:ilvl="7" w:tplc="04070003" w:tentative="1">
      <w:start w:val="1"/>
      <w:numFmt w:val="bullet"/>
      <w:lvlText w:val="o"/>
      <w:lvlJc w:val="left"/>
      <w:pPr>
        <w:ind w:left="6837" w:hanging="360"/>
      </w:pPr>
      <w:rPr>
        <w:rFonts w:ascii="Courier New" w:hAnsi="Courier New" w:cs="Courier New" w:hint="default"/>
      </w:rPr>
    </w:lvl>
    <w:lvl w:ilvl="8" w:tplc="04070005" w:tentative="1">
      <w:start w:val="1"/>
      <w:numFmt w:val="bullet"/>
      <w:lvlText w:val=""/>
      <w:lvlJc w:val="left"/>
      <w:pPr>
        <w:ind w:left="7557"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F21567"/>
    <w:multiLevelType w:val="hybridMultilevel"/>
    <w:tmpl w:val="B37E9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B08AF"/>
    <w:multiLevelType w:val="hybridMultilevel"/>
    <w:tmpl w:val="AFF4C614"/>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C0447"/>
    <w:multiLevelType w:val="hybridMultilevel"/>
    <w:tmpl w:val="DF382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710C59"/>
    <w:multiLevelType w:val="hybridMultilevel"/>
    <w:tmpl w:val="C422C464"/>
    <w:lvl w:ilvl="0" w:tplc="04090001">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4" w15:restartNumberingAfterBreak="0">
    <w:nsid w:val="60DC1A23"/>
    <w:multiLevelType w:val="hybridMultilevel"/>
    <w:tmpl w:val="DC367BF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735774"/>
    <w:multiLevelType w:val="hybridMultilevel"/>
    <w:tmpl w:val="67F81A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11"/>
  </w:num>
  <w:num w:numId="5">
    <w:abstractNumId w:val="5"/>
  </w:num>
  <w:num w:numId="6">
    <w:abstractNumId w:val="4"/>
  </w:num>
  <w:num w:numId="7">
    <w:abstractNumId w:val="10"/>
  </w:num>
  <w:num w:numId="8">
    <w:abstractNumId w:val="13"/>
  </w:num>
  <w:num w:numId="9">
    <w:abstractNumId w:val="15"/>
  </w:num>
  <w:num w:numId="10">
    <w:abstractNumId w:val="14"/>
  </w:num>
  <w:num w:numId="11">
    <w:abstractNumId w:val="2"/>
  </w:num>
  <w:num w:numId="12">
    <w:abstractNumId w:val="12"/>
  </w:num>
  <w:num w:numId="13">
    <w:abstractNumId w:val="6"/>
  </w:num>
  <w:num w:numId="14">
    <w:abstractNumId w:val="9"/>
  </w:num>
  <w:num w:numId="15">
    <w:abstractNumId w:val="3"/>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3246468">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4-11_Lage_AG\LageNational_2022-04-1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A9AA3-F938-401C-8945-61A9A4C8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1908</Words>
  <Characters>12027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Lehfeld, Ann-Sophie</cp:lastModifiedBy>
  <cp:revision>8</cp:revision>
  <cp:lastPrinted>2022-03-14T15:43:00Z</cp:lastPrinted>
  <dcterms:created xsi:type="dcterms:W3CDTF">2022-04-11T16:15:00Z</dcterms:created>
  <dcterms:modified xsi:type="dcterms:W3CDTF">2022-04-12T07:09:00Z</dcterms:modified>
</cp:coreProperties>
</file>