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Montag, 25.04.2022, 13:00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Osamah Hamouda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Lothar H. Wieler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Esther-Maria Antão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Michael Bosnjak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Mardjan Arvand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Thorsten Wolff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Maria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Ariane Halm (Protokoll)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Claudia Siffczyk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Viktoria Schönfeld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Christina Leuker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Susanne Glasmacher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Oliver Ommen</w:t>
      </w:r>
    </w:p>
    <w:bookmarkEnd w:id="0"/>
    <w:p>
      <w:pPr>
        <w:rPr>
          <w:sz w:val="22"/>
          <w:szCs w:val="22"/>
        </w:rPr>
      </w:pPr>
    </w:p>
    <w:p>
      <w:pPr>
        <w:rPr>
          <w:sz w:val="22"/>
          <w:szCs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  <w:rPr>
          <w:lang w:val="de-DE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rStyle w:val="TagMiZchn"/>
              </w:rPr>
              <w:t xml:space="preserve"> </w:t>
            </w:r>
            <w:r>
              <w:rPr>
                <w:rStyle w:val="TagMiZchn"/>
                <w:sz w:val="22"/>
              </w:rPr>
              <w:t>(nur mittwochs)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1"/>
            </w:pPr>
            <w:r>
              <w:t xml:space="preserve">Fallzahlen, Todesfälle, Trend, Folien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SurvNet übermittelt: SurvNet übermittelt: 24.200.596 (+20.084), davon 657.621 (+6) Todesfälle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7-Tage-Inzidenz:  790,8/100.000 Einw.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Impfmonitoring: Geimpfte mit 1. Dosis 63.742.994 (76,7%), mit vollständiger Impfung 63.291.453 (76.1%)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Verlauf der 7-Tage-Inzidenz der Bundesländer:</w:t>
            </w:r>
          </w:p>
          <w:p>
            <w:pPr>
              <w:pStyle w:val="Liste3"/>
            </w:pPr>
            <w:r>
              <w:t>Manche BL übermitteln am Wochenende nicht mehr, deswegen ist der Vergleich mit dem Vortag mit Vorsicht zu sehen</w:t>
            </w:r>
          </w:p>
          <w:p>
            <w:pPr>
              <w:pStyle w:val="Liste3"/>
            </w:pPr>
            <w:r>
              <w:t>Im längeren Trend ist Inzidenz rückläufig aber (noch) nicht so stark</w:t>
            </w:r>
          </w:p>
          <w:p>
            <w:pPr>
              <w:pStyle w:val="Liste3"/>
            </w:pPr>
            <w:r>
              <w:t>An Ostern wurde weniger getestet</w:t>
            </w:r>
          </w:p>
          <w:p>
            <w:pPr>
              <w:pStyle w:val="Liste3"/>
            </w:pPr>
            <w:r>
              <w:t xml:space="preserve">In mehreren BL, z.B. NI und SH sind 7-T-I hoch (&gt;1000), in den östlichen BL niedrigere Inzidenzen </w:t>
            </w:r>
          </w:p>
          <w:p>
            <w:pPr>
              <w:pStyle w:val="Liste3"/>
            </w:pPr>
            <w:r>
              <w:t>In der Mehrzahl der Kreise (250) liegen 7-T-I &gt;500-1000, Virus zirkuliert trotz des Rückgangs noch stets stark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7-Tage-Inzidenz nach Altersgruppen</w:t>
            </w:r>
          </w:p>
          <w:p>
            <w:pPr>
              <w:pStyle w:val="Liste3"/>
            </w:pPr>
            <w:r>
              <w:t>Stärkster Rückgang bei 5-14-jährigen</w:t>
            </w:r>
          </w:p>
          <w:p>
            <w:pPr>
              <w:pStyle w:val="Liste3"/>
            </w:pPr>
            <w:r>
              <w:t xml:space="preserve">Ggf. ändert sich dies nach den Ferien und durch die weitere Testung in Schulen in manchen BL </w:t>
            </w:r>
          </w:p>
          <w:p>
            <w:pPr>
              <w:pStyle w:val="Liste3"/>
            </w:pPr>
            <w:r>
              <w:t>Höchste Inzidenzen bei 15-34- und 35-59-jährigen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Destatis-Daten waren jetzt noch nicht verfügbar, werden am Mittwoch berichtet</w:t>
            </w:r>
          </w:p>
          <w:p>
            <w:pPr>
              <w:pStyle w:val="Liste1"/>
            </w:pPr>
            <w:r>
              <w:t xml:space="preserve">Modellierungen </w:t>
            </w:r>
            <w:r>
              <w:rPr>
                <w:b/>
                <w:i/>
                <w:color w:val="95B3D7" w:themeColor="accent1" w:themeTint="99"/>
                <w:sz w:val="20"/>
              </w:rPr>
              <w:t>(nur montags)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montags)</w:t>
            </w:r>
          </w:p>
          <w:p>
            <w:pPr>
              <w:pStyle w:val="Liste1"/>
              <w:numPr>
                <w:ilvl w:val="0"/>
                <w:numId w:val="0"/>
              </w:numPr>
            </w:pPr>
          </w:p>
          <w:p>
            <w:pPr>
              <w:pStyle w:val="Liste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Effekte der COVID-19-Impfung nach Falldefinition „Hospitalisierung“</w:t>
            </w:r>
          </w:p>
          <w:p>
            <w:pPr>
              <w:pStyle w:val="Liste1"/>
            </w:pPr>
            <w:r>
              <w:t xml:space="preserve">Folien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Fragestellung: Wie ändern sich mit unterschiedlichen Falldefinitionen die Effekte der Impfung (Impfeffektivität/VE)?</w:t>
            </w:r>
          </w:p>
          <w:p>
            <w:pPr>
              <w:pStyle w:val="Liste1"/>
            </w:pPr>
            <w:r>
              <w:t>Wöchentlich Berechnung der Hospitalisierungsinzidenz nach Impfstatus, drei verschiedene Falldefinitionen werden benutzt:</w:t>
            </w:r>
          </w:p>
          <w:p>
            <w:pPr>
              <w:pStyle w:val="Liste2"/>
            </w:pPr>
            <w:r>
              <w:t>Hospitalisierung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Hospitalisierung &amp; Symptomatik (Basis für VE-Berechnung)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Hospitalisierung &amp; Hospitalisierungsgrund= COVID-19 (=COVID-19-Hospitalisierung)</w:t>
            </w:r>
          </w:p>
          <w:p>
            <w:pPr>
              <w:pStyle w:val="Liste1"/>
            </w:pPr>
            <w:r>
              <w:t>Ergebnisse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Je spezifischer Falldefinition, desto flacher Inzidenzkurven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Hospitalisierungsinzidenz generell / aufgrund von COVID-19 vor allem bei Geimpften und Geboosterten niedriger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Stärkerer Effekt (deutlich geringere Inzidenzen) bei strengeren Falldefinitionen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Bei allen Definitionen bei Grundimmunisierten liegt VE um die 50%, 65% bei Geboosterten, wenn nur noch COVID-19- Hospitalisierung ist Effekt stärker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Datenvollständigkeit: Niedrigere Fallzahlen ab 2. Hälfte 2021 bei COVID-19-Hospitalisierung</w:t>
            </w:r>
          </w:p>
          <w:p>
            <w:pPr>
              <w:pStyle w:val="Liste1"/>
            </w:pPr>
            <w:r>
              <w:t>Fazit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Effekt nach Impfstatus und Definition unterschiedlich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Impfeffektivität aktuell wahrscheinlich zu niedrig geschätzt (Falldefinition)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Woche für Woche sind stabile Werte trotz Ausschluss von fehlenden Angaben verfügbar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Spezifischere Falldefinition (COVID-19-Hospitalisierung) wäre für die Berichterstattung wünschenswert</w:t>
            </w:r>
          </w:p>
          <w:p>
            <w:pPr>
              <w:pStyle w:val="Liste1"/>
            </w:pPr>
            <w:r>
              <w:lastRenderedPageBreak/>
              <w:t>Diskussion</w:t>
            </w:r>
          </w:p>
          <w:p>
            <w:pPr>
              <w:pStyle w:val="Liste2"/>
            </w:pPr>
            <w:r>
              <w:t xml:space="preserve">Wie berichten andere? </w:t>
            </w:r>
          </w:p>
          <w:p>
            <w:pPr>
              <w:pStyle w:val="Liste3"/>
            </w:pPr>
            <w:r>
              <w:t>Daten sind generell nicht vergleichbar, Präsentation sich auf deutsche Meldedaten</w:t>
            </w:r>
          </w:p>
          <w:p>
            <w:pPr>
              <w:pStyle w:val="Liste3"/>
            </w:pPr>
            <w:r>
              <w:t>ECDC veröffentlicht Ergebnisse von Test-negativen Fallkontrollstudien, darin liegt der Schutz vor Hospitalisierung bei &gt;80-jährigen bei ca. 50%</w:t>
            </w:r>
          </w:p>
          <w:p>
            <w:pPr>
              <w:pStyle w:val="Liste3"/>
            </w:pPr>
            <w:r>
              <w:t>UK nutzt auch das Test-negative Studiendesign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Warum ist der Effekt bei jüngeren ausgeprägter? </w:t>
            </w:r>
          </w:p>
          <w:p>
            <w:pPr>
              <w:pStyle w:val="Liste3"/>
            </w:pPr>
            <w:r>
              <w:t>Dies bestätigt was auch in syndromischen Daten gesehen wird, jüngere Altersgruppen werden oft mit und nicht aufgrund von COVID-19 hospitalisiert</w:t>
            </w:r>
          </w:p>
          <w:p>
            <w:pPr>
              <w:pStyle w:val="Liste3"/>
            </w:pPr>
            <w:r>
              <w:t>Seit Omikron werden mehr Hospitalisierungen von jüngeren mit COVID-19 erfasst, jede/r Hospitalisierte/r wird bei Aufnahme getestet, der Trend hat sich durch Omikron verschoben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Soll im Wochenbericht umgestellt werden, bzw. wie sollen diese Daten veröffentlicht werden?</w:t>
            </w:r>
          </w:p>
          <w:p>
            <w:pPr>
              <w:pStyle w:val="Liste3"/>
            </w:pPr>
            <w:r>
              <w:t xml:space="preserve">RKI berichtet aktuell zu pessimistische VE, beide Varianten (Falldefinitionen) sollten berichtet werden </w:t>
            </w:r>
          </w:p>
          <w:p>
            <w:pPr>
              <w:pStyle w:val="Liste3"/>
            </w:pPr>
            <w:r>
              <w:t>Bei Veröffentlichung ist eine gute Begründung notwendig, da dies zu diversen Nachfragen und Kritik bzw. Hinterfragung anderer Indikatoren (Hospitalisierungsinzidenz) führen kann</w:t>
            </w:r>
          </w:p>
          <w:p>
            <w:pPr>
              <w:pStyle w:val="Liste3"/>
            </w:pPr>
            <w:r>
              <w:t>Datenerfassung ist gleichgeblieben, diese Daten liegen schon länger vor, seit Omikron vermehrte Nachfragen wegen der hohen Anzahl von Fällen und nicht-symptomatischen Infektionen</w:t>
            </w:r>
          </w:p>
          <w:p>
            <w:pPr>
              <w:pStyle w:val="Liste3"/>
            </w:pPr>
            <w:r>
              <w:t>Ende Juni läuft Test-VO aus, ggf. könnte Veröffentlichung hiermit einhergehen, Screening in KKH sollte erhalten bleiben, ansonsten fällt das Testen von Symptomlosen weitgehend weg</w:t>
            </w:r>
          </w:p>
          <w:p>
            <w:pPr>
              <w:pStyle w:val="Liste3"/>
            </w:pPr>
            <w:r>
              <w:t>Impf-VE-Berechnung basiert auf Hospitalisierungen, dies sollte zunächst erhalten bleiben</w:t>
            </w:r>
          </w:p>
          <w:p>
            <w:pPr>
              <w:pStyle w:val="Liste3"/>
            </w:pPr>
            <w:r>
              <w:t>Weiterhin sehr viele Fragen zur Impfung, immer wieder sind Erklärungen notwendig, eine regelmäßige Berichterstattung ist wünschenswert</w:t>
            </w:r>
          </w:p>
          <w:p>
            <w:pPr>
              <w:pStyle w:val="Liste3"/>
            </w:pPr>
            <w:r>
              <w:t>UK hat einen wöchentlichen Vaccine Monitoring Bericht, dies erscheint FG33 zu häufig da Änderungen seltener sind</w:t>
            </w:r>
          </w:p>
          <w:p>
            <w:pPr>
              <w:pStyle w:val="Liste3"/>
            </w:pPr>
            <w:r>
              <w:t>Veröffentlichung in einer Publikation der drei Varianten nebeneinander?</w:t>
            </w:r>
          </w:p>
          <w:p>
            <w:pPr>
              <w:pStyle w:val="Liste1"/>
            </w:pPr>
            <w:r>
              <w:t>Nächste Schritte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FG33 hat einen monatlichen Berichtsentwurf entwickelt und teilt diesen mit Abt. 3/Krisenstab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Ob eine zusätzlich Publikation notwendig ist, wird noch besprochen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</w:rPr>
            </w:pPr>
            <w:r>
              <w:rPr>
                <w:b/>
              </w:rPr>
              <w:t>SORMAS Impfdaten</w:t>
            </w:r>
          </w:p>
          <w:p>
            <w:pPr>
              <w:pStyle w:val="Liste1"/>
            </w:pPr>
            <w:r>
              <w:t xml:space="preserve">Es gibt ein Problem mit SORMAS-Daten zur Impfung </w:t>
            </w:r>
          </w:p>
          <w:p>
            <w:pPr>
              <w:pStyle w:val="Liste1"/>
            </w:pPr>
            <w:r>
              <w:t xml:space="preserve">Ursache wurde von SORMAS-Team noch nicht gefunden </w:t>
            </w:r>
          </w:p>
          <w:p>
            <w:pPr>
              <w:pStyle w:val="Liste1"/>
            </w:pPr>
            <w:r>
              <w:lastRenderedPageBreak/>
              <w:t xml:space="preserve">Ein Fehler kann zur Verzerrung der Daten führen, dieser wird aktuell untersucht welches der Fehler ist und wie er behoben werden kann, 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  <w:numPr>
                <w:ilvl w:val="0"/>
                <w:numId w:val="0"/>
              </w:numPr>
              <w:ind w:left="113"/>
              <w:rPr>
                <w:b/>
              </w:rPr>
            </w:pPr>
            <w:r>
              <w:rPr>
                <w:b/>
              </w:rPr>
              <w:t>Stand zur generellen COVID-19 Impfempfehlung für gesunde Kinder zwischen 5 und 12 Jahren (auch mit Blick auf die Vorbereitung auf Herbst/Winter)</w:t>
            </w:r>
          </w:p>
          <w:p>
            <w:pPr>
              <w:pStyle w:val="Liste1"/>
            </w:pPr>
            <w:r>
              <w:t>STIKO untersucht das Thema noch stets, demnächst geht die Frage ins Stellungnahmeverfahren</w:t>
            </w:r>
          </w:p>
          <w:p>
            <w:pPr>
              <w:pStyle w:val="Liste1"/>
            </w:pPr>
            <w:r>
              <w:t>Für &gt;12-jährige besteht bereits Impfempfehlung, für Kinder &lt;5 laufen aktuell Zulassungsstudien</w:t>
            </w:r>
          </w:p>
          <w:p>
            <w:pPr>
              <w:pStyle w:val="Liste1"/>
            </w:pPr>
            <w:r>
              <w:t>Falls Impfung gesunder Kinder empfohlen wird, ggf. nur mit einer Impfdosis um eine langfristig breite Immunität durch die Kombination aus natürlicher Infektion und Impfung zu erhalten</w:t>
            </w:r>
          </w:p>
          <w:p>
            <w:pPr>
              <w:pStyle w:val="Liste1"/>
            </w:pPr>
            <w:r>
              <w:t>Noch stets wird diskutiert ob 5-11-jährige jetzt oder mehr in Richtung Herbst geimpft werden sollten</w:t>
            </w:r>
          </w:p>
          <w:p>
            <w:pPr>
              <w:pStyle w:val="Liste1"/>
            </w:pPr>
            <w:r>
              <w:t>Kindern &lt;12 mit Vorerkrankungen werden 2 Impfungen (oder 3?) empfohlen</w:t>
            </w:r>
          </w:p>
          <w:p>
            <w:pPr>
              <w:pStyle w:val="Liste1"/>
            </w:pPr>
            <w:r>
              <w:t>Für Einfluss auf die Omikronwelle ist es bereits zu spät, es gibt sehr wenig Hospitalisierungen</w:t>
            </w:r>
          </w:p>
          <w:p>
            <w:pPr>
              <w:pStyle w:val="Liste1"/>
            </w:pPr>
            <w:r>
              <w:t>Ein Aufbau von Herdenimmunität bis zum Herbst erscheint schwierig, viel ist aktuell Spekulation basierend auf Annahmen</w:t>
            </w:r>
          </w:p>
          <w:p>
            <w:pPr>
              <w:spacing w:line="276" w:lineRule="auto"/>
              <w:rPr>
                <w:rStyle w:val="1Zchn"/>
                <w:sz w:val="22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FG33/alle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AL3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Style w:val="TagMiZchn"/>
                <w:bCs/>
              </w:rPr>
              <w:t>(nur mittwochs)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montags)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>Diskussion der Änderungsvorschläge zur Risikobewertung, Warten auf Rückmeldung des BMG</w:t>
            </w:r>
          </w:p>
          <w:p>
            <w:pPr>
              <w:pStyle w:val="Liste1"/>
            </w:pPr>
            <w:r>
              <w:t>Grundsätzlich ist Minister einverstanden, meldet sich aber noch einmal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Expertenbeirat </w:t>
            </w:r>
            <w:r>
              <w:rPr>
                <w:i/>
                <w:color w:val="95B3D7" w:themeColor="accent1" w:themeTint="99"/>
                <w:sz w:val="20"/>
              </w:rPr>
              <w:t>(montags Vorbereitung, mittwochs Nachbereitung)</w:t>
            </w:r>
          </w:p>
          <w:p>
            <w:pPr>
              <w:pStyle w:val="Liste1"/>
            </w:pPr>
            <w:r>
              <w:t>Morgen Sitzung: Stellungnahmen zu Long-COVID-19 und Pflegeheimen sollen dann finalisiert werden</w:t>
            </w:r>
          </w:p>
          <w:p>
            <w:pPr>
              <w:pStyle w:val="Liste1"/>
            </w:pPr>
            <w:r>
              <w:t>Panelstruktur soll auch besprochen werden, Präs berichtet</w:t>
            </w:r>
          </w:p>
          <w:p>
            <w:pPr>
              <w:pStyle w:val="1"/>
              <w:rPr>
                <w:sz w:val="22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Präs/alle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lastRenderedPageBreak/>
              <w:t>P1</w:t>
            </w:r>
          </w:p>
          <w:p>
            <w:pPr>
              <w:pStyle w:val="Liste1"/>
              <w:rPr>
                <w:i/>
              </w:rPr>
            </w:pPr>
            <w:r>
              <w:t>Die RKI Social Media Taskforce hat ihre Arbeit aufgenommen</w:t>
            </w:r>
          </w:p>
          <w:p>
            <w:pPr>
              <w:pStyle w:val="Liste1"/>
              <w:rPr>
                <w:i/>
              </w:rPr>
            </w:pPr>
            <w:r>
              <w:t>P1 bedient nun großen RKI Twitter-Kanal (mit 600.000 Followern), der kleinere „RKI für euch“-Kanal wird eingestellt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>Wie geht es weiter mit der Absonderung nach dem 1. Mai 2022?</w:t>
            </w:r>
          </w:p>
          <w:p>
            <w:pPr>
              <w:pStyle w:val="Liste1"/>
            </w:pPr>
            <w:r>
              <w:t>Von BMG-Seite zunächst abwartende Haltung, heute ist GMK, deren Entschluss bleibt abzuwarten</w:t>
            </w:r>
          </w:p>
          <w:p>
            <w:pPr>
              <w:pStyle w:val="Liste1"/>
            </w:pPr>
            <w:r>
              <w:t>Zahlreiche Papiere und Anpassungen hängen hiervon ab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1"/>
            </w:pPr>
            <w:r>
              <w:t>Virologisches Sentinel war auch von den Osterfeiertagen betroffen, es gab weniger Proben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Mit 24% war SARS-CoV-2 dominierendes Virus</w:t>
            </w:r>
          </w:p>
          <w:p>
            <w:pPr>
              <w:pStyle w:val="Liste1"/>
            </w:pPr>
            <w:r>
              <w:t>Influenza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 NL hohe Influenza-Belastung in den letzten Wochen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Maßnahmen in DE gelten länger als in anderen Ländern, darum ggf. niedrigere Influenzaraten (mit aktuell 9% unter dem 10% Schwellenwert)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Schwindende Influenza-Immunität aufgrund des fehlenden Kontaktes macht sich wohl in Zukunft bemerkbar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Influenza ist in der Diagnostik evtl. unterrepräsentiert, da Selbsttestung hier nicht möglich ist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Influenzadiagnostik wird auf verschiedene Wegen durch die COVID-19-Testung beeinflusst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Sentinel-</w:t>
            </w:r>
            <w:bookmarkStart w:id="1" w:name="_GoBack"/>
            <w:bookmarkEnd w:id="1"/>
            <w:r>
              <w:rPr>
                <w:lang w:val="de-DE"/>
              </w:rPr>
              <w:t>Surveillancedaten in DE sind zuverlässig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Virologische Surveillance ist ein gut funktionierendes System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 den Meldedaten gibt es aktuell mehr Influenza als unter normalen Umständen bei niedriger Aktivität zu erwarten wäre, häufig findet mit-Testung auf Influenza statt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Der Influenza-Verlauf bildet die Omikronwelle nach, dies muss gut beobachtet werden</w:t>
            </w:r>
          </w:p>
          <w:p>
            <w:pPr>
              <w:pStyle w:val="2"/>
            </w:pPr>
            <w:r>
              <w:t>ZBS1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FG17/FG36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13</w:t>
            </w:r>
          </w:p>
        </w:tc>
        <w:tc>
          <w:tcPr>
            <w:tcW w:w="6824" w:type="dxa"/>
          </w:tcPr>
          <w:p>
            <w:pPr>
              <w:pStyle w:val="1"/>
              <w:rPr>
                <w:b w:val="0"/>
                <w:sz w:val="22"/>
              </w:rPr>
            </w:pPr>
            <w:r>
              <w:rPr>
                <w:rStyle w:val="1Zchn"/>
                <w:b/>
              </w:rPr>
              <w:t>Surveillance</w:t>
            </w:r>
          </w:p>
          <w:p>
            <w:pPr>
              <w:pStyle w:val="Liste1"/>
            </w:pPr>
            <w:r>
              <w:t>Immer mehr BMG-Anfragen zur COVID-19-Hospitalisierung, viel Aktivität im BMG zur Vorbereitung auf den Herbst</w:t>
            </w:r>
          </w:p>
          <w:p>
            <w:pPr>
              <w:pStyle w:val="Liste1"/>
            </w:pPr>
            <w:r>
              <w:t>Noch gab es keine offizielle Anfrage hierzu aber möglicherweise folgt bald etwas</w:t>
            </w:r>
          </w:p>
          <w:p>
            <w:pPr>
              <w:pStyle w:val="Liste1"/>
            </w:pPr>
            <w:r>
              <w:t>Dies wurde auch beim BMG-Jour Fixe letzte Woche erwähnt</w:t>
            </w:r>
          </w:p>
          <w:p>
            <w:pPr>
              <w:pStyle w:val="Liste1"/>
            </w:pPr>
            <w:r>
              <w:t>AL3 hat BMG mitgeteilt, dass keine zusätzlichen Datenerfassungssysteme notwendig bzw. sinnvoll sind</w:t>
            </w:r>
          </w:p>
          <w:p>
            <w:pPr>
              <w:pStyle w:val="Liste1"/>
            </w:pPr>
            <w:r>
              <w:t>Dies sind oft politisch motivierte Anfragen bzw. kommt ggf. aus dem Expertenbeirat, fachliche Argumente haben keine Priorität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 32/alle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montags)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montags)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>Nächste Sitzung: Mittwoch, 27.04.2022, 11:00 Uhr, via Webex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14:00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A26"/>
    <w:multiLevelType w:val="hybridMultilevel"/>
    <w:tmpl w:val="9858F654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7A4C4BB4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3E1197"/>
    <w:multiLevelType w:val="hybridMultilevel"/>
    <w:tmpl w:val="5E2080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C18FF"/>
    <w:multiLevelType w:val="hybridMultilevel"/>
    <w:tmpl w:val="32763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B08AF"/>
    <w:multiLevelType w:val="hybridMultilevel"/>
    <w:tmpl w:val="A0926B72"/>
    <w:lvl w:ilvl="0" w:tplc="71F40AC2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2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A303A7"/>
    <w:multiLevelType w:val="hybridMultilevel"/>
    <w:tmpl w:val="8E5AABEE"/>
    <w:lvl w:ilvl="0" w:tplc="0407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6" w15:restartNumberingAfterBreak="0">
    <w:nsid w:val="7C383297"/>
    <w:multiLevelType w:val="hybridMultilevel"/>
    <w:tmpl w:val="3074487C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22"/>
  </w:num>
  <w:num w:numId="5">
    <w:abstractNumId w:val="9"/>
  </w:num>
  <w:num w:numId="6">
    <w:abstractNumId w:val="23"/>
  </w:num>
  <w:num w:numId="7">
    <w:abstractNumId w:val="29"/>
  </w:num>
  <w:num w:numId="8">
    <w:abstractNumId w:val="17"/>
  </w:num>
  <w:num w:numId="9">
    <w:abstractNumId w:val="5"/>
  </w:num>
  <w:num w:numId="10">
    <w:abstractNumId w:val="34"/>
  </w:num>
  <w:num w:numId="11">
    <w:abstractNumId w:val="28"/>
  </w:num>
  <w:num w:numId="12">
    <w:abstractNumId w:val="19"/>
  </w:num>
  <w:num w:numId="13">
    <w:abstractNumId w:val="16"/>
  </w:num>
  <w:num w:numId="14">
    <w:abstractNumId w:val="24"/>
  </w:num>
  <w:num w:numId="15">
    <w:abstractNumId w:val="21"/>
  </w:num>
  <w:num w:numId="16">
    <w:abstractNumId w:val="0"/>
  </w:num>
  <w:num w:numId="17">
    <w:abstractNumId w:val="15"/>
  </w:num>
  <w:num w:numId="18">
    <w:abstractNumId w:val="32"/>
  </w:num>
  <w:num w:numId="19">
    <w:abstractNumId w:val="13"/>
  </w:num>
  <w:num w:numId="20">
    <w:abstractNumId w:val="30"/>
  </w:num>
  <w:num w:numId="21">
    <w:abstractNumId w:val="8"/>
  </w:num>
  <w:num w:numId="22">
    <w:abstractNumId w:val="10"/>
  </w:num>
  <w:num w:numId="23">
    <w:abstractNumId w:val="2"/>
  </w:num>
  <w:num w:numId="24">
    <w:abstractNumId w:val="25"/>
  </w:num>
  <w:num w:numId="25">
    <w:abstractNumId w:val="18"/>
  </w:num>
  <w:num w:numId="26">
    <w:abstractNumId w:val="1"/>
  </w:num>
  <w:num w:numId="27">
    <w:abstractNumId w:val="27"/>
  </w:num>
  <w:num w:numId="28">
    <w:abstractNumId w:val="33"/>
  </w:num>
  <w:num w:numId="29">
    <w:abstractNumId w:val="17"/>
  </w:num>
  <w:num w:numId="30">
    <w:abstractNumId w:val="17"/>
  </w:num>
  <w:num w:numId="31">
    <w:abstractNumId w:val="31"/>
  </w:num>
  <w:num w:numId="32">
    <w:abstractNumId w:val="26"/>
  </w:num>
  <w:num w:numId="33">
    <w:abstractNumId w:val="17"/>
  </w:num>
  <w:num w:numId="34">
    <w:abstractNumId w:val="17"/>
  </w:num>
  <w:num w:numId="35">
    <w:abstractNumId w:val="17"/>
  </w:num>
  <w:num w:numId="36">
    <w:abstractNumId w:val="7"/>
  </w:num>
  <w:num w:numId="37">
    <w:abstractNumId w:val="6"/>
  </w:num>
  <w:num w:numId="38">
    <w:abstractNumId w:val="7"/>
  </w:num>
  <w:num w:numId="39">
    <w:abstractNumId w:val="17"/>
  </w:num>
  <w:num w:numId="40">
    <w:abstractNumId w:val="20"/>
  </w:num>
  <w:num w:numId="41">
    <w:abstractNumId w:val="9"/>
  </w:num>
  <w:num w:numId="42">
    <w:abstractNumId w:val="7"/>
  </w:num>
  <w:num w:numId="43">
    <w:abstractNumId w:val="35"/>
  </w:num>
  <w:num w:numId="44">
    <w:abstractNumId w:val="12"/>
  </w:num>
  <w:num w:numId="45">
    <w:abstractNumId w:val="36"/>
  </w:num>
  <w:num w:numId="46">
    <w:abstractNumId w:val="20"/>
  </w:num>
  <w:num w:numId="47">
    <w:abstractNumId w:val="25"/>
  </w:num>
  <w:num w:numId="4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\\rki.local\daten\Wissdaten\RKI_nCoV-Lage\1.Lagemanagement\1.3.Besprechungen_TKs\1.Lage_AG\2022-04-25_Lage_AG\Krisenstab_VE-nach-Definition_2022_04_22.pptx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\\rki.local\daten\Wissdaten\RKI_nCoV-Lage\1.Lagemanagement\1.3.Besprechungen_TKs\1.Lage_AG\2022-04-25_Lage_AG\LageNational_2022-04-25.ppt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21DC-B573-4632-AD71-1314E2A01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1367</Words>
  <Characters>8613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Halm, Ariane</cp:lastModifiedBy>
  <cp:revision>17</cp:revision>
  <cp:lastPrinted>2020-05-06T16:43:00Z</cp:lastPrinted>
  <dcterms:created xsi:type="dcterms:W3CDTF">2022-04-25T05:52:00Z</dcterms:created>
  <dcterms:modified xsi:type="dcterms:W3CDTF">2022-04-25T14:06:00Z</dcterms:modified>
</cp:coreProperties>
</file>