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27.04.2022,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w:t>
      </w:r>
      <w:proofErr w:type="spellStart"/>
      <w:r>
        <w:rPr>
          <w:b/>
          <w:sz w:val="22"/>
        </w:rPr>
        <w:t>Schaade</w:t>
      </w:r>
      <w:proofErr w:type="spellEnd"/>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contextualSpacing w:val="0"/>
        <w:rPr>
          <w:sz w:val="22"/>
          <w:szCs w:val="22"/>
        </w:rPr>
      </w:pPr>
      <w:r>
        <w:rPr>
          <w:sz w:val="22"/>
          <w:szCs w:val="22"/>
        </w:rPr>
        <w:t xml:space="preserve">Abt. </w:t>
      </w:r>
      <w:r>
        <w:rPr>
          <w:sz w:val="22"/>
          <w:szCs w:val="22"/>
        </w:rPr>
        <w:t>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FG</w:t>
      </w:r>
      <w:r>
        <w:rPr>
          <w:sz w:val="22"/>
          <w:szCs w:val="22"/>
        </w:rPr>
        <w:t>21</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2"/>
        </w:numPr>
        <w:spacing w:after="0"/>
        <w:contextualSpacing w:val="0"/>
        <w:rPr>
          <w:sz w:val="22"/>
          <w:szCs w:val="22"/>
        </w:rPr>
      </w:pPr>
      <w:r>
        <w:rPr>
          <w:sz w:val="22"/>
          <w:szCs w:val="22"/>
        </w:rPr>
        <w:t>FG3</w:t>
      </w:r>
      <w:r>
        <w:rPr>
          <w:sz w:val="22"/>
          <w:szCs w:val="22"/>
        </w:rPr>
        <w:t>5</w:t>
      </w:r>
    </w:p>
    <w:p>
      <w:pPr>
        <w:pStyle w:val="Listenabsatz"/>
        <w:numPr>
          <w:ilvl w:val="1"/>
          <w:numId w:val="2"/>
        </w:numPr>
        <w:spacing w:after="0"/>
        <w:contextualSpacing w:val="0"/>
        <w:rPr>
          <w:sz w:val="22"/>
          <w:szCs w:val="22"/>
        </w:rPr>
      </w:pPr>
      <w:r>
        <w:rPr>
          <w:sz w:val="22"/>
          <w:szCs w:val="22"/>
        </w:rPr>
        <w:t>Christina Frank</w:t>
      </w:r>
    </w:p>
    <w:p>
      <w:pPr>
        <w:pStyle w:val="Listenabsatz"/>
        <w:numPr>
          <w:ilvl w:val="1"/>
          <w:numId w:val="2"/>
        </w:numPr>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Kristina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 xml:space="preserve">Johanna </w:t>
      </w:r>
      <w:proofErr w:type="spellStart"/>
      <w:r>
        <w:rPr>
          <w:sz w:val="22"/>
          <w:szCs w:val="22"/>
        </w:rPr>
        <w:t>Hanefeld</w:t>
      </w:r>
      <w:proofErr w:type="spellEnd"/>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pStyle w:val="Listenabsatz"/>
        <w:numPr>
          <w:ilvl w:val="0"/>
          <w:numId w:val="2"/>
        </w:numPr>
        <w:spacing w:after="0" w:line="233" w:lineRule="auto"/>
        <w:contextualSpacing w:val="0"/>
        <w:rPr>
          <w:sz w:val="22"/>
          <w:szCs w:val="22"/>
        </w:rPr>
      </w:pPr>
      <w:r>
        <w:rPr>
          <w:sz w:val="22"/>
          <w:szCs w:val="22"/>
        </w:rPr>
        <w:t>MF1</w:t>
      </w:r>
    </w:p>
    <w:p>
      <w:pPr>
        <w:pStyle w:val="Listenabsatz"/>
        <w:numPr>
          <w:ilvl w:val="1"/>
          <w:numId w:val="2"/>
        </w:numPr>
        <w:spacing w:after="0" w:line="233" w:lineRule="auto"/>
        <w:contextualSpacing w:val="0"/>
        <w:rPr>
          <w:sz w:val="22"/>
          <w:szCs w:val="22"/>
        </w:rPr>
      </w:pPr>
      <w:r>
        <w:rPr>
          <w:sz w:val="22"/>
          <w:szCs w:val="22"/>
        </w:rPr>
        <w:t>Martina Fischer</w:t>
      </w:r>
    </w:p>
    <w:p>
      <w:pPr>
        <w:pStyle w:val="Listenabsatz"/>
        <w:numPr>
          <w:ilvl w:val="0"/>
          <w:numId w:val="2"/>
        </w:numPr>
        <w:spacing w:after="0" w:line="233" w:lineRule="auto"/>
        <w:contextualSpacing w:val="0"/>
        <w:rPr>
          <w:sz w:val="22"/>
          <w:szCs w:val="22"/>
        </w:rPr>
      </w:pPr>
      <w:r>
        <w:rPr>
          <w:sz w:val="22"/>
          <w:szCs w:val="22"/>
        </w:rPr>
        <w:t>ZBS7</w:t>
      </w:r>
    </w:p>
    <w:p>
      <w:pPr>
        <w:pStyle w:val="Listenabsatz"/>
        <w:numPr>
          <w:ilvl w:val="1"/>
          <w:numId w:val="2"/>
        </w:numPr>
        <w:spacing w:after="0" w:line="233" w:lineRule="auto"/>
        <w:contextualSpacing w:val="0"/>
        <w:rPr>
          <w:sz w:val="22"/>
          <w:szCs w:val="22"/>
        </w:rPr>
      </w:pPr>
      <w:r>
        <w:rPr>
          <w:sz w:val="22"/>
          <w:szCs w:val="22"/>
        </w:rPr>
        <w:t xml:space="preserve">Michaela </w:t>
      </w:r>
      <w:proofErr w:type="spellStart"/>
      <w:r>
        <w:rPr>
          <w:sz w:val="22"/>
          <w:szCs w:val="22"/>
        </w:rPr>
        <w:t>Niebank</w:t>
      </w:r>
      <w:proofErr w:type="spellEnd"/>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spacing w:after="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p>
      <w:pPr>
        <w:pStyle w:val="Listenabsatz"/>
        <w:spacing w:after="0"/>
        <w:ind w:left="1440"/>
        <w:contextualSpacing w:val="0"/>
        <w:rPr>
          <w:sz w:val="22"/>
          <w:szCs w:val="22"/>
        </w:rPr>
      </w:pPr>
    </w:p>
    <w:bookmarkEnd w:id="0"/>
    <w:p>
      <w:pPr>
        <w:rPr>
          <w:sz w:val="22"/>
          <w:szCs w:val="22"/>
        </w:rPr>
      </w:pPr>
    </w:p>
    <w:p>
      <w:pPr>
        <w:rPr>
          <w:sz w:val="22"/>
          <w:szCs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rStyle w:val="TagMiZchn"/>
              </w:rPr>
              <w:t xml:space="preserve"> </w:t>
            </w:r>
            <w:r>
              <w:rPr>
                <w:rStyle w:val="TagMiZchn"/>
                <w:sz w:val="22"/>
              </w:rPr>
              <w:t>(nur mittwochs)</w:t>
            </w:r>
          </w:p>
          <w:p>
            <w:pPr>
              <w:pStyle w:val="Liste1"/>
              <w:numPr>
                <w:ilvl w:val="0"/>
                <w:numId w:val="17"/>
              </w:numPr>
            </w:pPr>
            <w:r>
              <w:t xml:space="preserve">Folien </w:t>
            </w:r>
            <w:hyperlink r:id="rId14" w:history="1">
              <w:r>
                <w:rPr>
                  <w:rStyle w:val="Hyperlink"/>
                </w:rPr>
                <w:t>hier</w:t>
              </w:r>
            </w:hyperlink>
          </w:p>
          <w:p>
            <w:pPr>
              <w:pStyle w:val="Liste1"/>
              <w:numPr>
                <w:ilvl w:val="0"/>
                <w:numId w:val="17"/>
              </w:numPr>
            </w:pPr>
            <w:r>
              <w:t xml:space="preserve">Weltweit: </w:t>
            </w:r>
          </w:p>
          <w:p>
            <w:pPr>
              <w:pStyle w:val="Liste1"/>
              <w:numPr>
                <w:ilvl w:val="0"/>
                <w:numId w:val="17"/>
              </w:numPr>
            </w:pPr>
            <w:r>
              <w:t>Datenstand: WHO, 26.04.2022</w:t>
            </w:r>
          </w:p>
          <w:p>
            <w:pPr>
              <w:pStyle w:val="Liste1"/>
              <w:numPr>
                <w:ilvl w:val="0"/>
                <w:numId w:val="17"/>
              </w:numPr>
            </w:pPr>
            <w:r>
              <w:t>Fälle: 508.041.253 (-17% im Vergleich zu Vorwoche)</w:t>
            </w:r>
          </w:p>
          <w:p>
            <w:pPr>
              <w:pStyle w:val="Liste1"/>
              <w:numPr>
                <w:ilvl w:val="0"/>
                <w:numId w:val="17"/>
              </w:numPr>
            </w:pPr>
            <w:r>
              <w:t>Todesfälle: 6.224.220 (CFR: 1,2%)</w:t>
            </w:r>
          </w:p>
          <w:p>
            <w:pPr>
              <w:pStyle w:val="Liste1"/>
              <w:numPr>
                <w:ilvl w:val="0"/>
                <w:numId w:val="17"/>
              </w:numPr>
            </w:pPr>
            <w:r>
              <w:t xml:space="preserve">Liste Top 10 Länder nach neuen Fällen: </w:t>
            </w:r>
          </w:p>
          <w:p>
            <w:pPr>
              <w:pStyle w:val="Liste3"/>
              <w:numPr>
                <w:ilvl w:val="1"/>
                <w:numId w:val="17"/>
              </w:numPr>
            </w:pPr>
            <w:r>
              <w:t>Insgesamt entspannt sich die Lage</w:t>
            </w:r>
          </w:p>
          <w:p>
            <w:pPr>
              <w:pStyle w:val="Liste3"/>
              <w:numPr>
                <w:ilvl w:val="1"/>
                <w:numId w:val="17"/>
              </w:numPr>
            </w:pPr>
            <w:r>
              <w:t>Top 10 Länder: Deutschland, Südkorea, Frankreich, Italien, USA, Japan, Australien, Thailand, Vereinigtes Königreich, Brasilien</w:t>
            </w:r>
          </w:p>
          <w:p>
            <w:pPr>
              <w:pStyle w:val="Liste3"/>
              <w:numPr>
                <w:ilvl w:val="1"/>
                <w:numId w:val="17"/>
              </w:numPr>
            </w:pPr>
            <w:r>
              <w:t>Aufsteigender Trend: DE, IT, USA, restliche Länder absteigender Trend</w:t>
            </w:r>
          </w:p>
          <w:p>
            <w:pPr>
              <w:pStyle w:val="Liste1"/>
              <w:numPr>
                <w:ilvl w:val="0"/>
                <w:numId w:val="17"/>
              </w:numPr>
            </w:pPr>
            <w:r>
              <w:t xml:space="preserve">WHO </w:t>
            </w:r>
            <w:proofErr w:type="spellStart"/>
            <w:r>
              <w:t>epidemiological</w:t>
            </w:r>
            <w:proofErr w:type="spellEnd"/>
            <w:r>
              <w:t xml:space="preserve"> update</w:t>
            </w:r>
          </w:p>
          <w:p>
            <w:pPr>
              <w:pStyle w:val="Liste3"/>
              <w:numPr>
                <w:ilvl w:val="1"/>
                <w:numId w:val="17"/>
              </w:numPr>
            </w:pPr>
            <w:r>
              <w:t xml:space="preserve">CAVE vielerorts geänderte Teststrategien insbesondere in Europa (z.B. Spanien, Dänemark, England testen nur Risikogruppen, Personen die Behandlung im KH benötigen und Personen die mit RG arbeiten; Österreich hat den Anzahl PCR pro </w:t>
            </w:r>
            <w:proofErr w:type="spellStart"/>
            <w:proofErr w:type="gramStart"/>
            <w:r>
              <w:t>Einwohner:innen</w:t>
            </w:r>
            <w:proofErr w:type="spellEnd"/>
            <w:proofErr w:type="gramEnd"/>
            <w:r>
              <w:t xml:space="preserve"> reduziert)</w:t>
            </w:r>
          </w:p>
          <w:p>
            <w:pPr>
              <w:pStyle w:val="Liste3"/>
              <w:numPr>
                <w:ilvl w:val="1"/>
                <w:numId w:val="17"/>
              </w:numPr>
            </w:pPr>
            <w:r>
              <w:t>Dadurch wird eine schlechtere Surveillance erwartet</w:t>
            </w:r>
          </w:p>
          <w:p>
            <w:pPr>
              <w:pStyle w:val="Liste3"/>
              <w:numPr>
                <w:ilvl w:val="1"/>
                <w:numId w:val="17"/>
              </w:numPr>
            </w:pPr>
            <w:r>
              <w:t>Insgesamt Rückgang der Inzidenzen</w:t>
            </w:r>
          </w:p>
          <w:p>
            <w:pPr>
              <w:pStyle w:val="Liste3"/>
              <w:numPr>
                <w:ilvl w:val="1"/>
                <w:numId w:val="17"/>
              </w:numPr>
            </w:pPr>
            <w:r>
              <w:t>Höchster Anstieg franz. Überseegebiete, Seychellen, Südafrika (dort Bericht von 5. Welle)</w:t>
            </w:r>
          </w:p>
          <w:p>
            <w:pPr>
              <w:pStyle w:val="Liste3"/>
              <w:numPr>
                <w:ilvl w:val="1"/>
                <w:numId w:val="17"/>
              </w:numPr>
            </w:pPr>
            <w:r>
              <w:t>Afrika leichter Anstieg Fälle und Todesfälle</w:t>
            </w:r>
          </w:p>
          <w:p>
            <w:pPr>
              <w:pStyle w:val="Liste3"/>
              <w:numPr>
                <w:ilvl w:val="1"/>
                <w:numId w:val="17"/>
              </w:numPr>
            </w:pPr>
            <w:r>
              <w:t>In Asien höchste Inzidenzen in Südkorea, Butan, Singapur</w:t>
            </w:r>
          </w:p>
          <w:p>
            <w:pPr>
              <w:pStyle w:val="Liste1"/>
              <w:numPr>
                <w:ilvl w:val="0"/>
                <w:numId w:val="17"/>
              </w:numPr>
            </w:pPr>
            <w:r>
              <w:t>Karte mit 7-Tage-Inzidenz pro 100.000 Einwohner in Europa</w:t>
            </w:r>
          </w:p>
          <w:p>
            <w:pPr>
              <w:pStyle w:val="Liste3"/>
              <w:numPr>
                <w:ilvl w:val="1"/>
                <w:numId w:val="17"/>
              </w:numPr>
            </w:pPr>
            <w:r>
              <w:t>Höchste 7-Tages Inzidenz in Europa in Deutschland</w:t>
            </w:r>
          </w:p>
          <w:p>
            <w:pPr>
              <w:pStyle w:val="Liste3"/>
              <w:numPr>
                <w:ilvl w:val="1"/>
                <w:numId w:val="17"/>
              </w:numPr>
            </w:pPr>
            <w:r>
              <w:t>Omikron nach wie vor dominante Variante</w:t>
            </w:r>
          </w:p>
          <w:p>
            <w:pPr>
              <w:pStyle w:val="Liste3"/>
              <w:numPr>
                <w:ilvl w:val="1"/>
                <w:numId w:val="17"/>
              </w:numPr>
            </w:pPr>
            <w:r>
              <w:t xml:space="preserve">Beobachtung der Varianten BA.4 und BA.5 und BA.2.12.1 </w:t>
            </w:r>
          </w:p>
          <w:p>
            <w:pPr>
              <w:pStyle w:val="Liste3"/>
              <w:numPr>
                <w:ilvl w:val="1"/>
                <w:numId w:val="17"/>
              </w:numPr>
            </w:pPr>
            <w:r>
              <w:t>BA.2 macht den größten Anteil der Varianten aus (68%), zunehmender Anteil von BA.2.12.1 (29% Prävalenz in USA), zuerst detektiert in NYC. Wachstumsvorteil gegenüber BA.2: 27%</w:t>
            </w:r>
          </w:p>
          <w:p>
            <w:pPr>
              <w:pStyle w:val="Liste3"/>
              <w:numPr>
                <w:ilvl w:val="1"/>
                <w:numId w:val="17"/>
              </w:numPr>
            </w:pPr>
            <w:r>
              <w:t>Kein Hinweis auf erhöhte Krankheitsschwere</w:t>
            </w:r>
          </w:p>
          <w:p>
            <w:pPr>
              <w:pStyle w:val="Liste2"/>
              <w:numPr>
                <w:ilvl w:val="0"/>
                <w:numId w:val="0"/>
              </w:numPr>
              <w:rPr>
                <w:b/>
              </w:rPr>
            </w:pPr>
            <w:r>
              <w:rPr>
                <w:b/>
                <w:lang w:val="de-DE"/>
              </w:rPr>
              <w:t xml:space="preserve"> N</w:t>
            </w:r>
            <w:proofErr w:type="spellStart"/>
            <w:r>
              <w:rPr>
                <w:b/>
              </w:rPr>
              <w:t>ational</w:t>
            </w:r>
            <w:proofErr w:type="spellEnd"/>
            <w:r>
              <w:rPr>
                <w:b/>
              </w:rPr>
              <w:t xml:space="preserve"> </w:t>
            </w:r>
          </w:p>
          <w:p>
            <w:pPr>
              <w:pStyle w:val="Liste1"/>
              <w:numPr>
                <w:ilvl w:val="0"/>
                <w:numId w:val="17"/>
              </w:numPr>
            </w:pPr>
            <w:r>
              <w:t xml:space="preserve">Fallzahlen, Todesfälle, Trend, Folien </w:t>
            </w:r>
            <w:hyperlink r:id="rId15" w:history="1">
              <w:r>
                <w:rPr>
                  <w:rStyle w:val="Hyperlink"/>
                </w:rPr>
                <w:t>hier</w:t>
              </w:r>
            </w:hyperlink>
          </w:p>
          <w:p>
            <w:pPr>
              <w:pStyle w:val="Liste1"/>
              <w:numPr>
                <w:ilvl w:val="0"/>
                <w:numId w:val="17"/>
              </w:numPr>
            </w:pPr>
            <w:proofErr w:type="spellStart"/>
            <w:r>
              <w:t>SurvNet</w:t>
            </w:r>
            <w:proofErr w:type="spellEnd"/>
            <w:r>
              <w:t xml:space="preserve"> übermittelt: 24.479.055(+141.661), davon 134.832 (+343) Todesfälle </w:t>
            </w:r>
          </w:p>
          <w:p>
            <w:pPr>
              <w:pStyle w:val="Liste1"/>
              <w:numPr>
                <w:ilvl w:val="0"/>
                <w:numId w:val="17"/>
              </w:numPr>
            </w:pPr>
            <w:r>
              <w:t xml:space="preserve">7-Tage-Inzidenz:  887,6/100.000 </w:t>
            </w:r>
            <w:proofErr w:type="spellStart"/>
            <w:r>
              <w:t>Einw</w:t>
            </w:r>
            <w:proofErr w:type="spellEnd"/>
            <w:r>
              <w:t>.</w:t>
            </w:r>
          </w:p>
          <w:p>
            <w:pPr>
              <w:pStyle w:val="Liste1"/>
              <w:numPr>
                <w:ilvl w:val="0"/>
                <w:numId w:val="17"/>
              </w:numPr>
            </w:pPr>
            <w:r>
              <w:t>Impfmonitoring: Geimpfte mit 1. Dosis 63.751.080 (76,7%), mit vollständiger Impfung (76.1%)</w:t>
            </w:r>
          </w:p>
          <w:p>
            <w:pPr>
              <w:pStyle w:val="Liste1"/>
              <w:numPr>
                <w:ilvl w:val="0"/>
                <w:numId w:val="17"/>
              </w:numPr>
            </w:pPr>
            <w:r>
              <w:t>Verlauf der 7-Tage-Inzidenz der Bundesländer:</w:t>
            </w:r>
          </w:p>
          <w:p>
            <w:pPr>
              <w:pStyle w:val="Liste3"/>
              <w:numPr>
                <w:ilvl w:val="1"/>
                <w:numId w:val="17"/>
              </w:numPr>
            </w:pPr>
            <w:r>
              <w:t xml:space="preserve">In KW15 und KW16 konnte ein leichter Rückgang der Fallzahlen beobachtet werden, die vermutlich auf die </w:t>
            </w:r>
            <w:r>
              <w:lastRenderedPageBreak/>
              <w:t>Osterferien zurückzuführen sind. In den letzten Tagen gab es insbesondere im Norden (Niedersachsen, Schleswig-Holstein und Bremen) eine Zunahme der Fallzahlen. Diese sind eventuell auf den wiederaufgenommenen Schulbetrieb zurückzuführen. Dies spiegelt sich auch in der AG wieder, die AG 10-25 hat den höchsten Fallzahlenanstieg</w:t>
            </w:r>
          </w:p>
          <w:p>
            <w:pPr>
              <w:pStyle w:val="Liste1"/>
              <w:numPr>
                <w:ilvl w:val="0"/>
                <w:numId w:val="17"/>
              </w:numPr>
            </w:pPr>
            <w:r>
              <w:t>7-Tage-Inzidenz nach Altersgruppen</w:t>
            </w:r>
          </w:p>
          <w:p>
            <w:pPr>
              <w:pStyle w:val="Liste3"/>
              <w:numPr>
                <w:ilvl w:val="1"/>
                <w:numId w:val="17"/>
              </w:numPr>
            </w:pPr>
            <w:r>
              <w:t>In Niedersachsen, Bremen, Schleswig-Holstein deutliche Zunahme der Fallzahlen, in älteren AG ist eine Entspannung erkennbar</w:t>
            </w:r>
          </w:p>
          <w:p>
            <w:pPr>
              <w:pStyle w:val="Liste3"/>
              <w:numPr>
                <w:ilvl w:val="1"/>
                <w:numId w:val="17"/>
              </w:numPr>
            </w:pPr>
            <w:r>
              <w:t>Alle Inzidenzen aber eher im absteigenden Trend</w:t>
            </w:r>
          </w:p>
          <w:p>
            <w:pPr>
              <w:pStyle w:val="Liste1"/>
              <w:numPr>
                <w:ilvl w:val="0"/>
                <w:numId w:val="17"/>
              </w:numPr>
            </w:pPr>
            <w:r>
              <w:t>COVID-19-Fälle nach Altersgruppe und Sterbedatum</w:t>
            </w:r>
          </w:p>
          <w:p>
            <w:pPr>
              <w:pStyle w:val="Liste3"/>
              <w:numPr>
                <w:ilvl w:val="1"/>
                <w:numId w:val="17"/>
              </w:numPr>
            </w:pPr>
            <w:r>
              <w:t>Zahlen der Todesfälle sind trotz erwarteter Nachmeldungen rückläufig, auch geringer als in KW12</w:t>
            </w:r>
          </w:p>
          <w:p>
            <w:pPr>
              <w:pStyle w:val="Liste1"/>
              <w:numPr>
                <w:ilvl w:val="0"/>
                <w:numId w:val="17"/>
              </w:numPr>
            </w:pPr>
            <w:r>
              <w:t>Destatis-Daten waren jetzt noch nicht verfügbar, werden nächsten Mittwoch berichtet</w:t>
            </w:r>
          </w:p>
          <w:p>
            <w:pPr>
              <w:pStyle w:val="Liste1"/>
              <w:numPr>
                <w:ilvl w:val="0"/>
                <w:numId w:val="0"/>
              </w:numPr>
              <w:ind w:left="720"/>
            </w:pPr>
          </w:p>
          <w:p>
            <w:pPr>
              <w:pStyle w:val="Liste1"/>
              <w:numPr>
                <w:ilvl w:val="0"/>
                <w:numId w:val="17"/>
              </w:numPr>
            </w:pPr>
            <w:r>
              <w:t xml:space="preserve">Modellierungen </w:t>
            </w:r>
            <w:r>
              <w:rPr>
                <w:b/>
                <w:i/>
                <w:color w:val="95B3D7" w:themeColor="accent1" w:themeTint="99"/>
                <w:sz w:val="20"/>
              </w:rPr>
              <w:t>(nur montags)</w:t>
            </w:r>
          </w:p>
          <w:p>
            <w:pPr>
              <w:pStyle w:val="Liste1"/>
              <w:numPr>
                <w:ilvl w:val="0"/>
                <w:numId w:val="17"/>
              </w:numPr>
            </w:pPr>
            <w:r>
              <w:t>(nicht berichtet)</w:t>
            </w:r>
          </w:p>
          <w:p>
            <w:pPr>
              <w:pStyle w:val="Liste1"/>
              <w:numPr>
                <w:ilvl w:val="0"/>
                <w:numId w:val="0"/>
              </w:numPr>
              <w:ind w:left="473" w:hanging="360"/>
            </w:pPr>
          </w:p>
          <w:p>
            <w:pPr>
              <w:pStyle w:val="Liste1"/>
              <w:numPr>
                <w:ilvl w:val="0"/>
                <w:numId w:val="0"/>
              </w:numPr>
              <w:ind w:left="113"/>
            </w:pPr>
          </w:p>
          <w:p>
            <w:pPr>
              <w:pStyle w:val="Liste1"/>
              <w:numPr>
                <w:ilvl w:val="0"/>
                <w:numId w:val="17"/>
              </w:numPr>
              <w:rPr>
                <w:rFonts w:ascii="Cambria" w:hAnsi="Cambria"/>
              </w:rPr>
            </w:pPr>
            <w:r>
              <w:rPr>
                <w:rFonts w:ascii="Cambria" w:hAnsi="Cambria"/>
                <w:b/>
              </w:rPr>
              <w:t>ITS-Belegung und Spock</w:t>
            </w:r>
            <w:r>
              <w:rPr>
                <w:rFonts w:ascii="Cambria" w:hAnsi="Cambria"/>
              </w:rPr>
              <w:t xml:space="preserve"> (Folien </w:t>
            </w:r>
            <w:hyperlink r:id="rId16" w:history="1">
              <w:r>
                <w:rPr>
                  <w:rStyle w:val="Hyperlink"/>
                  <w:rFonts w:ascii="Cambria" w:hAnsi="Cambria"/>
                </w:rPr>
                <w:t>hier</w:t>
              </w:r>
            </w:hyperlink>
            <w:r>
              <w:rPr>
                <w:rFonts w:ascii="Cambria" w:hAnsi="Cambria"/>
              </w:rPr>
              <w:t xml:space="preserve">)  </w:t>
            </w:r>
          </w:p>
          <w:p>
            <w:pPr>
              <w:pStyle w:val="Listenabsatz"/>
              <w:numPr>
                <w:ilvl w:val="1"/>
                <w:numId w:val="17"/>
              </w:numPr>
              <w:rPr>
                <w:rFonts w:ascii="Cambria" w:hAnsi="Cambria"/>
                <w:sz w:val="22"/>
                <w:szCs w:val="22"/>
              </w:rPr>
            </w:pPr>
            <w:r>
              <w:rPr>
                <w:rFonts w:ascii="Cambria" w:hAnsi="Cambria"/>
                <w:sz w:val="22"/>
                <w:szCs w:val="22"/>
              </w:rPr>
              <w:t xml:space="preserve">DIVI-Intensivregister </w:t>
            </w:r>
          </w:p>
          <w:p>
            <w:pPr>
              <w:pStyle w:val="Listenabsatz"/>
              <w:numPr>
                <w:ilvl w:val="2"/>
                <w:numId w:val="17"/>
              </w:numPr>
              <w:rPr>
                <w:rFonts w:ascii="Cambria" w:hAnsi="Cambria"/>
                <w:sz w:val="22"/>
                <w:szCs w:val="22"/>
              </w:rPr>
            </w:pPr>
            <w:r>
              <w:rPr>
                <w:rFonts w:ascii="Cambria" w:hAnsi="Cambria"/>
                <w:sz w:val="22"/>
                <w:szCs w:val="22"/>
              </w:rPr>
              <w:t>Mit Stand 27.04.2022 werden 1.450 COVID-19-</w:t>
            </w:r>
            <w:proofErr w:type="gramStart"/>
            <w:r>
              <w:rPr>
                <w:rFonts w:ascii="Cambria" w:hAnsi="Cambria"/>
                <w:sz w:val="22"/>
                <w:szCs w:val="22"/>
              </w:rPr>
              <w:t>Patient:innen</w:t>
            </w:r>
            <w:proofErr w:type="gramEnd"/>
            <w:r>
              <w:rPr>
                <w:rFonts w:ascii="Cambria" w:hAnsi="Cambria"/>
                <w:sz w:val="22"/>
                <w:szCs w:val="22"/>
              </w:rPr>
              <w:t xml:space="preserve"> auf Intensivstationen der ca. 1300 Akutkrankenhäuser behandelt</w:t>
            </w:r>
          </w:p>
          <w:p>
            <w:pPr>
              <w:pStyle w:val="Listenabsatz"/>
              <w:numPr>
                <w:ilvl w:val="2"/>
                <w:numId w:val="17"/>
              </w:numPr>
              <w:rPr>
                <w:rFonts w:ascii="Cambria" w:hAnsi="Cambria"/>
                <w:sz w:val="22"/>
                <w:szCs w:val="22"/>
              </w:rPr>
            </w:pPr>
            <w:r>
              <w:rPr>
                <w:rFonts w:ascii="Cambria" w:hAnsi="Cambria"/>
                <w:sz w:val="22"/>
                <w:szCs w:val="22"/>
              </w:rPr>
              <w:t>Rückgang in der COVID-ITS-Belegung</w:t>
            </w:r>
          </w:p>
          <w:p>
            <w:pPr>
              <w:pStyle w:val="Listenabsatz"/>
              <w:numPr>
                <w:ilvl w:val="2"/>
                <w:numId w:val="17"/>
              </w:numPr>
              <w:rPr>
                <w:rFonts w:ascii="Cambria" w:hAnsi="Cambria"/>
                <w:sz w:val="22"/>
                <w:szCs w:val="22"/>
              </w:rPr>
            </w:pPr>
            <w:r>
              <w:rPr>
                <w:rFonts w:ascii="Cambria" w:hAnsi="Cambria"/>
                <w:sz w:val="22"/>
                <w:szCs w:val="22"/>
              </w:rPr>
              <w:t>ITS-COVID-Neuaufnahmen mit +1.142 in den letzten 7 Tagen</w:t>
            </w:r>
          </w:p>
          <w:p>
            <w:pPr>
              <w:pStyle w:val="Listenabsatz"/>
              <w:numPr>
                <w:ilvl w:val="1"/>
                <w:numId w:val="17"/>
              </w:numPr>
              <w:rPr>
                <w:rFonts w:ascii="Cambria" w:hAnsi="Cambria"/>
                <w:sz w:val="22"/>
                <w:szCs w:val="22"/>
              </w:rPr>
            </w:pPr>
            <w:r>
              <w:rPr>
                <w:rFonts w:ascii="Cambria" w:hAnsi="Cambria"/>
                <w:sz w:val="22"/>
                <w:szCs w:val="22"/>
              </w:rPr>
              <w:t>Anteil der COVID-19-Patient*innen an der Gesamtzahl betreibbarer ITS-Betten</w:t>
            </w:r>
          </w:p>
          <w:p>
            <w:pPr>
              <w:pStyle w:val="Listenabsatz"/>
              <w:numPr>
                <w:ilvl w:val="2"/>
                <w:numId w:val="17"/>
              </w:numPr>
              <w:rPr>
                <w:rFonts w:ascii="Cambria" w:hAnsi="Cambria"/>
                <w:sz w:val="22"/>
                <w:szCs w:val="22"/>
              </w:rPr>
            </w:pPr>
            <w:r>
              <w:rPr>
                <w:rFonts w:ascii="Cambria" w:hAnsi="Cambria"/>
                <w:sz w:val="22"/>
                <w:szCs w:val="22"/>
              </w:rPr>
              <w:t>Im Norden hohes Niveau, Bremen leichter Trend nach oben. Nord-Ost und Mitte absteigender Trend, Süd bis auf Saarland auch absteigend</w:t>
            </w:r>
          </w:p>
          <w:p>
            <w:pPr>
              <w:pStyle w:val="Listenabsatz"/>
              <w:numPr>
                <w:ilvl w:val="1"/>
                <w:numId w:val="17"/>
              </w:numPr>
              <w:rPr>
                <w:rFonts w:ascii="Cambria" w:hAnsi="Cambria"/>
                <w:sz w:val="22"/>
                <w:szCs w:val="22"/>
              </w:rPr>
            </w:pPr>
            <w:r>
              <w:rPr>
                <w:rFonts w:ascii="Cambria" w:hAnsi="Cambria"/>
                <w:sz w:val="22"/>
                <w:szCs w:val="22"/>
              </w:rPr>
              <w:t>Behandlungsbelegung COVID-19 nach Schweregrad</w:t>
            </w:r>
          </w:p>
          <w:p>
            <w:pPr>
              <w:pStyle w:val="Listenabsatz"/>
              <w:numPr>
                <w:ilvl w:val="2"/>
                <w:numId w:val="17"/>
              </w:numPr>
              <w:rPr>
                <w:rFonts w:ascii="Cambria" w:hAnsi="Cambria"/>
                <w:sz w:val="22"/>
                <w:szCs w:val="22"/>
              </w:rPr>
            </w:pPr>
            <w:r>
              <w:rPr>
                <w:rFonts w:ascii="Cambria" w:hAnsi="Cambria"/>
                <w:sz w:val="22"/>
                <w:szCs w:val="22"/>
              </w:rPr>
              <w:t>Starker Rückgang bei invasiver Beatmung oder ECMO Behandlung, derzeit wieder mehr freie ECMO Kapazitäten, auch zur Behandlung von Nicht-COVID-</w:t>
            </w:r>
            <w:proofErr w:type="gramStart"/>
            <w:r>
              <w:rPr>
                <w:rFonts w:ascii="Cambria" w:hAnsi="Cambria"/>
                <w:sz w:val="22"/>
                <w:szCs w:val="22"/>
              </w:rPr>
              <w:t>Patient:innen</w:t>
            </w:r>
            <w:proofErr w:type="gramEnd"/>
          </w:p>
          <w:p>
            <w:pPr>
              <w:pStyle w:val="Listenabsatz"/>
              <w:numPr>
                <w:ilvl w:val="2"/>
                <w:numId w:val="17"/>
              </w:numPr>
              <w:rPr>
                <w:rFonts w:ascii="Cambria" w:hAnsi="Cambria"/>
                <w:sz w:val="22"/>
                <w:szCs w:val="22"/>
              </w:rPr>
            </w:pPr>
            <w:r>
              <w:rPr>
                <w:rFonts w:ascii="Cambria" w:hAnsi="Cambria"/>
                <w:sz w:val="22"/>
                <w:szCs w:val="22"/>
              </w:rPr>
              <w:t>Gründe der Betriebseinschränkung: vorhandene Belastung wird noch durch Personalmangel getrieben. Insgesamt eine leichte Entspannung aber noch immer ein hohes Niveau</w:t>
            </w:r>
          </w:p>
          <w:p>
            <w:pPr>
              <w:pStyle w:val="Listenabsatz"/>
              <w:numPr>
                <w:ilvl w:val="1"/>
                <w:numId w:val="17"/>
              </w:numPr>
              <w:rPr>
                <w:rFonts w:ascii="Cambria" w:hAnsi="Cambria"/>
                <w:sz w:val="22"/>
                <w:szCs w:val="22"/>
              </w:rPr>
            </w:pPr>
            <w:r>
              <w:rPr>
                <w:rFonts w:ascii="Cambria" w:hAnsi="Cambria"/>
                <w:sz w:val="22"/>
                <w:szCs w:val="22"/>
              </w:rPr>
              <w:t>Altersgruppen</w:t>
            </w:r>
          </w:p>
          <w:p>
            <w:pPr>
              <w:pStyle w:val="Listenabsatz"/>
              <w:numPr>
                <w:ilvl w:val="2"/>
                <w:numId w:val="17"/>
              </w:numPr>
              <w:rPr>
                <w:rFonts w:ascii="Cambria" w:hAnsi="Cambria"/>
                <w:sz w:val="22"/>
                <w:szCs w:val="22"/>
              </w:rPr>
            </w:pPr>
            <w:r>
              <w:rPr>
                <w:rFonts w:ascii="Cambria" w:hAnsi="Cambria"/>
                <w:sz w:val="22"/>
                <w:szCs w:val="22"/>
              </w:rPr>
              <w:t>In allen AG Rückgang, Trend setzt sich nach unten fort</w:t>
            </w:r>
          </w:p>
          <w:p>
            <w:pPr>
              <w:pStyle w:val="Listenabsatz"/>
              <w:numPr>
                <w:ilvl w:val="2"/>
                <w:numId w:val="17"/>
              </w:numPr>
              <w:rPr>
                <w:rFonts w:ascii="Cambria" w:hAnsi="Cambria"/>
                <w:sz w:val="22"/>
                <w:szCs w:val="22"/>
              </w:rPr>
            </w:pPr>
            <w:r>
              <w:rPr>
                <w:rFonts w:ascii="Cambria" w:hAnsi="Cambria"/>
                <w:sz w:val="22"/>
                <w:szCs w:val="22"/>
              </w:rPr>
              <w:t xml:space="preserve">Anteil der Hochaltrigen auf ITS hoch (Liegedauer der älteren </w:t>
            </w:r>
            <w:proofErr w:type="gramStart"/>
            <w:r>
              <w:rPr>
                <w:rFonts w:ascii="Cambria" w:hAnsi="Cambria"/>
                <w:sz w:val="22"/>
                <w:szCs w:val="22"/>
              </w:rPr>
              <w:t>Patient:innen</w:t>
            </w:r>
            <w:proofErr w:type="gramEnd"/>
            <w:r>
              <w:rPr>
                <w:rFonts w:ascii="Cambria" w:hAnsi="Cambria"/>
                <w:sz w:val="22"/>
                <w:szCs w:val="22"/>
              </w:rPr>
              <w:t xml:space="preserve"> auch länger); 78% der Belegung durch über 60-Jährige</w:t>
            </w:r>
          </w:p>
          <w:p>
            <w:pPr>
              <w:pStyle w:val="Listenabsatz"/>
              <w:numPr>
                <w:ilvl w:val="2"/>
                <w:numId w:val="17"/>
              </w:numPr>
              <w:rPr>
                <w:rFonts w:ascii="Cambria" w:hAnsi="Cambria"/>
                <w:sz w:val="22"/>
                <w:szCs w:val="22"/>
              </w:rPr>
            </w:pPr>
            <w:r>
              <w:rPr>
                <w:rFonts w:ascii="Cambria" w:hAnsi="Cambria"/>
                <w:sz w:val="22"/>
                <w:szCs w:val="22"/>
              </w:rPr>
              <w:lastRenderedPageBreak/>
              <w:t>Verstorbene: hohes Plateau, leichter aber nicht sehr deutlicher Rückgang erkennbar</w:t>
            </w:r>
          </w:p>
          <w:p>
            <w:pPr>
              <w:pStyle w:val="Listenabsatz"/>
              <w:numPr>
                <w:ilvl w:val="2"/>
                <w:numId w:val="17"/>
              </w:numPr>
              <w:rPr>
                <w:rFonts w:ascii="Cambria" w:hAnsi="Cambria"/>
                <w:sz w:val="22"/>
                <w:szCs w:val="22"/>
              </w:rPr>
            </w:pPr>
            <w:proofErr w:type="spellStart"/>
            <w:r>
              <w:rPr>
                <w:rFonts w:ascii="Cambria" w:hAnsi="Cambria"/>
                <w:sz w:val="22"/>
                <w:szCs w:val="22"/>
              </w:rPr>
              <w:t>SPoCK</w:t>
            </w:r>
            <w:proofErr w:type="spellEnd"/>
            <w:r>
              <w:rPr>
                <w:rFonts w:ascii="Cambria" w:hAnsi="Cambria"/>
                <w:sz w:val="22"/>
                <w:szCs w:val="22"/>
              </w:rPr>
              <w:t xml:space="preserve">: Trend Rückgang setzt sich in allen 5 Kleeblättern fort </w:t>
            </w:r>
          </w:p>
          <w:p>
            <w:pPr>
              <w:rPr>
                <w:rFonts w:ascii="Cambria" w:hAnsi="Cambria"/>
                <w:sz w:val="22"/>
                <w:szCs w:val="22"/>
              </w:rPr>
            </w:pPr>
          </w:p>
          <w:p>
            <w:pPr>
              <w:pStyle w:val="Liste1"/>
              <w:numPr>
                <w:ilvl w:val="0"/>
                <w:numId w:val="17"/>
              </w:numPr>
              <w:rPr>
                <w:rFonts w:ascii="Cambria" w:hAnsi="Cambria"/>
              </w:rPr>
            </w:pPr>
            <w:r>
              <w:rPr>
                <w:rFonts w:ascii="Cambria" w:hAnsi="Cambria"/>
                <w:b/>
              </w:rPr>
              <w:t>Syndromische Surveillance</w:t>
            </w:r>
            <w:r>
              <w:rPr>
                <w:rStyle w:val="TagMiZchn"/>
                <w:rFonts w:ascii="Cambria" w:hAnsi="Cambria"/>
              </w:rPr>
              <w:t xml:space="preserve"> </w:t>
            </w:r>
            <w:r>
              <w:rPr>
                <w:rFonts w:ascii="Cambria" w:hAnsi="Cambria"/>
              </w:rPr>
              <w:t>(Folien</w:t>
            </w:r>
            <w:r>
              <w:t xml:space="preserve"> </w:t>
            </w:r>
            <w:hyperlink r:id="rId17" w:history="1">
              <w:r>
                <w:rPr>
                  <w:rStyle w:val="Hyperlink"/>
                </w:rPr>
                <w:t>hier</w:t>
              </w:r>
            </w:hyperlink>
            <w:r>
              <w:rPr>
                <w:rFonts w:ascii="Cambria" w:hAnsi="Cambria"/>
              </w:rPr>
              <w:t>)</w:t>
            </w:r>
          </w:p>
          <w:p>
            <w:pPr>
              <w:pStyle w:val="Listenabsatz"/>
              <w:numPr>
                <w:ilvl w:val="0"/>
                <w:numId w:val="17"/>
              </w:numPr>
              <w:rPr>
                <w:rFonts w:ascii="Cambria" w:hAnsi="Cambria"/>
                <w:sz w:val="22"/>
                <w:szCs w:val="22"/>
              </w:rPr>
            </w:pPr>
            <w:proofErr w:type="spellStart"/>
            <w:r>
              <w:rPr>
                <w:rFonts w:ascii="Cambria" w:hAnsi="Cambria"/>
                <w:sz w:val="22"/>
                <w:szCs w:val="22"/>
              </w:rPr>
              <w:t>GrippeWeb</w:t>
            </w:r>
            <w:proofErr w:type="spellEnd"/>
          </w:p>
          <w:p>
            <w:pPr>
              <w:pStyle w:val="Listenabsatz"/>
              <w:numPr>
                <w:ilvl w:val="0"/>
                <w:numId w:val="19"/>
              </w:numPr>
              <w:rPr>
                <w:rFonts w:ascii="Cambria" w:hAnsi="Cambria"/>
                <w:sz w:val="22"/>
                <w:szCs w:val="22"/>
              </w:rPr>
            </w:pPr>
            <w:r>
              <w:rPr>
                <w:rFonts w:ascii="Cambria" w:hAnsi="Cambria"/>
                <w:sz w:val="22"/>
                <w:szCs w:val="22"/>
              </w:rPr>
              <w:t>ARE-Rate in KW16 gesunken auf 4,0% (Vorwoche 5,3%) liegt im vorpandemischen Bereich, hauptsächlich durch Kinder gesunken</w:t>
            </w:r>
          </w:p>
          <w:p>
            <w:pPr>
              <w:pStyle w:val="Listenabsatz"/>
              <w:numPr>
                <w:ilvl w:val="0"/>
                <w:numId w:val="19"/>
              </w:numPr>
              <w:rPr>
                <w:rFonts w:ascii="Cambria" w:hAnsi="Cambria"/>
                <w:sz w:val="22"/>
                <w:szCs w:val="22"/>
              </w:rPr>
            </w:pPr>
            <w:r>
              <w:rPr>
                <w:rFonts w:ascii="Cambria" w:hAnsi="Cambria"/>
                <w:sz w:val="22"/>
                <w:szCs w:val="22"/>
              </w:rPr>
              <w:t>Wert lag in der 16.KW bei 4.000 ARE pro 100.000 Einwohnenden, entspricht einer Gesamtzahl von 3,3 Mio. ARE in Deutschland, unabhängig von einem Arztbesuch</w:t>
            </w:r>
          </w:p>
          <w:p>
            <w:pPr>
              <w:pStyle w:val="Listenabsatz"/>
              <w:numPr>
                <w:ilvl w:val="0"/>
                <w:numId w:val="20"/>
              </w:numPr>
              <w:rPr>
                <w:rFonts w:ascii="Cambria" w:hAnsi="Cambria"/>
                <w:sz w:val="22"/>
                <w:szCs w:val="22"/>
              </w:rPr>
            </w:pPr>
            <w:r>
              <w:rPr>
                <w:rFonts w:ascii="Cambria" w:hAnsi="Cambria"/>
                <w:sz w:val="22"/>
                <w:szCs w:val="22"/>
              </w:rPr>
              <w:t>ARE-Konsultationen/100.000 Einwohnenden</w:t>
            </w:r>
          </w:p>
          <w:p>
            <w:pPr>
              <w:pStyle w:val="Listenabsatz"/>
              <w:numPr>
                <w:ilvl w:val="0"/>
                <w:numId w:val="21"/>
              </w:numPr>
              <w:rPr>
                <w:rFonts w:ascii="Cambria" w:hAnsi="Cambria"/>
                <w:sz w:val="22"/>
                <w:szCs w:val="22"/>
              </w:rPr>
            </w:pPr>
            <w:r>
              <w:rPr>
                <w:rFonts w:ascii="Cambria" w:hAnsi="Cambria"/>
                <w:sz w:val="22"/>
                <w:szCs w:val="22"/>
              </w:rPr>
              <w:t>16. KW: zur Vorwoche bei den Erwachsenen leicht gestiegen, rund 1.300 Arztkonsultationen wegen ARE pro 100.000 EW</w:t>
            </w:r>
          </w:p>
          <w:p>
            <w:pPr>
              <w:pStyle w:val="Listenabsatz"/>
              <w:numPr>
                <w:ilvl w:val="0"/>
                <w:numId w:val="21"/>
              </w:numPr>
              <w:rPr>
                <w:rFonts w:ascii="Cambria" w:hAnsi="Cambria"/>
                <w:sz w:val="22"/>
                <w:szCs w:val="22"/>
              </w:rPr>
            </w:pPr>
            <w:r>
              <w:rPr>
                <w:rFonts w:ascii="Cambria" w:hAnsi="Cambria"/>
                <w:sz w:val="22"/>
                <w:szCs w:val="22"/>
              </w:rPr>
              <w:t>Allerdings ist zu beachten, dass Osterferien/Feiertage waren, weniger Meldungen und verändertes Konsultationsverhalten. Durch Nachmeldungen auch noch stärkere Änderungen möglich</w:t>
            </w:r>
          </w:p>
          <w:p>
            <w:pPr>
              <w:pStyle w:val="Listenabsatz"/>
              <w:numPr>
                <w:ilvl w:val="0"/>
                <w:numId w:val="21"/>
              </w:numPr>
              <w:rPr>
                <w:rFonts w:ascii="Cambria" w:hAnsi="Cambria"/>
                <w:sz w:val="22"/>
                <w:szCs w:val="22"/>
              </w:rPr>
            </w:pPr>
            <w:r>
              <w:rPr>
                <w:rFonts w:ascii="Cambria" w:hAnsi="Cambria"/>
                <w:sz w:val="22"/>
                <w:szCs w:val="22"/>
              </w:rPr>
              <w:t>Konsultationsinzidenz insgesamt liegt deutlich höher als in den letzten beiden Jahren (Pandemiejahre)</w:t>
            </w:r>
          </w:p>
          <w:p>
            <w:pPr>
              <w:pStyle w:val="Listenabsatz"/>
              <w:numPr>
                <w:ilvl w:val="0"/>
                <w:numId w:val="21"/>
              </w:numPr>
              <w:rPr>
                <w:rFonts w:ascii="Cambria" w:hAnsi="Cambria"/>
                <w:sz w:val="22"/>
                <w:szCs w:val="22"/>
              </w:rPr>
            </w:pPr>
            <w:r>
              <w:rPr>
                <w:rFonts w:ascii="Cambria" w:hAnsi="Cambria"/>
                <w:sz w:val="22"/>
                <w:szCs w:val="22"/>
              </w:rPr>
              <w:t>Die Zahl der ARE-Konsultationen ist in der 16. KW im Vergleich zur Vorwoche bei den Kindern gesunken oder stabil geblieben</w:t>
            </w:r>
          </w:p>
          <w:p>
            <w:pPr>
              <w:pStyle w:val="Listenabsatz"/>
              <w:numPr>
                <w:ilvl w:val="0"/>
                <w:numId w:val="21"/>
              </w:numPr>
              <w:rPr>
                <w:rFonts w:ascii="Cambria" w:hAnsi="Cambria"/>
                <w:sz w:val="22"/>
                <w:szCs w:val="22"/>
              </w:rPr>
            </w:pPr>
            <w:r>
              <w:rPr>
                <w:rFonts w:ascii="Cambria" w:hAnsi="Cambria"/>
                <w:sz w:val="22"/>
                <w:szCs w:val="22"/>
              </w:rPr>
              <w:t>Den deutlichsten Anstieg gab es im Vergleich zur Vorwoche bei den 15-59-Jährigen (10% bzw. 11%)</w:t>
            </w:r>
          </w:p>
          <w:p>
            <w:pPr>
              <w:pStyle w:val="Listenabsatz"/>
              <w:numPr>
                <w:ilvl w:val="0"/>
                <w:numId w:val="21"/>
              </w:numPr>
              <w:rPr>
                <w:rFonts w:ascii="Cambria" w:hAnsi="Cambria"/>
                <w:sz w:val="22"/>
                <w:szCs w:val="22"/>
              </w:rPr>
            </w:pPr>
            <w:r>
              <w:rPr>
                <w:rFonts w:ascii="Cambria" w:hAnsi="Cambria"/>
                <w:sz w:val="22"/>
                <w:szCs w:val="22"/>
              </w:rPr>
              <w:t>Tendenz in den BL im Vergleich zur Vorwoche: ähnlich wie gesamt, aber es gibt regionale Unterschiede</w:t>
            </w:r>
          </w:p>
          <w:p>
            <w:pPr>
              <w:pStyle w:val="Listenabsatz"/>
              <w:numPr>
                <w:ilvl w:val="0"/>
                <w:numId w:val="20"/>
              </w:numPr>
              <w:rPr>
                <w:rFonts w:ascii="Cambria" w:hAnsi="Cambria"/>
                <w:sz w:val="22"/>
                <w:szCs w:val="22"/>
              </w:rPr>
            </w:pPr>
            <w:r>
              <w:rPr>
                <w:rFonts w:ascii="Cambria" w:hAnsi="Cambria"/>
                <w:sz w:val="22"/>
                <w:szCs w:val="22"/>
              </w:rPr>
              <w:t>ARE-Konsultationen mit COVID-Diagnose</w:t>
            </w:r>
          </w:p>
          <w:p>
            <w:pPr>
              <w:pStyle w:val="Listenabsatz"/>
              <w:numPr>
                <w:ilvl w:val="0"/>
                <w:numId w:val="22"/>
              </w:numPr>
              <w:rPr>
                <w:rFonts w:ascii="Cambria" w:hAnsi="Cambria"/>
                <w:sz w:val="22"/>
                <w:szCs w:val="22"/>
              </w:rPr>
            </w:pPr>
            <w:r>
              <w:rPr>
                <w:rFonts w:ascii="Cambria" w:hAnsi="Cambria"/>
                <w:sz w:val="22"/>
                <w:szCs w:val="22"/>
              </w:rPr>
              <w:t>Leicht gestiegen, rund 450 Arztbesuche ARE mit COVID-Diagnose/100.000 EW (=Gesamtzahl von rund 380.000 RE-COVID-Arztbesuchen in DE)</w:t>
            </w:r>
          </w:p>
          <w:p>
            <w:pPr>
              <w:pStyle w:val="Listenabsatz"/>
              <w:numPr>
                <w:ilvl w:val="0"/>
                <w:numId w:val="22"/>
              </w:numPr>
              <w:rPr>
                <w:rFonts w:ascii="Cambria" w:hAnsi="Cambria"/>
                <w:sz w:val="22"/>
                <w:szCs w:val="22"/>
              </w:rPr>
            </w:pPr>
            <w:r>
              <w:rPr>
                <w:rFonts w:ascii="Cambria" w:hAnsi="Cambria"/>
                <w:sz w:val="22"/>
                <w:szCs w:val="22"/>
              </w:rPr>
              <w:t>Vermutlich auch Veränderung der Testfrequenz</w:t>
            </w:r>
          </w:p>
          <w:p>
            <w:pPr>
              <w:pStyle w:val="Listenabsatz"/>
              <w:numPr>
                <w:ilvl w:val="0"/>
                <w:numId w:val="22"/>
              </w:numPr>
              <w:rPr>
                <w:rFonts w:ascii="Cambria" w:hAnsi="Cambria"/>
                <w:sz w:val="22"/>
                <w:szCs w:val="22"/>
              </w:rPr>
            </w:pPr>
            <w:r>
              <w:rPr>
                <w:rFonts w:ascii="Cambria" w:hAnsi="Cambria"/>
                <w:sz w:val="22"/>
                <w:szCs w:val="22"/>
              </w:rPr>
              <w:t xml:space="preserve">In den KW16 sind die Werte bei Kindern bis 14 Jahren und über 80-Jährigen weiter gesunken, in den AG 15-79-Jährigen sind die Werte seit der KW12 das erste Mal wieder angestiegen </w:t>
            </w:r>
          </w:p>
          <w:p>
            <w:pPr>
              <w:pStyle w:val="Listenabsatz"/>
              <w:numPr>
                <w:ilvl w:val="0"/>
                <w:numId w:val="20"/>
              </w:numPr>
              <w:rPr>
                <w:rFonts w:ascii="Cambria" w:hAnsi="Cambria"/>
                <w:sz w:val="22"/>
                <w:szCs w:val="22"/>
                <w:lang w:val="en-US"/>
              </w:rPr>
            </w:pPr>
            <w:r>
              <w:rPr>
                <w:rFonts w:ascii="Cambria" w:hAnsi="Cambria"/>
                <w:sz w:val="22"/>
                <w:szCs w:val="22"/>
                <w:lang w:val="en-US"/>
              </w:rPr>
              <w:t>ICOSARI-KH-Surveillance-SARI-</w:t>
            </w:r>
            <w:proofErr w:type="spellStart"/>
            <w:r>
              <w:rPr>
                <w:rFonts w:ascii="Cambria" w:hAnsi="Cambria"/>
                <w:sz w:val="22"/>
                <w:szCs w:val="22"/>
                <w:lang w:val="en-US"/>
              </w:rPr>
              <w:t>Inzidenz</w:t>
            </w:r>
            <w:proofErr w:type="spellEnd"/>
          </w:p>
          <w:p>
            <w:pPr>
              <w:pStyle w:val="Listenabsatz"/>
              <w:numPr>
                <w:ilvl w:val="0"/>
                <w:numId w:val="23"/>
              </w:numPr>
              <w:rPr>
                <w:rFonts w:ascii="Cambria" w:hAnsi="Cambria"/>
                <w:sz w:val="22"/>
                <w:szCs w:val="22"/>
              </w:rPr>
            </w:pPr>
            <w:r>
              <w:rPr>
                <w:rFonts w:ascii="Cambria" w:hAnsi="Cambria"/>
                <w:sz w:val="22"/>
                <w:szCs w:val="22"/>
              </w:rPr>
              <w:t>SARI-Fallzahlen sind seit KW14 insgesamt gesunken, zuvor seit dem Jahreswechsel 21/22 weitestgehend stabil</w:t>
            </w:r>
          </w:p>
          <w:p>
            <w:pPr>
              <w:pStyle w:val="Listenabsatz"/>
              <w:numPr>
                <w:ilvl w:val="0"/>
                <w:numId w:val="23"/>
              </w:numPr>
              <w:rPr>
                <w:rFonts w:ascii="Cambria" w:hAnsi="Cambria"/>
                <w:sz w:val="22"/>
                <w:szCs w:val="22"/>
              </w:rPr>
            </w:pPr>
            <w:r>
              <w:rPr>
                <w:rFonts w:ascii="Cambria" w:hAnsi="Cambria"/>
                <w:sz w:val="22"/>
                <w:szCs w:val="22"/>
              </w:rPr>
              <w:t>Aktuell Sommerniveau, dürfte sich hier stabilisieren</w:t>
            </w:r>
          </w:p>
          <w:p>
            <w:pPr>
              <w:pStyle w:val="Listenabsatz"/>
              <w:numPr>
                <w:ilvl w:val="0"/>
                <w:numId w:val="23"/>
              </w:numPr>
              <w:rPr>
                <w:rFonts w:ascii="Cambria" w:hAnsi="Cambria"/>
                <w:sz w:val="22"/>
                <w:szCs w:val="22"/>
              </w:rPr>
            </w:pPr>
            <w:r>
              <w:rPr>
                <w:rFonts w:ascii="Cambria" w:hAnsi="Cambria"/>
                <w:sz w:val="22"/>
                <w:szCs w:val="22"/>
              </w:rPr>
              <w:t>SARI-ICU Fallzahlen sind ebenfalls auf Sommerniveau</w:t>
            </w:r>
          </w:p>
          <w:p>
            <w:pPr>
              <w:pStyle w:val="Listenabsatz"/>
              <w:numPr>
                <w:ilvl w:val="0"/>
                <w:numId w:val="23"/>
              </w:numPr>
              <w:rPr>
                <w:rFonts w:ascii="Cambria" w:hAnsi="Cambria"/>
                <w:sz w:val="22"/>
                <w:szCs w:val="22"/>
              </w:rPr>
            </w:pPr>
            <w:r>
              <w:rPr>
                <w:rFonts w:ascii="Cambria" w:hAnsi="Cambria"/>
                <w:sz w:val="22"/>
                <w:szCs w:val="22"/>
              </w:rPr>
              <w:t>SARI-Fallzahlen in allen AG auf Sommerniveau, weiterhin hoher Anteil COVID-19 in den AG ab 60 Jahren</w:t>
            </w:r>
          </w:p>
          <w:p>
            <w:pPr>
              <w:pStyle w:val="Listenabsatz"/>
              <w:numPr>
                <w:ilvl w:val="0"/>
                <w:numId w:val="20"/>
              </w:numPr>
              <w:rPr>
                <w:rFonts w:ascii="Cambria" w:hAnsi="Cambria"/>
                <w:sz w:val="22"/>
                <w:szCs w:val="22"/>
              </w:rPr>
            </w:pPr>
            <w:r>
              <w:rPr>
                <w:rFonts w:ascii="Cambria" w:hAnsi="Cambria"/>
                <w:sz w:val="22"/>
                <w:szCs w:val="22"/>
              </w:rPr>
              <w:t>Hospitalisierungsinzidenz COVID-SARI</w:t>
            </w:r>
          </w:p>
          <w:p>
            <w:pPr>
              <w:pStyle w:val="Listenabsatz"/>
              <w:numPr>
                <w:ilvl w:val="0"/>
                <w:numId w:val="24"/>
              </w:numPr>
              <w:rPr>
                <w:rFonts w:ascii="Cambria" w:hAnsi="Cambria"/>
                <w:sz w:val="22"/>
                <w:szCs w:val="22"/>
              </w:rPr>
            </w:pPr>
            <w:r>
              <w:rPr>
                <w:rFonts w:ascii="Cambria" w:hAnsi="Cambria"/>
                <w:sz w:val="22"/>
                <w:szCs w:val="22"/>
              </w:rPr>
              <w:t>Gesamt: 4,0 COVID-SARI pro 100.000</w:t>
            </w:r>
          </w:p>
          <w:p>
            <w:pPr>
              <w:pStyle w:val="Listenabsatz"/>
              <w:numPr>
                <w:ilvl w:val="0"/>
                <w:numId w:val="25"/>
              </w:numPr>
              <w:rPr>
                <w:rFonts w:ascii="Cambria" w:hAnsi="Cambria"/>
                <w:sz w:val="22"/>
                <w:szCs w:val="22"/>
              </w:rPr>
            </w:pPr>
            <w:r>
              <w:rPr>
                <w:rFonts w:ascii="Cambria" w:hAnsi="Cambria"/>
                <w:sz w:val="22"/>
                <w:szCs w:val="22"/>
              </w:rPr>
              <w:t>Entspricht ca. 3.300 neuen Krankenhausaufnahmen wegen COVID-SARI in DE</w:t>
            </w:r>
          </w:p>
          <w:p>
            <w:pPr>
              <w:pStyle w:val="Listenabsatz"/>
              <w:numPr>
                <w:ilvl w:val="0"/>
                <w:numId w:val="25"/>
              </w:numPr>
              <w:rPr>
                <w:rFonts w:ascii="Cambria" w:hAnsi="Cambria"/>
                <w:sz w:val="22"/>
                <w:szCs w:val="22"/>
              </w:rPr>
            </w:pPr>
            <w:r>
              <w:rPr>
                <w:rFonts w:ascii="Cambria" w:hAnsi="Cambria"/>
                <w:sz w:val="22"/>
                <w:szCs w:val="22"/>
              </w:rPr>
              <w:lastRenderedPageBreak/>
              <w:t>AG 0-4 auf Niveau 4. Welle</w:t>
            </w:r>
          </w:p>
          <w:p>
            <w:pPr>
              <w:pStyle w:val="Listenabsatz"/>
              <w:numPr>
                <w:ilvl w:val="0"/>
                <w:numId w:val="25"/>
              </w:numPr>
              <w:rPr>
                <w:rFonts w:ascii="Cambria" w:hAnsi="Cambria"/>
                <w:sz w:val="22"/>
                <w:szCs w:val="22"/>
              </w:rPr>
            </w:pPr>
            <w:r>
              <w:rPr>
                <w:rFonts w:ascii="Cambria" w:hAnsi="Cambria"/>
                <w:sz w:val="22"/>
                <w:szCs w:val="22"/>
              </w:rPr>
              <w:t>AG 15-34 und 35-59 weiterer Rückgang, nur noch leicht über Sommerniveau</w:t>
            </w:r>
          </w:p>
          <w:p>
            <w:pPr>
              <w:pStyle w:val="Listenabsatz"/>
              <w:numPr>
                <w:ilvl w:val="0"/>
                <w:numId w:val="25"/>
              </w:numPr>
              <w:rPr>
                <w:rFonts w:ascii="Cambria" w:hAnsi="Cambria"/>
                <w:sz w:val="22"/>
                <w:szCs w:val="22"/>
              </w:rPr>
            </w:pPr>
            <w:r>
              <w:rPr>
                <w:rFonts w:ascii="Cambria" w:hAnsi="Cambria"/>
                <w:sz w:val="22"/>
                <w:szCs w:val="22"/>
              </w:rPr>
              <w:t xml:space="preserve">Seit Omikron liegen Meldedaten nach </w:t>
            </w:r>
            <w:proofErr w:type="spellStart"/>
            <w:r>
              <w:rPr>
                <w:rFonts w:ascii="Cambria" w:hAnsi="Cambria"/>
                <w:sz w:val="22"/>
                <w:szCs w:val="22"/>
              </w:rPr>
              <w:t>IFsG</w:t>
            </w:r>
            <w:proofErr w:type="spellEnd"/>
          </w:p>
          <w:p>
            <w:pPr>
              <w:pStyle w:val="Listenabsatz"/>
              <w:numPr>
                <w:ilvl w:val="0"/>
                <w:numId w:val="20"/>
              </w:numPr>
              <w:rPr>
                <w:rFonts w:ascii="Cambria" w:hAnsi="Cambria"/>
                <w:sz w:val="22"/>
                <w:szCs w:val="22"/>
                <w:lang w:val="en-US"/>
              </w:rPr>
            </w:pPr>
            <w:proofErr w:type="spellStart"/>
            <w:r>
              <w:rPr>
                <w:rFonts w:ascii="Cambria" w:hAnsi="Cambria"/>
                <w:sz w:val="22"/>
                <w:szCs w:val="22"/>
                <w:lang w:val="en-US"/>
              </w:rPr>
              <w:t>Hospitalisierungsinzidenz</w:t>
            </w:r>
            <w:proofErr w:type="spellEnd"/>
            <w:r>
              <w:rPr>
                <w:rFonts w:ascii="Cambria" w:hAnsi="Cambria"/>
                <w:sz w:val="22"/>
                <w:szCs w:val="22"/>
                <w:lang w:val="en-US"/>
              </w:rPr>
              <w:t xml:space="preserve"> COVID-SARI</w:t>
            </w:r>
          </w:p>
          <w:p>
            <w:pPr>
              <w:pStyle w:val="Listenabsatz"/>
              <w:numPr>
                <w:ilvl w:val="0"/>
                <w:numId w:val="26"/>
              </w:numPr>
              <w:rPr>
                <w:rFonts w:ascii="Cambria" w:hAnsi="Cambria"/>
                <w:sz w:val="22"/>
                <w:szCs w:val="22"/>
              </w:rPr>
            </w:pPr>
            <w:r>
              <w:rPr>
                <w:rFonts w:ascii="Cambria" w:hAnsi="Cambria"/>
                <w:sz w:val="22"/>
                <w:szCs w:val="22"/>
              </w:rPr>
              <w:t xml:space="preserve">Seit Omikron liegen Meldedaten orange nach IfSG deutlich über COVID-SARI Inzidenz (ICOSARI), in Meldedaten werden mehr Menschen </w:t>
            </w:r>
            <w:r>
              <w:rPr>
                <w:rFonts w:ascii="Cambria" w:hAnsi="Cambria"/>
                <w:i/>
                <w:sz w:val="22"/>
                <w:szCs w:val="22"/>
              </w:rPr>
              <w:t>mit</w:t>
            </w:r>
            <w:r>
              <w:rPr>
                <w:rFonts w:ascii="Cambria" w:hAnsi="Cambria"/>
                <w:sz w:val="22"/>
                <w:szCs w:val="22"/>
              </w:rPr>
              <w:t xml:space="preserve"> COVID-19 aufgeführt</w:t>
            </w:r>
          </w:p>
          <w:p>
            <w:pPr>
              <w:pStyle w:val="Listenabsatz"/>
              <w:numPr>
                <w:ilvl w:val="0"/>
                <w:numId w:val="26"/>
              </w:numPr>
              <w:rPr>
                <w:rFonts w:ascii="Cambria" w:hAnsi="Cambria"/>
                <w:sz w:val="22"/>
                <w:szCs w:val="22"/>
              </w:rPr>
            </w:pPr>
            <w:r>
              <w:rPr>
                <w:rFonts w:ascii="Cambria" w:hAnsi="Cambria"/>
                <w:sz w:val="22"/>
                <w:szCs w:val="22"/>
              </w:rPr>
              <w:t>In beiden Kategorien (Meldedaten und ICOSARI) ist ein abnehmender Trend erkennbar</w:t>
            </w:r>
          </w:p>
          <w:p>
            <w:pPr>
              <w:pStyle w:val="Listenabsatz"/>
              <w:numPr>
                <w:ilvl w:val="0"/>
                <w:numId w:val="26"/>
              </w:numPr>
              <w:rPr>
                <w:rFonts w:ascii="Cambria" w:hAnsi="Cambria"/>
                <w:sz w:val="22"/>
                <w:szCs w:val="22"/>
              </w:rPr>
            </w:pPr>
            <w:r>
              <w:rPr>
                <w:rFonts w:ascii="Cambria" w:hAnsi="Cambria"/>
                <w:sz w:val="22"/>
                <w:szCs w:val="22"/>
              </w:rPr>
              <w:t xml:space="preserve">AG ab 60 zeigt kein Fortsetzen des Rückgangs, sondern eher Plateaubewegung </w:t>
            </w:r>
          </w:p>
          <w:p>
            <w:pPr>
              <w:pStyle w:val="Listenabsatz"/>
              <w:numPr>
                <w:ilvl w:val="0"/>
                <w:numId w:val="26"/>
              </w:numPr>
              <w:rPr>
                <w:rFonts w:ascii="Cambria" w:hAnsi="Cambria"/>
                <w:sz w:val="22"/>
                <w:szCs w:val="22"/>
              </w:rPr>
            </w:pPr>
            <w:r>
              <w:rPr>
                <w:rFonts w:ascii="Cambria" w:hAnsi="Cambria"/>
                <w:sz w:val="22"/>
                <w:szCs w:val="22"/>
              </w:rPr>
              <w:t xml:space="preserve">Anteil COVID-19 an SARI 36% (Vorwoche: 33%) </w:t>
            </w:r>
          </w:p>
          <w:p>
            <w:pPr>
              <w:pStyle w:val="Listenabsatz"/>
              <w:numPr>
                <w:ilvl w:val="0"/>
                <w:numId w:val="26"/>
              </w:numPr>
              <w:rPr>
                <w:rFonts w:ascii="Cambria" w:hAnsi="Cambria"/>
                <w:sz w:val="22"/>
                <w:szCs w:val="22"/>
              </w:rPr>
            </w:pPr>
            <w:r>
              <w:rPr>
                <w:rFonts w:ascii="Cambria" w:hAnsi="Cambria"/>
                <w:sz w:val="22"/>
                <w:szCs w:val="22"/>
              </w:rPr>
              <w:t>Anteil COVID an SARI mit Intensivbehandlung 44% (Vorwoche: 48%)</w:t>
            </w:r>
          </w:p>
          <w:p>
            <w:pPr>
              <w:pStyle w:val="Listenabsatz"/>
              <w:numPr>
                <w:ilvl w:val="0"/>
                <w:numId w:val="26"/>
              </w:numPr>
              <w:rPr>
                <w:rFonts w:ascii="Cambria" w:hAnsi="Cambria"/>
                <w:sz w:val="22"/>
                <w:szCs w:val="22"/>
              </w:rPr>
            </w:pPr>
            <w:r>
              <w:rPr>
                <w:rFonts w:ascii="Cambria" w:hAnsi="Cambria"/>
                <w:sz w:val="22"/>
                <w:szCs w:val="22"/>
              </w:rPr>
              <w:t>Entwicklung COVID-SARI: kein Signal, dass ein Anstieg kommt, gleichbleibendes Niveau</w:t>
            </w:r>
          </w:p>
          <w:p>
            <w:pPr>
              <w:pStyle w:val="Listenabsatz"/>
              <w:numPr>
                <w:ilvl w:val="0"/>
                <w:numId w:val="26"/>
              </w:numPr>
              <w:rPr>
                <w:rFonts w:ascii="Cambria" w:hAnsi="Cambria"/>
                <w:sz w:val="22"/>
                <w:szCs w:val="22"/>
              </w:rPr>
            </w:pPr>
            <w:r>
              <w:rPr>
                <w:rFonts w:ascii="Cambria" w:hAnsi="Cambria"/>
                <w:sz w:val="22"/>
                <w:szCs w:val="22"/>
              </w:rPr>
              <w:t>Schul- und Kitaausbrüche wegen Ostern auf sehr niedrigem Niveau</w:t>
            </w:r>
          </w:p>
          <w:p>
            <w:pPr>
              <w:rPr>
                <w:rFonts w:ascii="Cambria" w:hAnsi="Cambria"/>
                <w:sz w:val="22"/>
                <w:szCs w:val="22"/>
              </w:rPr>
            </w:pPr>
          </w:p>
          <w:p>
            <w:pPr>
              <w:pStyle w:val="Liste1"/>
              <w:numPr>
                <w:ilvl w:val="0"/>
                <w:numId w:val="17"/>
              </w:numPr>
              <w:rPr>
                <w:rFonts w:ascii="Cambria" w:hAnsi="Cambria"/>
              </w:rPr>
            </w:pPr>
            <w:r>
              <w:rPr>
                <w:rFonts w:ascii="Cambria" w:hAnsi="Cambria"/>
                <w:b/>
              </w:rPr>
              <w:t>Virologische Surveillance</w:t>
            </w:r>
            <w:r>
              <w:rPr>
                <w:rFonts w:ascii="Cambria" w:hAnsi="Cambria"/>
              </w:rPr>
              <w:t xml:space="preserve">, NRZ Influenza-Daten </w:t>
            </w:r>
          </w:p>
          <w:p>
            <w:pPr>
              <w:pStyle w:val="Liste1"/>
              <w:numPr>
                <w:ilvl w:val="0"/>
                <w:numId w:val="17"/>
              </w:numPr>
              <w:rPr>
                <w:rFonts w:ascii="Cambria" w:hAnsi="Cambria"/>
              </w:rPr>
            </w:pPr>
            <w:r>
              <w:rPr>
                <w:rFonts w:ascii="Cambria" w:hAnsi="Cambria"/>
              </w:rPr>
              <w:t xml:space="preserve">Geringe Einsendequote durch Ostern und verringerte Bereitschaft von </w:t>
            </w:r>
            <w:proofErr w:type="gramStart"/>
            <w:r>
              <w:rPr>
                <w:rFonts w:ascii="Cambria" w:hAnsi="Cambria"/>
              </w:rPr>
              <w:t>Patient:innen</w:t>
            </w:r>
            <w:proofErr w:type="gramEnd"/>
            <w:r>
              <w:rPr>
                <w:rFonts w:ascii="Cambria" w:hAnsi="Cambria"/>
              </w:rPr>
              <w:t xml:space="preserve"> auf Testung</w:t>
            </w:r>
          </w:p>
          <w:p>
            <w:pPr>
              <w:pStyle w:val="Liste1"/>
              <w:numPr>
                <w:ilvl w:val="0"/>
                <w:numId w:val="17"/>
              </w:numPr>
              <w:rPr>
                <w:rFonts w:ascii="Cambria" w:hAnsi="Cambria"/>
              </w:rPr>
            </w:pPr>
            <w:r>
              <w:rPr>
                <w:rFonts w:ascii="Cambria" w:hAnsi="Cambria"/>
              </w:rPr>
              <w:t>Dominierender Anteil von SARS-CoV-2, sporadischer Nachweis von HKU1, 229E, kein Nachweis von NL63 und OC43</w:t>
            </w:r>
          </w:p>
          <w:p>
            <w:pPr>
              <w:pStyle w:val="Liste1"/>
              <w:numPr>
                <w:ilvl w:val="0"/>
                <w:numId w:val="17"/>
              </w:numPr>
              <w:rPr>
                <w:rFonts w:ascii="Cambria" w:hAnsi="Cambria"/>
              </w:rPr>
            </w:pPr>
            <w:r>
              <w:rPr>
                <w:rFonts w:ascii="Cambria" w:hAnsi="Cambria"/>
              </w:rPr>
              <w:t>Nachweis über alle Altersgruppen</w:t>
            </w:r>
          </w:p>
          <w:p>
            <w:pPr>
              <w:pStyle w:val="Liste1"/>
              <w:numPr>
                <w:ilvl w:val="0"/>
                <w:numId w:val="17"/>
              </w:numPr>
              <w:rPr>
                <w:rFonts w:ascii="Cambria" w:hAnsi="Cambria"/>
              </w:rPr>
            </w:pPr>
            <w:proofErr w:type="spellStart"/>
            <w:r>
              <w:rPr>
                <w:rFonts w:ascii="Cambria" w:hAnsi="Cambria"/>
              </w:rPr>
              <w:t>Omikronspezifische</w:t>
            </w:r>
            <w:proofErr w:type="spellEnd"/>
            <w:r>
              <w:rPr>
                <w:rFonts w:ascii="Cambria" w:hAnsi="Cambria"/>
              </w:rPr>
              <w:t xml:space="preserve"> PCR hat BA.2 um 90% nachgewiesen</w:t>
            </w:r>
          </w:p>
          <w:p>
            <w:pPr>
              <w:pStyle w:val="Liste1"/>
              <w:numPr>
                <w:ilvl w:val="0"/>
                <w:numId w:val="17"/>
              </w:numPr>
              <w:rPr>
                <w:rFonts w:ascii="Cambria" w:hAnsi="Cambria"/>
              </w:rPr>
            </w:pPr>
            <w:r>
              <w:rPr>
                <w:rFonts w:ascii="Cambria" w:hAnsi="Cambria"/>
              </w:rPr>
              <w:t>Influenzaviren im ansteigenden Trend (H3N2 und H1N1), H3N2 dominiert</w:t>
            </w:r>
          </w:p>
          <w:p>
            <w:pPr>
              <w:pStyle w:val="Liste1"/>
              <w:numPr>
                <w:ilvl w:val="0"/>
                <w:numId w:val="17"/>
              </w:numPr>
              <w:rPr>
                <w:rFonts w:ascii="Cambria" w:hAnsi="Cambria"/>
              </w:rPr>
            </w:pPr>
            <w:r>
              <w:rPr>
                <w:rFonts w:ascii="Cambria" w:hAnsi="Cambria"/>
              </w:rPr>
              <w:t>Stärkster Nachweis der Influenzaviren bei den 5-15-Jährigen</w:t>
            </w:r>
          </w:p>
          <w:p>
            <w:pPr>
              <w:pStyle w:val="Liste1"/>
              <w:numPr>
                <w:ilvl w:val="0"/>
                <w:numId w:val="17"/>
              </w:numPr>
              <w:rPr>
                <w:rFonts w:ascii="Cambria" w:hAnsi="Cambria"/>
              </w:rPr>
            </w:pPr>
            <w:r>
              <w:rPr>
                <w:rFonts w:ascii="Cambria" w:hAnsi="Cambria"/>
              </w:rPr>
              <w:t xml:space="preserve">Sonstige nachgewiesene Atemwegsviren waren HMPV (absteigend), HRV, kein Nachweis von RSV </w:t>
            </w:r>
          </w:p>
          <w:p>
            <w:pPr>
              <w:pStyle w:val="Liste1"/>
              <w:numPr>
                <w:ilvl w:val="0"/>
                <w:numId w:val="0"/>
              </w:numPr>
              <w:ind w:left="473" w:hanging="360"/>
              <w:rPr>
                <w:rFonts w:ascii="Cambria" w:hAnsi="Cambria"/>
              </w:rPr>
            </w:pPr>
          </w:p>
          <w:p>
            <w:pPr>
              <w:pStyle w:val="Liste1"/>
              <w:numPr>
                <w:ilvl w:val="0"/>
                <w:numId w:val="17"/>
              </w:numPr>
              <w:rPr>
                <w:rFonts w:ascii="Cambria" w:hAnsi="Cambria"/>
              </w:rPr>
            </w:pPr>
            <w:r>
              <w:rPr>
                <w:rStyle w:val="3Zchn"/>
                <w:rFonts w:ascii="Cambria" w:hAnsi="Cambria"/>
              </w:rPr>
              <w:t xml:space="preserve">Testkapazität und Testungen </w:t>
            </w:r>
            <w:r>
              <w:rPr>
                <w:rStyle w:val="3Zchn"/>
                <w:rFonts w:ascii="Cambria" w:hAnsi="Cambria"/>
                <w:b w:val="0"/>
              </w:rPr>
              <w:t>(Folien</w:t>
            </w:r>
            <w:r>
              <w:rPr>
                <w:rStyle w:val="3Zchn"/>
                <w:rFonts w:ascii="Cambria" w:hAnsi="Cambria"/>
              </w:rPr>
              <w:t xml:space="preserve"> </w:t>
            </w:r>
            <w:hyperlink r:id="rId18" w:history="1">
              <w:r>
                <w:rPr>
                  <w:rStyle w:val="Hyperlink"/>
                  <w:rFonts w:ascii="Cambria" w:hAnsi="Cambria"/>
                </w:rPr>
                <w:t>hier</w:t>
              </w:r>
            </w:hyperlink>
            <w:r>
              <w:rPr>
                <w:rStyle w:val="3Zchn"/>
                <w:rFonts w:ascii="Cambria" w:hAnsi="Cambria"/>
                <w:b w:val="0"/>
              </w:rPr>
              <w:t>)</w:t>
            </w:r>
          </w:p>
          <w:p>
            <w:pPr>
              <w:pStyle w:val="Listenabsatz"/>
              <w:numPr>
                <w:ilvl w:val="1"/>
                <w:numId w:val="17"/>
              </w:numPr>
              <w:rPr>
                <w:rFonts w:ascii="Cambria" w:hAnsi="Cambria"/>
                <w:sz w:val="22"/>
                <w:szCs w:val="22"/>
              </w:rPr>
            </w:pPr>
            <w:r>
              <w:rPr>
                <w:rFonts w:ascii="Cambria" w:hAnsi="Cambria"/>
                <w:sz w:val="22"/>
                <w:szCs w:val="22"/>
              </w:rPr>
              <w:t>Testanzahl und -kapazität</w:t>
            </w:r>
          </w:p>
          <w:p>
            <w:pPr>
              <w:pStyle w:val="Listenabsatz"/>
              <w:numPr>
                <w:ilvl w:val="2"/>
                <w:numId w:val="17"/>
              </w:numPr>
              <w:rPr>
                <w:rFonts w:ascii="Cambria" w:hAnsi="Cambria"/>
                <w:sz w:val="22"/>
                <w:szCs w:val="22"/>
              </w:rPr>
            </w:pPr>
            <w:r>
              <w:rPr>
                <w:rFonts w:ascii="Cambria" w:hAnsi="Cambria"/>
                <w:sz w:val="22"/>
                <w:szCs w:val="22"/>
              </w:rPr>
              <w:t>(diese Woche nicht berichtet)</w:t>
            </w:r>
          </w:p>
          <w:p>
            <w:pPr>
              <w:rPr>
                <w:rFonts w:ascii="Cambria" w:hAnsi="Cambria"/>
                <w:sz w:val="22"/>
                <w:szCs w:val="22"/>
              </w:rPr>
            </w:pPr>
          </w:p>
          <w:p>
            <w:pPr>
              <w:pStyle w:val="Liste1"/>
              <w:numPr>
                <w:ilvl w:val="0"/>
                <w:numId w:val="17"/>
              </w:numPr>
              <w:rPr>
                <w:rFonts w:ascii="Cambria" w:hAnsi="Cambria"/>
              </w:rPr>
            </w:pPr>
            <w:r>
              <w:rPr>
                <w:rFonts w:ascii="Cambria" w:hAnsi="Cambria"/>
                <w:b/>
              </w:rPr>
              <w:t>Molekulare Surveillance, VOC-Bericht</w:t>
            </w:r>
            <w:r>
              <w:rPr>
                <w:rFonts w:ascii="Cambria" w:hAnsi="Cambria"/>
              </w:rPr>
              <w:t xml:space="preserve"> </w:t>
            </w:r>
            <w:r>
              <w:rPr>
                <w:rStyle w:val="3Zchn"/>
                <w:rFonts w:ascii="Cambria" w:hAnsi="Cambria"/>
                <w:b w:val="0"/>
              </w:rPr>
              <w:t>(Folien</w:t>
            </w:r>
            <w:r>
              <w:rPr>
                <w:rStyle w:val="3Zchn"/>
                <w:rFonts w:ascii="Cambria" w:hAnsi="Cambria"/>
              </w:rPr>
              <w:t xml:space="preserve"> </w:t>
            </w:r>
            <w:hyperlink r:id="rId19" w:history="1">
              <w:r>
                <w:rPr>
                  <w:rStyle w:val="Hyperlink"/>
                  <w:rFonts w:ascii="Cambria" w:hAnsi="Cambria"/>
                </w:rPr>
                <w:t>hier</w:t>
              </w:r>
            </w:hyperlink>
            <w:r>
              <w:rPr>
                <w:rStyle w:val="3Zchn"/>
                <w:rFonts w:ascii="Cambria" w:hAnsi="Cambria"/>
                <w:b w:val="0"/>
              </w:rPr>
              <w:t>)</w:t>
            </w:r>
          </w:p>
          <w:p>
            <w:pPr>
              <w:pStyle w:val="Listenabsatz"/>
              <w:numPr>
                <w:ilvl w:val="0"/>
                <w:numId w:val="17"/>
              </w:numPr>
              <w:rPr>
                <w:rFonts w:ascii="Cambria" w:hAnsi="Cambria"/>
                <w:sz w:val="22"/>
                <w:szCs w:val="22"/>
              </w:rPr>
            </w:pPr>
            <w:r>
              <w:rPr>
                <w:rFonts w:ascii="Cambria" w:hAnsi="Cambria"/>
                <w:sz w:val="22"/>
                <w:szCs w:val="22"/>
              </w:rPr>
              <w:t>VOC-Anteile: dominierend Omikron mit 99,8%</w:t>
            </w:r>
          </w:p>
          <w:p>
            <w:pPr>
              <w:pStyle w:val="Listenabsatz"/>
              <w:numPr>
                <w:ilvl w:val="0"/>
                <w:numId w:val="17"/>
              </w:numPr>
              <w:rPr>
                <w:rFonts w:ascii="Cambria" w:hAnsi="Cambria"/>
                <w:sz w:val="22"/>
                <w:szCs w:val="22"/>
                <w:lang w:val="en-US"/>
              </w:rPr>
            </w:pPr>
            <w:r>
              <w:rPr>
                <w:rFonts w:ascii="Cambria" w:hAnsi="Cambria"/>
                <w:sz w:val="22"/>
                <w:szCs w:val="22"/>
                <w:lang w:val="en-US"/>
              </w:rPr>
              <w:t>BA.2 75,4%, BA.2.9 16,8%, BA.2.3 2,1% und BA.1. 1,7%</w:t>
            </w:r>
          </w:p>
          <w:p>
            <w:pPr>
              <w:pStyle w:val="Listenabsatz"/>
              <w:numPr>
                <w:ilvl w:val="0"/>
                <w:numId w:val="17"/>
              </w:numPr>
              <w:rPr>
                <w:rFonts w:ascii="Cambria" w:hAnsi="Cambria"/>
                <w:sz w:val="22"/>
                <w:szCs w:val="22"/>
                <w:lang w:val="en-US"/>
              </w:rPr>
            </w:pPr>
            <w:r>
              <w:rPr>
                <w:rFonts w:ascii="Cambria" w:hAnsi="Cambria"/>
                <w:sz w:val="22"/>
                <w:szCs w:val="22"/>
                <w:lang w:val="en-US"/>
              </w:rPr>
              <w:t xml:space="preserve">XE </w:t>
            </w:r>
            <w:proofErr w:type="spellStart"/>
            <w:r>
              <w:rPr>
                <w:rFonts w:ascii="Cambria" w:hAnsi="Cambria"/>
                <w:sz w:val="22"/>
                <w:szCs w:val="22"/>
                <w:lang w:val="en-US"/>
              </w:rPr>
              <w:t>bei</w:t>
            </w:r>
            <w:proofErr w:type="spellEnd"/>
            <w:r>
              <w:rPr>
                <w:rFonts w:ascii="Cambria" w:hAnsi="Cambria"/>
                <w:sz w:val="22"/>
                <w:szCs w:val="22"/>
                <w:lang w:val="en-US"/>
              </w:rPr>
              <w:t xml:space="preserve"> 0,1%</w:t>
            </w:r>
          </w:p>
          <w:p>
            <w:pPr>
              <w:pStyle w:val="Listenabsatz"/>
              <w:numPr>
                <w:ilvl w:val="0"/>
                <w:numId w:val="17"/>
              </w:numPr>
              <w:rPr>
                <w:rFonts w:ascii="Cambria" w:hAnsi="Cambria"/>
                <w:sz w:val="22"/>
                <w:szCs w:val="22"/>
                <w:lang w:val="en-US"/>
              </w:rPr>
            </w:pPr>
            <w:r>
              <w:rPr>
                <w:rFonts w:ascii="Cambria" w:hAnsi="Cambria"/>
                <w:sz w:val="22"/>
                <w:szCs w:val="22"/>
              </w:rPr>
              <w:t>Vereinzelt auch BA.5, BA.2.12.1 gefunden</w:t>
            </w:r>
          </w:p>
          <w:p>
            <w:pPr>
              <w:pStyle w:val="Listenabsatz"/>
              <w:numPr>
                <w:ilvl w:val="0"/>
                <w:numId w:val="17"/>
              </w:numPr>
              <w:rPr>
                <w:rFonts w:ascii="Cambria" w:hAnsi="Cambria"/>
                <w:sz w:val="22"/>
                <w:szCs w:val="22"/>
              </w:rPr>
            </w:pPr>
            <w:r>
              <w:rPr>
                <w:rFonts w:ascii="Cambria" w:hAnsi="Cambria"/>
                <w:sz w:val="22"/>
                <w:szCs w:val="22"/>
              </w:rPr>
              <w:t>Nachweise von 5 Rekombinanten: XD; XE; XG; XH; XM</w:t>
            </w:r>
          </w:p>
          <w:p>
            <w:pPr>
              <w:pStyle w:val="Listenabsatz"/>
              <w:numPr>
                <w:ilvl w:val="0"/>
                <w:numId w:val="17"/>
              </w:numPr>
              <w:rPr>
                <w:rFonts w:ascii="Cambria" w:hAnsi="Cambria"/>
                <w:sz w:val="22"/>
                <w:szCs w:val="22"/>
              </w:rPr>
            </w:pPr>
            <w:r>
              <w:rPr>
                <w:rFonts w:ascii="Cambria" w:hAnsi="Cambria"/>
                <w:sz w:val="22"/>
                <w:szCs w:val="22"/>
              </w:rPr>
              <w:t>Allgemeiner Trend: 10.000 übermittelte Sequenzen pro Woche</w:t>
            </w:r>
          </w:p>
          <w:p>
            <w:pPr>
              <w:pStyle w:val="Liste1"/>
              <w:numPr>
                <w:ilvl w:val="0"/>
                <w:numId w:val="0"/>
              </w:numPr>
              <w:ind w:left="473" w:hanging="360"/>
              <w:rPr>
                <w:rFonts w:ascii="Cambria" w:hAnsi="Cambria"/>
              </w:rPr>
            </w:pPr>
          </w:p>
          <w:p>
            <w:pPr>
              <w:pStyle w:val="Liste1"/>
              <w:numPr>
                <w:ilvl w:val="0"/>
                <w:numId w:val="17"/>
              </w:numPr>
              <w:rPr>
                <w:rFonts w:ascii="Cambria" w:hAnsi="Cambria"/>
                <w:b/>
              </w:rPr>
            </w:pPr>
            <w:r>
              <w:rPr>
                <w:rFonts w:ascii="Cambria" w:hAnsi="Cambria"/>
                <w:b/>
              </w:rPr>
              <w:t xml:space="preserve">SARS in ARS </w:t>
            </w:r>
            <w:r>
              <w:rPr>
                <w:rStyle w:val="3Zchn"/>
                <w:rFonts w:ascii="Cambria" w:hAnsi="Cambria"/>
                <w:b w:val="0"/>
              </w:rPr>
              <w:t xml:space="preserve">(Folien </w:t>
            </w:r>
            <w:hyperlink r:id="rId20" w:history="1">
              <w:r>
                <w:rPr>
                  <w:rStyle w:val="Hyperlink"/>
                  <w:rFonts w:ascii="Cambria" w:hAnsi="Cambria"/>
                </w:rPr>
                <w:t>hier</w:t>
              </w:r>
            </w:hyperlink>
            <w:r>
              <w:rPr>
                <w:rStyle w:val="3Zchn"/>
                <w:rFonts w:ascii="Cambria" w:hAnsi="Cambria"/>
                <w:b w:val="0"/>
              </w:rPr>
              <w:t>)</w:t>
            </w:r>
          </w:p>
          <w:p>
            <w:pPr>
              <w:pStyle w:val="Liste1"/>
              <w:numPr>
                <w:ilvl w:val="0"/>
                <w:numId w:val="17"/>
              </w:numPr>
              <w:rPr>
                <w:rFonts w:ascii="Cambria" w:hAnsi="Cambria"/>
              </w:rPr>
            </w:pPr>
            <w:r>
              <w:rPr>
                <w:rFonts w:ascii="Cambria" w:hAnsi="Cambria"/>
              </w:rPr>
              <w:t>Deutlicher Rückgang der Testungen über Osterferienwochen</w:t>
            </w:r>
          </w:p>
          <w:p>
            <w:pPr>
              <w:pStyle w:val="Liste1"/>
              <w:numPr>
                <w:ilvl w:val="0"/>
                <w:numId w:val="17"/>
              </w:numPr>
              <w:rPr>
                <w:rFonts w:ascii="Cambria" w:hAnsi="Cambria"/>
              </w:rPr>
            </w:pPr>
            <w:proofErr w:type="spellStart"/>
            <w:r>
              <w:rPr>
                <w:rFonts w:ascii="Cambria" w:hAnsi="Cambria"/>
              </w:rPr>
              <w:t>Positivenanteil</w:t>
            </w:r>
            <w:proofErr w:type="spellEnd"/>
            <w:r>
              <w:rPr>
                <w:rFonts w:ascii="Cambria" w:hAnsi="Cambria"/>
              </w:rPr>
              <w:t xml:space="preserve"> ist relativ gleichbleibend geblieben, durch weniger Testungen leicht angestiegen, derzeit wieder leichter Rückgang</w:t>
            </w:r>
          </w:p>
          <w:p>
            <w:pPr>
              <w:pStyle w:val="Liste1"/>
              <w:numPr>
                <w:ilvl w:val="0"/>
                <w:numId w:val="17"/>
              </w:numPr>
              <w:rPr>
                <w:rFonts w:ascii="Cambria" w:hAnsi="Cambria"/>
              </w:rPr>
            </w:pPr>
            <w:r>
              <w:rPr>
                <w:rFonts w:ascii="Cambria" w:hAnsi="Cambria"/>
              </w:rPr>
              <w:lastRenderedPageBreak/>
              <w:t>Rückgang der Testungen vor allem in Arztpraxen und sonstigen Orten, nur leichter Rückgang in Krankenhäusern</w:t>
            </w:r>
          </w:p>
          <w:p>
            <w:pPr>
              <w:pStyle w:val="Liste1"/>
              <w:numPr>
                <w:ilvl w:val="0"/>
                <w:numId w:val="17"/>
              </w:numPr>
              <w:rPr>
                <w:rFonts w:ascii="Cambria" w:hAnsi="Cambria"/>
              </w:rPr>
            </w:pPr>
            <w:r>
              <w:rPr>
                <w:rFonts w:ascii="Cambria" w:hAnsi="Cambria"/>
              </w:rPr>
              <w:t xml:space="preserve">Stabil gleichbleibender </w:t>
            </w:r>
            <w:proofErr w:type="spellStart"/>
            <w:r>
              <w:rPr>
                <w:rFonts w:ascii="Cambria" w:hAnsi="Cambria"/>
              </w:rPr>
              <w:t>Positivenanteil</w:t>
            </w:r>
            <w:proofErr w:type="spellEnd"/>
            <w:r>
              <w:rPr>
                <w:rFonts w:ascii="Cambria" w:hAnsi="Cambria"/>
              </w:rPr>
              <w:t xml:space="preserve"> in KH, </w:t>
            </w:r>
          </w:p>
          <w:p>
            <w:pPr>
              <w:pStyle w:val="Liste1"/>
              <w:numPr>
                <w:ilvl w:val="0"/>
                <w:numId w:val="17"/>
              </w:numPr>
              <w:rPr>
                <w:rFonts w:ascii="Cambria" w:hAnsi="Cambria"/>
              </w:rPr>
            </w:pPr>
            <w:r>
              <w:rPr>
                <w:rFonts w:ascii="Cambria" w:hAnsi="Cambria"/>
              </w:rPr>
              <w:t>Anteil der positiven Tests in Arztpraxen in den letzten zwei Wochen stabil geblieben</w:t>
            </w:r>
          </w:p>
          <w:p>
            <w:pPr>
              <w:pStyle w:val="Liste1"/>
              <w:numPr>
                <w:ilvl w:val="0"/>
                <w:numId w:val="17"/>
              </w:numPr>
              <w:rPr>
                <w:rFonts w:ascii="Cambria" w:hAnsi="Cambria"/>
              </w:rPr>
            </w:pPr>
            <w:r>
              <w:rPr>
                <w:rFonts w:ascii="Cambria" w:hAnsi="Cambria"/>
              </w:rPr>
              <w:t>In allen Altersgruppen Rückgang der Testungen, vergleichsweise wird bei den Ü80 Jährigen aber noch am meisten getestet</w:t>
            </w:r>
          </w:p>
          <w:p>
            <w:pPr>
              <w:pStyle w:val="Liste1"/>
              <w:numPr>
                <w:ilvl w:val="0"/>
                <w:numId w:val="17"/>
              </w:numPr>
              <w:rPr>
                <w:rFonts w:ascii="Cambria" w:hAnsi="Cambria"/>
              </w:rPr>
            </w:pPr>
            <w:proofErr w:type="spellStart"/>
            <w:r>
              <w:rPr>
                <w:rFonts w:ascii="Cambria" w:hAnsi="Cambria"/>
              </w:rPr>
              <w:t>Positivenanteile</w:t>
            </w:r>
            <w:proofErr w:type="spellEnd"/>
            <w:r>
              <w:rPr>
                <w:rFonts w:ascii="Cambria" w:hAnsi="Cambria"/>
              </w:rPr>
              <w:t xml:space="preserve"> nach Altersgruppen in allen AG rückläufig, am höchsten in AG 5-14</w:t>
            </w:r>
          </w:p>
          <w:p>
            <w:pPr>
              <w:pStyle w:val="Liste1"/>
              <w:numPr>
                <w:ilvl w:val="0"/>
                <w:numId w:val="17"/>
              </w:numPr>
              <w:rPr>
                <w:rFonts w:ascii="Cambria" w:hAnsi="Cambria"/>
              </w:rPr>
            </w:pPr>
            <w:r>
              <w:rPr>
                <w:rFonts w:ascii="Cambria" w:hAnsi="Cambria"/>
              </w:rPr>
              <w:t>Anzahl positive Testungen pro 100.000 EW auch rückläufig, hier die höchsten Zahlen in AG 15-34 und 35-59</w:t>
            </w:r>
          </w:p>
          <w:p>
            <w:pPr>
              <w:pStyle w:val="Liste1"/>
              <w:numPr>
                <w:ilvl w:val="0"/>
                <w:numId w:val="17"/>
              </w:numPr>
              <w:rPr>
                <w:rFonts w:ascii="Cambria" w:hAnsi="Cambria"/>
              </w:rPr>
            </w:pPr>
            <w:r>
              <w:rPr>
                <w:rFonts w:ascii="Cambria" w:hAnsi="Cambria"/>
              </w:rPr>
              <w:t>Trend aktive Ausbrüche in medizinischen Behandlungseinrichtungen rückläufig</w:t>
            </w:r>
          </w:p>
          <w:p>
            <w:pPr>
              <w:pStyle w:val="Liste1"/>
              <w:numPr>
                <w:ilvl w:val="0"/>
                <w:numId w:val="17"/>
              </w:numPr>
              <w:rPr>
                <w:rFonts w:ascii="Cambria" w:hAnsi="Cambria"/>
              </w:rPr>
            </w:pPr>
            <w:r>
              <w:rPr>
                <w:rFonts w:ascii="Cambria" w:hAnsi="Cambria"/>
              </w:rPr>
              <w:t xml:space="preserve">In Alten- und Pflegeheime </w:t>
            </w:r>
            <w:proofErr w:type="gramStart"/>
            <w:r>
              <w:rPr>
                <w:rFonts w:ascii="Cambria" w:hAnsi="Cambria"/>
              </w:rPr>
              <w:t>nimmt</w:t>
            </w:r>
            <w:proofErr w:type="gramEnd"/>
            <w:r>
              <w:rPr>
                <w:rFonts w:ascii="Cambria" w:hAnsi="Cambria"/>
              </w:rPr>
              <w:t xml:space="preserve"> der Trend der aktiven Ausbrüche sowie Todesfälle zu</w:t>
            </w:r>
          </w:p>
          <w:p>
            <w:pPr>
              <w:pStyle w:val="Liste1"/>
              <w:numPr>
                <w:ilvl w:val="0"/>
                <w:numId w:val="17"/>
              </w:numPr>
              <w:rPr>
                <w:rFonts w:ascii="Cambria" w:hAnsi="Cambria"/>
              </w:rPr>
            </w:pPr>
            <w:r>
              <w:rPr>
                <w:rFonts w:ascii="Cambria" w:hAnsi="Cambria"/>
              </w:rPr>
              <w:t>93% der Bewohnenden in Pflegeeinrichtungen sind grundimmunisiert, gleichbleibendes Niveau, keine Veränderungen sichtbar. Auffrischimpfung stagniert ebenso</w:t>
            </w:r>
          </w:p>
          <w:p>
            <w:pPr>
              <w:pStyle w:val="Liste1"/>
              <w:numPr>
                <w:ilvl w:val="0"/>
                <w:numId w:val="17"/>
              </w:numPr>
              <w:rPr>
                <w:rFonts w:ascii="Cambria" w:hAnsi="Cambria"/>
              </w:rPr>
            </w:pPr>
            <w:r>
              <w:rPr>
                <w:rFonts w:ascii="Cambria" w:hAnsi="Cambria"/>
              </w:rPr>
              <w:t xml:space="preserve">Ggf. Kampagne, um für Auffrischimpfung zu werben, allerdings lief die 2. Auffrischimpfung auch erst im Februar an </w:t>
            </w:r>
          </w:p>
          <w:p>
            <w:pPr>
              <w:rPr>
                <w:rFonts w:ascii="Cambria" w:hAnsi="Cambria"/>
                <w:b/>
                <w:sz w:val="22"/>
                <w:szCs w:val="22"/>
              </w:rPr>
            </w:pPr>
          </w:p>
          <w:p>
            <w:pPr>
              <w:rPr>
                <w:rFonts w:ascii="Cambria" w:hAnsi="Cambria"/>
                <w:b/>
                <w:sz w:val="22"/>
                <w:szCs w:val="22"/>
              </w:rPr>
            </w:pPr>
            <w:r>
              <w:rPr>
                <w:rFonts w:ascii="Cambria" w:hAnsi="Cambria"/>
                <w:b/>
                <w:sz w:val="22"/>
                <w:szCs w:val="22"/>
              </w:rPr>
              <w:t>Diskussion</w:t>
            </w:r>
          </w:p>
          <w:p>
            <w:pPr>
              <w:pStyle w:val="Listenabsatz"/>
              <w:numPr>
                <w:ilvl w:val="0"/>
                <w:numId w:val="17"/>
              </w:numPr>
              <w:rPr>
                <w:rFonts w:ascii="Cambria" w:hAnsi="Cambria"/>
                <w:sz w:val="22"/>
                <w:szCs w:val="22"/>
              </w:rPr>
            </w:pPr>
            <w:r>
              <w:rPr>
                <w:rFonts w:ascii="Cambria" w:hAnsi="Cambria"/>
                <w:sz w:val="22"/>
                <w:szCs w:val="22"/>
              </w:rPr>
              <w:t>Derzeit herausfordernde Lageeinschätzung</w:t>
            </w:r>
          </w:p>
          <w:p>
            <w:pPr>
              <w:pStyle w:val="Listenabsatz"/>
              <w:rPr>
                <w:rFonts w:ascii="Cambria" w:hAnsi="Cambria"/>
                <w:sz w:val="22"/>
                <w:szCs w:val="22"/>
              </w:rPr>
            </w:pPr>
            <w:r>
              <w:rPr>
                <w:rFonts w:ascii="Cambria" w:hAnsi="Cambria"/>
                <w:sz w:val="22"/>
                <w:szCs w:val="22"/>
              </w:rPr>
              <w:t>(Worin liegt die Zunahme der Inzidenz in den nördlichen Ländern der Kinder/Jugendlichen begründet? Mehr Testungen? Gibt es eine Übersicht, in welchen BL in den Schulen getestet wird? Anstieg der ITS-Neuaufnahmen im Saarland?)</w:t>
            </w:r>
          </w:p>
          <w:p>
            <w:pPr>
              <w:pStyle w:val="Listenabsatz"/>
              <w:numPr>
                <w:ilvl w:val="0"/>
                <w:numId w:val="17"/>
              </w:numPr>
              <w:rPr>
                <w:rFonts w:ascii="Cambria" w:hAnsi="Cambria"/>
                <w:sz w:val="22"/>
                <w:szCs w:val="22"/>
              </w:rPr>
            </w:pPr>
            <w:r>
              <w:rPr>
                <w:rFonts w:ascii="Cambria" w:hAnsi="Cambria"/>
                <w:sz w:val="22"/>
                <w:szCs w:val="22"/>
              </w:rPr>
              <w:t>Welche Instrumente werden benötigt, um repräsentative Daten zu haben bzw. deren Aussagekraft zu erhöhen bzw. negativen Trend ausreichend zu bestätigen</w:t>
            </w:r>
          </w:p>
          <w:p>
            <w:pPr>
              <w:pStyle w:val="Listenabsatz"/>
              <w:numPr>
                <w:ilvl w:val="0"/>
                <w:numId w:val="17"/>
              </w:numPr>
              <w:rPr>
                <w:rFonts w:ascii="Cambria" w:hAnsi="Cambria"/>
                <w:sz w:val="22"/>
                <w:szCs w:val="22"/>
              </w:rPr>
            </w:pPr>
            <w:r>
              <w:rPr>
                <w:rFonts w:ascii="Cambria" w:hAnsi="Cambria"/>
                <w:sz w:val="22"/>
                <w:szCs w:val="22"/>
              </w:rPr>
              <w:t xml:space="preserve">Wie repräsentativ sind die Daten der </w:t>
            </w:r>
            <w:proofErr w:type="spellStart"/>
            <w:r>
              <w:rPr>
                <w:rFonts w:ascii="Cambria" w:hAnsi="Cambria"/>
                <w:sz w:val="22"/>
                <w:szCs w:val="22"/>
              </w:rPr>
              <w:t>syndromischen</w:t>
            </w:r>
            <w:proofErr w:type="spellEnd"/>
            <w:r>
              <w:rPr>
                <w:rFonts w:ascii="Cambria" w:hAnsi="Cambria"/>
                <w:sz w:val="22"/>
                <w:szCs w:val="22"/>
              </w:rPr>
              <w:t xml:space="preserve"> Surveillance?</w:t>
            </w:r>
          </w:p>
          <w:p>
            <w:pPr>
              <w:pStyle w:val="Listenabsatz"/>
              <w:numPr>
                <w:ilvl w:val="0"/>
                <w:numId w:val="17"/>
              </w:numPr>
              <w:rPr>
                <w:rFonts w:ascii="Cambria" w:hAnsi="Cambria"/>
                <w:sz w:val="22"/>
                <w:szCs w:val="22"/>
              </w:rPr>
            </w:pPr>
            <w:r>
              <w:rPr>
                <w:rFonts w:ascii="Cambria" w:hAnsi="Cambria"/>
                <w:sz w:val="22"/>
                <w:szCs w:val="22"/>
              </w:rPr>
              <w:t>Qualität der internationalen Anforderungen und des Basispapiers der Durchführung einer Surveillance sind in DE gewährleistet bzw. Anforderungen sind erfüllt</w:t>
            </w:r>
          </w:p>
          <w:p>
            <w:pPr>
              <w:pStyle w:val="Listenabsatz"/>
              <w:numPr>
                <w:ilvl w:val="0"/>
                <w:numId w:val="17"/>
              </w:numPr>
              <w:rPr>
                <w:rFonts w:ascii="Cambria" w:hAnsi="Cambria"/>
                <w:sz w:val="22"/>
                <w:szCs w:val="22"/>
              </w:rPr>
            </w:pPr>
            <w:r>
              <w:rPr>
                <w:rFonts w:ascii="Cambria" w:hAnsi="Cambria"/>
                <w:sz w:val="22"/>
                <w:szCs w:val="22"/>
              </w:rPr>
              <w:t xml:space="preserve">Auf nationaler Ebene gute Repräsentativität, um feinkörniger (lokaler) zu werden, ist ein Ausbau geplant, begrenzte Aussagen sind aber bereits repräsentativ zu treffen </w:t>
            </w:r>
          </w:p>
          <w:p>
            <w:pPr>
              <w:pStyle w:val="Listenabsatz"/>
              <w:numPr>
                <w:ilvl w:val="0"/>
                <w:numId w:val="17"/>
              </w:numPr>
              <w:rPr>
                <w:rFonts w:ascii="Cambria" w:hAnsi="Cambria"/>
                <w:sz w:val="22"/>
                <w:szCs w:val="22"/>
              </w:rPr>
            </w:pPr>
            <w:r>
              <w:rPr>
                <w:rFonts w:ascii="Cambria" w:hAnsi="Cambria"/>
                <w:sz w:val="22"/>
                <w:szCs w:val="22"/>
              </w:rPr>
              <w:t>Integrierter Ansatz wird von ECDC (Basispapier) priorisiert, RKI überwacht derzeit auch schon erregerübergreifend. Priorität soll bei Qualität der Daten liegen, Durchführung einer Qualitätskontrolle über Vollerfassung</w:t>
            </w:r>
          </w:p>
          <w:p>
            <w:pPr>
              <w:pStyle w:val="Listenabsatz"/>
              <w:numPr>
                <w:ilvl w:val="0"/>
                <w:numId w:val="17"/>
              </w:numPr>
              <w:rPr>
                <w:rFonts w:ascii="Cambria" w:hAnsi="Cambria"/>
                <w:sz w:val="22"/>
                <w:szCs w:val="22"/>
              </w:rPr>
            </w:pPr>
            <w:r>
              <w:rPr>
                <w:rFonts w:ascii="Cambria" w:hAnsi="Cambria"/>
                <w:sz w:val="22"/>
                <w:szCs w:val="22"/>
              </w:rPr>
              <w:t xml:space="preserve">In Ostersituation gab es in Großteil der Systeme Probleme, genaue Daten zu erfassen (verändertes Konsultationsverhalten, </w:t>
            </w:r>
            <w:proofErr w:type="spellStart"/>
            <w:r>
              <w:rPr>
                <w:rFonts w:ascii="Cambria" w:hAnsi="Cambria"/>
                <w:sz w:val="22"/>
                <w:szCs w:val="22"/>
              </w:rPr>
              <w:t>etc</w:t>
            </w:r>
            <w:proofErr w:type="spellEnd"/>
            <w:r>
              <w:rPr>
                <w:rFonts w:ascii="Cambria" w:hAnsi="Cambria"/>
                <w:sz w:val="22"/>
                <w:szCs w:val="22"/>
              </w:rPr>
              <w:t>). Ausnahme: Intensivregister, hier wurde auch über Ostern gemeldet.</w:t>
            </w:r>
          </w:p>
          <w:p>
            <w:pPr>
              <w:pStyle w:val="Listenabsatz"/>
              <w:numPr>
                <w:ilvl w:val="0"/>
                <w:numId w:val="17"/>
              </w:numPr>
              <w:rPr>
                <w:rFonts w:ascii="Cambria" w:hAnsi="Cambria"/>
                <w:sz w:val="22"/>
                <w:szCs w:val="22"/>
              </w:rPr>
            </w:pPr>
            <w:r>
              <w:rPr>
                <w:rFonts w:ascii="Cambria" w:hAnsi="Cambria"/>
                <w:sz w:val="22"/>
                <w:szCs w:val="22"/>
              </w:rPr>
              <w:t xml:space="preserve">Ist eine Zunahme der Fallzahlen ein Anstieg oder die Kompensation des Dips nach Ostern? In </w:t>
            </w:r>
            <w:proofErr w:type="spellStart"/>
            <w:r>
              <w:rPr>
                <w:rFonts w:ascii="Cambria" w:hAnsi="Cambria"/>
                <w:sz w:val="22"/>
                <w:szCs w:val="22"/>
              </w:rPr>
              <w:t>syndromischer</w:t>
            </w:r>
            <w:proofErr w:type="spellEnd"/>
            <w:r>
              <w:rPr>
                <w:rFonts w:ascii="Cambria" w:hAnsi="Cambria"/>
                <w:sz w:val="22"/>
                <w:szCs w:val="22"/>
              </w:rPr>
              <w:t xml:space="preserve"> Surveillance wurde ein Rückgang beobachtet, Grippeweb ist in der Erfassung schnell, mit genaueren Aussagen kann </w:t>
            </w:r>
            <w:r>
              <w:rPr>
                <w:rFonts w:ascii="Cambria" w:hAnsi="Cambria"/>
                <w:sz w:val="22"/>
                <w:szCs w:val="22"/>
              </w:rPr>
              <w:lastRenderedPageBreak/>
              <w:t xml:space="preserve">vermutlich erst nächste Woche gerechnet werden. Kombination aus nachgetragenen Meldungen aus den vergangenen zwei Wochen sowie vermehrte Testaktivität von Kindern/Jugendlichen aufgrund des Schulbeginns. </w:t>
            </w:r>
          </w:p>
          <w:p>
            <w:pPr>
              <w:pStyle w:val="Listenabsatz"/>
              <w:numPr>
                <w:ilvl w:val="0"/>
                <w:numId w:val="17"/>
              </w:numPr>
              <w:rPr>
                <w:rFonts w:ascii="Cambria" w:hAnsi="Cambria"/>
                <w:sz w:val="22"/>
                <w:szCs w:val="22"/>
              </w:rPr>
            </w:pPr>
            <w:r>
              <w:rPr>
                <w:rFonts w:ascii="Cambria" w:hAnsi="Cambria"/>
                <w:sz w:val="22"/>
                <w:szCs w:val="22"/>
              </w:rPr>
              <w:t>Viele BL übermitteln am WE keine Daten, der hohe Anstieg der Inzidenz im Meldewesen am Dienstag resultierte aus Nachmeldungen nach Ostern. Einerseits sollte dies besser an die Politik adressiert werden, andererseits können bessere Aussagen getroffen werden, wenn von einer täglichen Auswertung auf eine wöchentliche Auswertung reduziert wird</w:t>
            </w:r>
          </w:p>
          <w:p>
            <w:pPr>
              <w:pStyle w:val="Listenabsatz"/>
              <w:numPr>
                <w:ilvl w:val="0"/>
                <w:numId w:val="17"/>
              </w:numPr>
              <w:rPr>
                <w:rFonts w:ascii="Cambria" w:hAnsi="Cambria"/>
                <w:sz w:val="22"/>
                <w:szCs w:val="22"/>
              </w:rPr>
            </w:pPr>
            <w:r>
              <w:rPr>
                <w:rFonts w:ascii="Cambria" w:hAnsi="Cambria"/>
                <w:sz w:val="22"/>
                <w:szCs w:val="22"/>
              </w:rPr>
              <w:t xml:space="preserve">Bezüglich Rekombinanten wurde BA.2.12.2 in den letzten 2 Wochen nur 2x nachgewiesen, daher noch kein Hinweis, dass diese Rekombinante eine entscheidend für den Anstieg der Zahlen </w:t>
            </w:r>
            <w:proofErr w:type="gramStart"/>
            <w:r>
              <w:rPr>
                <w:rFonts w:ascii="Cambria" w:hAnsi="Cambria"/>
                <w:sz w:val="22"/>
                <w:szCs w:val="22"/>
              </w:rPr>
              <w:t>ist</w:t>
            </w:r>
            <w:proofErr w:type="gramEnd"/>
          </w:p>
          <w:p>
            <w:pPr>
              <w:pStyle w:val="Listenabsatz"/>
              <w:numPr>
                <w:ilvl w:val="0"/>
                <w:numId w:val="17"/>
              </w:numPr>
              <w:rPr>
                <w:rFonts w:ascii="Cambria" w:hAnsi="Cambria"/>
                <w:sz w:val="22"/>
                <w:szCs w:val="22"/>
              </w:rPr>
            </w:pPr>
            <w:r>
              <w:rPr>
                <w:rFonts w:ascii="Cambria" w:hAnsi="Cambria"/>
                <w:sz w:val="22"/>
                <w:szCs w:val="22"/>
              </w:rPr>
              <w:t>Die Verteilung der KH bei den ICOSARI-Kliniken: ist auch in Basispublikation beschrieben, Helioskliniken. Rehakliniken und Privatkliniken sind bewusst ausgeschlossen wurden. Insgesamt nehmen 84 Kliniken teil</w:t>
            </w:r>
          </w:p>
          <w:p>
            <w:pPr>
              <w:pStyle w:val="Listenabsatz"/>
              <w:numPr>
                <w:ilvl w:val="0"/>
                <w:numId w:val="17"/>
              </w:numPr>
              <w:rPr>
                <w:rFonts w:ascii="Cambria" w:hAnsi="Cambria"/>
                <w:sz w:val="22"/>
                <w:szCs w:val="22"/>
              </w:rPr>
            </w:pPr>
            <w:r>
              <w:rPr>
                <w:rFonts w:ascii="Cambria" w:hAnsi="Cambria"/>
                <w:sz w:val="22"/>
                <w:szCs w:val="22"/>
              </w:rPr>
              <w:t xml:space="preserve">SARI-Surveillance repräsentativ, daher </w:t>
            </w:r>
            <w:proofErr w:type="spellStart"/>
            <w:r>
              <w:rPr>
                <w:rFonts w:ascii="Cambria" w:hAnsi="Cambria"/>
                <w:sz w:val="22"/>
                <w:szCs w:val="22"/>
              </w:rPr>
              <w:t>Hochrechungen</w:t>
            </w:r>
            <w:proofErr w:type="spellEnd"/>
            <w:r>
              <w:rPr>
                <w:rFonts w:ascii="Cambria" w:hAnsi="Cambria"/>
                <w:sz w:val="22"/>
                <w:szCs w:val="22"/>
              </w:rPr>
              <w:t xml:space="preserve"> und </w:t>
            </w:r>
            <w:proofErr w:type="spellStart"/>
            <w:r>
              <w:rPr>
                <w:rFonts w:ascii="Cambria" w:hAnsi="Cambria"/>
                <w:sz w:val="22"/>
                <w:szCs w:val="22"/>
              </w:rPr>
              <w:t>Inzdienzberechnungen</w:t>
            </w:r>
            <w:proofErr w:type="spellEnd"/>
            <w:r>
              <w:rPr>
                <w:rFonts w:ascii="Cambria" w:hAnsi="Cambria"/>
                <w:sz w:val="22"/>
                <w:szCs w:val="22"/>
              </w:rPr>
              <w:t xml:space="preserve"> möglich</w:t>
            </w:r>
          </w:p>
          <w:p>
            <w:pPr>
              <w:pStyle w:val="Listenabsatz"/>
              <w:numPr>
                <w:ilvl w:val="0"/>
                <w:numId w:val="17"/>
              </w:numPr>
              <w:rPr>
                <w:rFonts w:ascii="Cambria" w:hAnsi="Cambria"/>
                <w:sz w:val="22"/>
                <w:szCs w:val="22"/>
              </w:rPr>
            </w:pPr>
            <w:r>
              <w:rPr>
                <w:rFonts w:ascii="Cambria" w:hAnsi="Cambria"/>
                <w:sz w:val="22"/>
                <w:szCs w:val="22"/>
              </w:rPr>
              <w:t xml:space="preserve">Der Wert der Repräsentativität der </w:t>
            </w:r>
            <w:proofErr w:type="spellStart"/>
            <w:r>
              <w:rPr>
                <w:rFonts w:ascii="Cambria" w:hAnsi="Cambria"/>
                <w:sz w:val="22"/>
                <w:szCs w:val="22"/>
              </w:rPr>
              <w:t>syndromischen</w:t>
            </w:r>
            <w:proofErr w:type="spellEnd"/>
            <w:r>
              <w:rPr>
                <w:rFonts w:ascii="Cambria" w:hAnsi="Cambria"/>
                <w:sz w:val="22"/>
                <w:szCs w:val="22"/>
              </w:rPr>
              <w:t xml:space="preserve"> Surveillance soll besser vermittelt werden. Hierzu können Fragen gesammelt werden und über ein </w:t>
            </w:r>
            <w:proofErr w:type="spellStart"/>
            <w:r>
              <w:rPr>
                <w:rFonts w:ascii="Cambria" w:hAnsi="Cambria"/>
                <w:sz w:val="22"/>
                <w:szCs w:val="22"/>
              </w:rPr>
              <w:t>ein</w:t>
            </w:r>
            <w:proofErr w:type="spellEnd"/>
            <w:r>
              <w:rPr>
                <w:rFonts w:ascii="Cambria" w:hAnsi="Cambria"/>
                <w:sz w:val="22"/>
                <w:szCs w:val="22"/>
              </w:rPr>
              <w:t xml:space="preserve"> Interview, Hintergrundgespräch, FAQ, Tabelle o.ä. kommuniziert/vermittelt werden. </w:t>
            </w:r>
          </w:p>
          <w:p>
            <w:pPr>
              <w:pStyle w:val="Listenabsatz"/>
              <w:numPr>
                <w:ilvl w:val="0"/>
                <w:numId w:val="17"/>
              </w:numPr>
              <w:rPr>
                <w:rFonts w:ascii="Cambria" w:hAnsi="Cambria"/>
                <w:sz w:val="22"/>
                <w:szCs w:val="22"/>
              </w:rPr>
            </w:pPr>
            <w:r>
              <w:rPr>
                <w:rFonts w:ascii="Cambria" w:hAnsi="Cambria"/>
                <w:sz w:val="22"/>
                <w:szCs w:val="22"/>
              </w:rPr>
              <w:t>Donnerstag Treffen Bundeskanzleramt; dort Anregung</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(Kerber)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MF1</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r>
              <w:rPr>
                <w:rStyle w:val="TagFrZchn"/>
              </w:rPr>
              <w:t>(nur montags)</w:t>
            </w:r>
          </w:p>
          <w:p>
            <w:pPr>
              <w:pStyle w:val="Liste1"/>
              <w:rPr>
                <w:rStyle w:val="1Zchn"/>
                <w:sz w:val="22"/>
              </w:rPr>
            </w:pPr>
            <w:r>
              <w:rPr>
                <w:rStyle w:val="1Zchn"/>
                <w:sz w:val="22"/>
              </w:rPr>
              <w:t>(nicht berichtet)</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FG33/alle </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r>
              <w:rPr>
                <w:rStyle w:val="TagMiZchn"/>
                <w:bCs/>
              </w:rPr>
              <w:t>(nur mittwochs)</w:t>
            </w:r>
          </w:p>
          <w:p>
            <w:pPr>
              <w:pStyle w:val="Liste1"/>
            </w:pPr>
            <w:r>
              <w:t xml:space="preserve">Geplantes Treffen zum Austausch am </w:t>
            </w:r>
            <w:proofErr w:type="gramStart"/>
            <w:r>
              <w:rPr>
                <w:highlight w:val="yellow"/>
              </w:rPr>
              <w:t>06.05</w:t>
            </w:r>
            <w:r>
              <w:t xml:space="preserve"> ,</w:t>
            </w:r>
            <w:proofErr w:type="gramEnd"/>
            <w:r>
              <w:t xml:space="preserve"> hierzu vorab Gespräch diese Woche mit BMG</w:t>
            </w:r>
          </w:p>
          <w:p>
            <w:pPr>
              <w:pStyle w:val="Liste1"/>
            </w:pPr>
            <w:r>
              <w:t>Südkorea strebt eine Internationalisierung ihrer Arbeit an, hat um einen Austausch mit RKI gebeten</w:t>
            </w:r>
          </w:p>
          <w:p>
            <w:pPr>
              <w:pStyle w:val="Liste1"/>
            </w:pPr>
            <w:proofErr w:type="spellStart"/>
            <w:r>
              <w:t>Sero</w:t>
            </w:r>
            <w:proofErr w:type="spellEnd"/>
            <w:r>
              <w:t>-Studie Health-Care-</w:t>
            </w:r>
            <w:proofErr w:type="spellStart"/>
            <w:r>
              <w:t>Worker</w:t>
            </w:r>
            <w:proofErr w:type="spellEnd"/>
            <w:r>
              <w:t xml:space="preserve"> in 4 afrikanischen Ländern: erste Resultate sind da, erste Vorstellung im Krisenstab im Juni geplant</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ZIG</w:t>
            </w:r>
          </w:p>
          <w:p>
            <w:pPr>
              <w:rPr>
                <w:sz w:val="22"/>
                <w:szCs w:val="22"/>
              </w:rPr>
            </w:pPr>
            <w:r>
              <w:rPr>
                <w:sz w:val="22"/>
                <w:szCs w:val="22"/>
              </w:rPr>
              <w:t>(</w:t>
            </w:r>
            <w:proofErr w:type="spellStart"/>
            <w:r>
              <w:rPr>
                <w:sz w:val="22"/>
                <w:szCs w:val="22"/>
              </w:rPr>
              <w:t>Hanefeld</w:t>
            </w:r>
            <w:proofErr w:type="spellEnd"/>
            <w:r>
              <w:rPr>
                <w:sz w:val="22"/>
                <w:szCs w:val="22"/>
              </w:rPr>
              <w:t>)</w:t>
            </w:r>
          </w:p>
        </w:tc>
      </w:tr>
      <w:tr>
        <w:tc>
          <w:tcPr>
            <w:tcW w:w="684" w:type="dxa"/>
          </w:tcPr>
          <w:p>
            <w:pPr>
              <w:rPr>
                <w:b/>
              </w:rPr>
            </w:pPr>
            <w:r>
              <w:rPr>
                <w:b/>
              </w:rPr>
              <w:t>4</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FG21</w:t>
            </w:r>
          </w:p>
        </w:tc>
      </w:tr>
      <w:tr>
        <w:tc>
          <w:tcPr>
            <w:tcW w:w="684" w:type="dxa"/>
          </w:tcPr>
          <w:p>
            <w:pPr>
              <w:rPr>
                <w:b/>
              </w:rPr>
            </w:pPr>
            <w:r>
              <w:rPr>
                <w:b/>
              </w:rPr>
              <w:t>5</w:t>
            </w:r>
          </w:p>
        </w:tc>
        <w:tc>
          <w:tcPr>
            <w:tcW w:w="6824" w:type="dxa"/>
          </w:tcPr>
          <w:p>
            <w:pPr>
              <w:pStyle w:val="1"/>
            </w:pPr>
            <w:r>
              <w:t>Aktuelle Risikobewertung</w:t>
            </w:r>
          </w:p>
          <w:p>
            <w:pPr>
              <w:pStyle w:val="Liste1"/>
            </w:pPr>
            <w:r>
              <w:t>Anpassung der Risikobewertung</w:t>
            </w:r>
          </w:p>
          <w:p>
            <w:pPr>
              <w:pStyle w:val="Liste1"/>
            </w:pPr>
            <w:r>
              <w:t>Stand jetzt kein Hinweis auf eine neue Welle, Überlegung der Reduzierung der Risikobewertung auf „hoch“</w:t>
            </w:r>
          </w:p>
          <w:p>
            <w:pPr>
              <w:pStyle w:val="Liste1"/>
            </w:pPr>
            <w:r>
              <w:t>Da derzeit eine Lageeinschätzung eher schwierig ist (Feiertage und Änderung der Hygienemaßnahmen, ist eine Verschiebung der Diskussion auf nächste Woche sinnvoller</w:t>
            </w:r>
          </w:p>
          <w:p>
            <w:pPr>
              <w:pStyle w:val="Liste1"/>
              <w:numPr>
                <w:ilvl w:val="0"/>
                <w:numId w:val="0"/>
              </w:numPr>
              <w:ind w:left="113"/>
            </w:pPr>
          </w:p>
          <w:p>
            <w:pPr>
              <w:pStyle w:val="Liste1"/>
              <w:numPr>
                <w:ilvl w:val="0"/>
                <w:numId w:val="0"/>
              </w:numPr>
              <w:ind w:left="113"/>
            </w:pPr>
            <w:proofErr w:type="spellStart"/>
            <w:r>
              <w:rPr>
                <w:b/>
                <w:i/>
              </w:rPr>
              <w:t>ToDo</w:t>
            </w:r>
            <w:proofErr w:type="spellEnd"/>
            <w:r>
              <w:t xml:space="preserve">: </w:t>
            </w:r>
            <w:r>
              <w:rPr>
                <w:i/>
              </w:rPr>
              <w:t>Nächste Woche erneute Beratung im Krisenstab</w:t>
            </w:r>
          </w:p>
        </w:tc>
        <w:tc>
          <w:tcPr>
            <w:tcW w:w="1463" w:type="dxa"/>
          </w:tcPr>
          <w:p>
            <w:pPr>
              <w:rPr>
                <w:sz w:val="22"/>
                <w:szCs w:val="22"/>
              </w:rPr>
            </w:pPr>
          </w:p>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lastRenderedPageBreak/>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Intensive Diskussion um Long-</w:t>
            </w:r>
            <w:proofErr w:type="spellStart"/>
            <w:r>
              <w:t>Covid</w:t>
            </w:r>
            <w:proofErr w:type="spellEnd"/>
            <w:r>
              <w:t>-Stellungnahme, Stand: in Bearbeitung</w:t>
            </w:r>
          </w:p>
          <w:p>
            <w:pPr>
              <w:pStyle w:val="Liste1"/>
            </w:pPr>
            <w:r>
              <w:t>Keine klare Definition Long-</w:t>
            </w:r>
            <w:proofErr w:type="spellStart"/>
            <w:r>
              <w:t>Covid</w:t>
            </w:r>
            <w:proofErr w:type="spellEnd"/>
            <w:r>
              <w:t>, da Datenlage unzureichend ist</w:t>
            </w:r>
          </w:p>
          <w:p>
            <w:pPr>
              <w:pStyle w:val="Liste1"/>
            </w:pPr>
            <w:r>
              <w:t>Mitaufnahme der psychosomatischen Beschwerden</w:t>
            </w:r>
          </w:p>
          <w:p>
            <w:pPr>
              <w:pStyle w:val="Liste1"/>
            </w:pPr>
            <w:r>
              <w:t>Überlegung, Long-</w:t>
            </w:r>
            <w:proofErr w:type="spellStart"/>
            <w:r>
              <w:t>Covid</w:t>
            </w:r>
            <w:proofErr w:type="spellEnd"/>
            <w:r>
              <w:t>-</w:t>
            </w:r>
            <w:proofErr w:type="gramStart"/>
            <w:r>
              <w:t>Patient:innen</w:t>
            </w:r>
            <w:proofErr w:type="gramEnd"/>
            <w:r>
              <w:t xml:space="preserve"> erneut zu impfen, aber hierzu auch noch keine Datenlage</w:t>
            </w:r>
          </w:p>
          <w:p>
            <w:pPr>
              <w:pStyle w:val="Liste1"/>
            </w:pPr>
            <w:r>
              <w:t>Stellungnahme der Situation Herbst/Winter: Überlegung der Erhebungswerkzeuge</w:t>
            </w:r>
          </w:p>
          <w:p>
            <w:pPr>
              <w:pStyle w:val="Liste1"/>
            </w:pPr>
            <w:r>
              <w:t>AG Diagnostik Erlass finalisiert: AL2 nimmt hierzu Stellung; AK ist kein Korrelat von Protektion. Wirksamkeit Impfstoffe: Herbst wird vermutlich Auffrischimpfung benötigt</w:t>
            </w:r>
          </w:p>
        </w:tc>
        <w:tc>
          <w:tcPr>
            <w:tcW w:w="1463" w:type="dxa"/>
          </w:tcPr>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r>
              <w:rPr>
                <w:sz w:val="22"/>
                <w:szCs w:val="22"/>
              </w:rPr>
              <w:t>/alle</w:t>
            </w: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Impfquotenumstellung soll am Freitag stattfinden (29.4) statt 28.4 (Probleme Impfdashboard, Gesamtpaket kann Freitag besser kommuniziert werden), Datenjournalisten werden heute informiert, BMG weiß Bescheid</w:t>
            </w:r>
          </w:p>
          <w:p>
            <w:pPr>
              <w:pStyle w:val="Liste1"/>
            </w:pPr>
            <w:r>
              <w:t>Möglicherweise Freitag BPK</w:t>
            </w:r>
          </w:p>
          <w:p>
            <w:pPr>
              <w:pStyle w:val="Liste1"/>
            </w:pPr>
            <w:proofErr w:type="spellStart"/>
            <w:r>
              <w:t>EpidBull</w:t>
            </w:r>
            <w:proofErr w:type="spellEnd"/>
            <w:r>
              <w:t>: haben wieder freie Kapazitäten, freuen sich auf Beiträge</w:t>
            </w:r>
          </w:p>
          <w:p>
            <w:pPr>
              <w:pStyle w:val="Liste1"/>
            </w:pPr>
            <w:r>
              <w:t>Webmaster-team: Spätdienste wurden länger nicht in Anspruch genommen, ab Mai eingestellt bis auf DO für Wochenbericht</w:t>
            </w:r>
          </w:p>
          <w:p>
            <w:pPr>
              <w:pStyle w:val="Liste1"/>
            </w:pPr>
            <w:r>
              <w:t xml:space="preserve">Deeskalation tägliche Berichterstattung? (wenn Risikobewertung auch nicht reduziert wird, erstmal nicht deeskalieren. Im Mai nochmal aufgreifen). </w:t>
            </w:r>
          </w:p>
          <w:p>
            <w:pPr>
              <w:pStyle w:val="Liste1"/>
            </w:pPr>
            <w:r>
              <w:t xml:space="preserve">Bezüglich der Botschaft am Donnerstag kann auf Auffrischimpfung verwiesen werden </w:t>
            </w:r>
          </w:p>
          <w:p>
            <w:pPr>
              <w:pStyle w:val="Liste1"/>
              <w:numPr>
                <w:ilvl w:val="0"/>
                <w:numId w:val="0"/>
              </w:numPr>
              <w:ind w:left="113"/>
            </w:pPr>
          </w:p>
          <w:p>
            <w:pPr>
              <w:pStyle w:val="Liste1"/>
              <w:numPr>
                <w:ilvl w:val="0"/>
                <w:numId w:val="0"/>
              </w:numPr>
              <w:ind w:left="113"/>
              <w:rPr>
                <w:i/>
              </w:rPr>
            </w:pPr>
            <w:proofErr w:type="spellStart"/>
            <w:r>
              <w:rPr>
                <w:b/>
                <w:i/>
              </w:rPr>
              <w:t>ToDo</w:t>
            </w:r>
            <w:proofErr w:type="spellEnd"/>
            <w:r>
              <w:rPr>
                <w:i/>
              </w:rPr>
              <w:t xml:space="preserve">: Frage: „Geht von Ungeimpften ein höheres Ansteckungsrisiko im Setting Krankenhaus aus als von Geimpften“- sollte es hierzu ein Paper geben, bitte an </w:t>
            </w:r>
            <w:proofErr w:type="spellStart"/>
            <w:r>
              <w:rPr>
                <w:i/>
              </w:rPr>
              <w:t>Präs</w:t>
            </w:r>
            <w:proofErr w:type="spellEnd"/>
            <w:r>
              <w:rPr>
                <w:i/>
              </w:rPr>
              <w:t>. übersenden</w:t>
            </w:r>
          </w:p>
          <w:p>
            <w:pPr>
              <w:pStyle w:val="2"/>
            </w:pPr>
            <w:r>
              <w:t>P1</w:t>
            </w:r>
          </w:p>
          <w:p>
            <w:pPr>
              <w:pStyle w:val="Liste1"/>
              <w:rPr>
                <w:i/>
              </w:rPr>
            </w:pPr>
            <w:r>
              <w:t>(nicht berichtet) Lein</w:t>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r>
              <w:rPr>
                <w:sz w:val="22"/>
                <w:szCs w:val="22"/>
              </w:rPr>
              <w:t>(Rücker)</w:t>
            </w: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pPr>
            <w:r>
              <w:t>GMK Donnerstag soll stattfinden, Teilnahme von Hrn. Hamouda</w:t>
            </w:r>
          </w:p>
          <w:p>
            <w:pPr>
              <w:pStyle w:val="Liste1"/>
            </w:pPr>
            <w:r>
              <w:t>Thema: Quarantäne/Isolierung 5 Tage?</w:t>
            </w:r>
          </w:p>
          <w:p>
            <w:pPr>
              <w:pStyle w:val="Liste1"/>
            </w:pPr>
            <w:r>
              <w:t xml:space="preserve">Grafik </w:t>
            </w:r>
            <w:proofErr w:type="spellStart"/>
            <w:r>
              <w:t>Entisolierung</w:t>
            </w:r>
            <w:proofErr w:type="spellEnd"/>
            <w:r>
              <w:t xml:space="preserve"> im stationären Bereich soll als Gesamtpaket mit anderen Isolierungsregelungen aktualisiert werden </w:t>
            </w:r>
          </w:p>
          <w:p>
            <w:pPr>
              <w:pStyle w:val="Liste1"/>
              <w:numPr>
                <w:ilvl w:val="0"/>
                <w:numId w:val="0"/>
              </w:numPr>
              <w:ind w:left="473"/>
            </w:pPr>
          </w:p>
          <w:p>
            <w:pPr>
              <w:pStyle w:val="Liste1"/>
              <w:numPr>
                <w:ilvl w:val="0"/>
                <w:numId w:val="0"/>
              </w:numPr>
              <w:ind w:left="473" w:hanging="360"/>
              <w:rPr>
                <w:i/>
              </w:rPr>
            </w:pPr>
            <w:proofErr w:type="spellStart"/>
            <w:r>
              <w:rPr>
                <w:b/>
                <w:i/>
              </w:rPr>
              <w:t>ToDo</w:t>
            </w:r>
            <w:proofErr w:type="spellEnd"/>
            <w:r>
              <w:rPr>
                <w:i/>
              </w:rPr>
              <w:t>: Nachfrage von Fr. Rexroth bezüglich des aktuellen Standes der Diskussion um Quarantäne/Isolation im BMG</w:t>
            </w:r>
          </w:p>
          <w:p>
            <w:pPr>
              <w:pStyle w:val="Liste1"/>
              <w:numPr>
                <w:ilvl w:val="0"/>
                <w:numId w:val="0"/>
              </w:numPr>
            </w:pP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r>
              <w:rPr>
                <w:sz w:val="22"/>
                <w:szCs w:val="22"/>
              </w:rPr>
              <w:br/>
            </w:r>
          </w:p>
        </w:tc>
      </w:tr>
      <w:tr>
        <w:tc>
          <w:tcPr>
            <w:tcW w:w="684" w:type="dxa"/>
          </w:tcPr>
          <w:p>
            <w:pPr>
              <w:rPr>
                <w:b/>
              </w:rPr>
            </w:pPr>
            <w:r>
              <w:rPr>
                <w:b/>
              </w:rPr>
              <w:lastRenderedPageBreak/>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10</w:t>
            </w:r>
          </w:p>
        </w:tc>
        <w:tc>
          <w:tcPr>
            <w:tcW w:w="6824" w:type="dxa"/>
          </w:tcPr>
          <w:p>
            <w:pPr>
              <w:pStyle w:val="1"/>
            </w:pPr>
            <w:r>
              <w:t>Labordiagnostik</w:t>
            </w:r>
          </w:p>
          <w:p>
            <w:pPr>
              <w:pStyle w:val="Liste1"/>
            </w:pPr>
            <w:r>
              <w:t xml:space="preserve"> (nicht berichtet)</w:t>
            </w:r>
          </w:p>
        </w:tc>
        <w:tc>
          <w:tcPr>
            <w:tcW w:w="1463" w:type="dxa"/>
          </w:tcPr>
          <w:p>
            <w:pPr>
              <w:rPr>
                <w:sz w:val="22"/>
                <w:szCs w:val="22"/>
              </w:rPr>
            </w:pPr>
          </w:p>
          <w:p>
            <w:pPr>
              <w:rPr>
                <w:sz w:val="22"/>
                <w:szCs w:val="22"/>
              </w:rPr>
            </w:pPr>
          </w:p>
          <w:p>
            <w:pPr>
              <w:rPr>
                <w:sz w:val="22"/>
                <w:szCs w:val="22"/>
              </w:rPr>
            </w:pPr>
            <w:r>
              <w:rPr>
                <w:sz w:val="22"/>
                <w:szCs w:val="22"/>
              </w:rPr>
              <w:t>FG17/FG36</w:t>
            </w:r>
            <w:r>
              <w:rPr>
                <w:sz w:val="22"/>
                <w:szCs w:val="22"/>
              </w:rPr>
              <w:br/>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b w:val="0"/>
                <w:sz w:val="22"/>
              </w:rPr>
            </w:pPr>
            <w:r>
              <w:rPr>
                <w:rStyle w:val="1Zchn"/>
                <w:b/>
              </w:rPr>
              <w:t>Surveillance</w:t>
            </w:r>
          </w:p>
          <w:p>
            <w:pPr>
              <w:pStyle w:val="Liste1"/>
            </w:pPr>
            <w:r>
              <w:t>x</w:t>
            </w:r>
          </w:p>
        </w:tc>
        <w:tc>
          <w:tcPr>
            <w:tcW w:w="1463" w:type="dxa"/>
          </w:tcPr>
          <w:p>
            <w:pPr>
              <w:rPr>
                <w:sz w:val="22"/>
                <w:szCs w:val="22"/>
              </w:rPr>
            </w:pPr>
          </w:p>
          <w:p>
            <w:pPr>
              <w:rPr>
                <w:sz w:val="22"/>
                <w:szCs w:val="22"/>
              </w:rPr>
            </w:pPr>
          </w:p>
          <w:p>
            <w:pPr>
              <w:rPr>
                <w:sz w:val="22"/>
                <w:szCs w:val="22"/>
              </w:rPr>
            </w:pPr>
            <w:r>
              <w:rPr>
                <w:sz w:val="22"/>
                <w:szCs w:val="22"/>
              </w:rPr>
              <w:t xml:space="preserve">FG 32/alle </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montags)</w:t>
            </w:r>
          </w:p>
          <w:p>
            <w:pPr>
              <w:pStyle w:val="Liste1"/>
            </w:pPr>
            <w:r>
              <w:t>(nicht berichtet)</w:t>
            </w:r>
          </w:p>
        </w:tc>
        <w:tc>
          <w:tcPr>
            <w:tcW w:w="1463" w:type="dxa"/>
          </w:tcPr>
          <w:p>
            <w:pPr>
              <w:rPr>
                <w:sz w:val="22"/>
                <w:szCs w:val="22"/>
              </w:rPr>
            </w:pPr>
          </w:p>
          <w:p>
            <w:pPr>
              <w:rPr>
                <w:sz w:val="22"/>
                <w:szCs w:val="22"/>
              </w:rPr>
            </w:pPr>
            <w:r>
              <w:rPr>
                <w:sz w:val="22"/>
                <w:szCs w:val="22"/>
              </w:rPr>
              <w:t>FG31</w:t>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montags)</w:t>
            </w:r>
          </w:p>
          <w:p>
            <w:pPr>
              <w:pStyle w:val="Liste1"/>
            </w:pPr>
            <w:r>
              <w:t>Der Zwischenbericht des Lagezentrums wurde finalisiert, wird bezüglich Rückmeldung und Verbesserungsvorschläge über Verteiler zirkuliert</w:t>
            </w:r>
          </w:p>
          <w:p>
            <w:pPr>
              <w:pStyle w:val="Liste1"/>
            </w:pPr>
            <w:r>
              <w:t>Länge derzeit 150 Seiten mit Anhang, Fazit noch offen</w:t>
            </w:r>
          </w:p>
          <w:p>
            <w:pPr>
              <w:pStyle w:val="Liste1"/>
            </w:pPr>
            <w:r>
              <w:t>Situation im Lagezentrum ist derzeit ruhiger, bezüglich der Internationalen Kommunikation möchte Bayern und NRW noch Fallinformationen erhalten</w:t>
            </w:r>
          </w:p>
          <w:p>
            <w:pPr>
              <w:pStyle w:val="Liste1"/>
            </w:pPr>
            <w:r>
              <w:t xml:space="preserve"> Reduktion der Berichterstattung auf 1x wäre wünschenswert</w:t>
            </w: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(rexroth)</w:t>
            </w:r>
            <w:bookmarkStart w:id="1" w:name="_GoBack"/>
            <w:bookmarkEnd w:id="1"/>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Montag, 02.05.2022, 13:00 Uhr, via </w:t>
            </w:r>
            <w:proofErr w:type="spellStart"/>
            <w:r>
              <w:t>Webex</w:t>
            </w:r>
            <w:proofErr w:type="spellEnd"/>
            <w:r>
              <w:br/>
              <w:t>.</w:t>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12:40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BA0"/>
    <w:multiLevelType w:val="hybridMultilevel"/>
    <w:tmpl w:val="9D7065A8"/>
    <w:lvl w:ilvl="0" w:tplc="04070005">
      <w:start w:val="1"/>
      <w:numFmt w:val="bullet"/>
      <w:lvlText w:val=""/>
      <w:lvlJc w:val="left"/>
      <w:pPr>
        <w:ind w:left="1548" w:hanging="360"/>
      </w:pPr>
      <w:rPr>
        <w:rFonts w:ascii="Wingdings" w:hAnsi="Wingdings" w:hint="default"/>
      </w:rPr>
    </w:lvl>
    <w:lvl w:ilvl="1" w:tplc="04070003">
      <w:start w:val="1"/>
      <w:numFmt w:val="bullet"/>
      <w:lvlText w:val="o"/>
      <w:lvlJc w:val="left"/>
      <w:pPr>
        <w:ind w:left="2268" w:hanging="360"/>
      </w:pPr>
      <w:rPr>
        <w:rFonts w:ascii="Courier New" w:hAnsi="Courier New" w:cs="Courier New" w:hint="default"/>
      </w:rPr>
    </w:lvl>
    <w:lvl w:ilvl="2" w:tplc="04070005">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1" w15:restartNumberingAfterBreak="0">
    <w:nsid w:val="04171F20"/>
    <w:multiLevelType w:val="hybridMultilevel"/>
    <w:tmpl w:val="B2B8ED4E"/>
    <w:lvl w:ilvl="0" w:tplc="04070005">
      <w:start w:val="1"/>
      <w:numFmt w:val="bullet"/>
      <w:lvlText w:val=""/>
      <w:lvlJc w:val="left"/>
      <w:pPr>
        <w:ind w:left="1191" w:hanging="360"/>
      </w:pPr>
      <w:rPr>
        <w:rFonts w:ascii="Wingdings" w:hAnsi="Wingdings" w:hint="default"/>
      </w:rPr>
    </w:lvl>
    <w:lvl w:ilvl="1" w:tplc="04070003" w:tentative="1">
      <w:start w:val="1"/>
      <w:numFmt w:val="bullet"/>
      <w:lvlText w:val="o"/>
      <w:lvlJc w:val="left"/>
      <w:pPr>
        <w:ind w:left="1911" w:hanging="360"/>
      </w:pPr>
      <w:rPr>
        <w:rFonts w:ascii="Courier New" w:hAnsi="Courier New" w:cs="Courier New" w:hint="default"/>
      </w:rPr>
    </w:lvl>
    <w:lvl w:ilvl="2" w:tplc="04070005" w:tentative="1">
      <w:start w:val="1"/>
      <w:numFmt w:val="bullet"/>
      <w:lvlText w:val=""/>
      <w:lvlJc w:val="left"/>
      <w:pPr>
        <w:ind w:left="2631" w:hanging="360"/>
      </w:pPr>
      <w:rPr>
        <w:rFonts w:ascii="Wingdings" w:hAnsi="Wingdings" w:hint="default"/>
      </w:rPr>
    </w:lvl>
    <w:lvl w:ilvl="3" w:tplc="04070001" w:tentative="1">
      <w:start w:val="1"/>
      <w:numFmt w:val="bullet"/>
      <w:lvlText w:val=""/>
      <w:lvlJc w:val="left"/>
      <w:pPr>
        <w:ind w:left="3351" w:hanging="360"/>
      </w:pPr>
      <w:rPr>
        <w:rFonts w:ascii="Symbol" w:hAnsi="Symbol" w:hint="default"/>
      </w:rPr>
    </w:lvl>
    <w:lvl w:ilvl="4" w:tplc="04070003" w:tentative="1">
      <w:start w:val="1"/>
      <w:numFmt w:val="bullet"/>
      <w:lvlText w:val="o"/>
      <w:lvlJc w:val="left"/>
      <w:pPr>
        <w:ind w:left="4071" w:hanging="360"/>
      </w:pPr>
      <w:rPr>
        <w:rFonts w:ascii="Courier New" w:hAnsi="Courier New" w:cs="Courier New" w:hint="default"/>
      </w:rPr>
    </w:lvl>
    <w:lvl w:ilvl="5" w:tplc="04070005" w:tentative="1">
      <w:start w:val="1"/>
      <w:numFmt w:val="bullet"/>
      <w:lvlText w:val=""/>
      <w:lvlJc w:val="left"/>
      <w:pPr>
        <w:ind w:left="4791" w:hanging="360"/>
      </w:pPr>
      <w:rPr>
        <w:rFonts w:ascii="Wingdings" w:hAnsi="Wingdings" w:hint="default"/>
      </w:rPr>
    </w:lvl>
    <w:lvl w:ilvl="6" w:tplc="04070001" w:tentative="1">
      <w:start w:val="1"/>
      <w:numFmt w:val="bullet"/>
      <w:lvlText w:val=""/>
      <w:lvlJc w:val="left"/>
      <w:pPr>
        <w:ind w:left="5511" w:hanging="360"/>
      </w:pPr>
      <w:rPr>
        <w:rFonts w:ascii="Symbol" w:hAnsi="Symbol" w:hint="default"/>
      </w:rPr>
    </w:lvl>
    <w:lvl w:ilvl="7" w:tplc="04070003" w:tentative="1">
      <w:start w:val="1"/>
      <w:numFmt w:val="bullet"/>
      <w:lvlText w:val="o"/>
      <w:lvlJc w:val="left"/>
      <w:pPr>
        <w:ind w:left="6231" w:hanging="360"/>
      </w:pPr>
      <w:rPr>
        <w:rFonts w:ascii="Courier New" w:hAnsi="Courier New" w:cs="Courier New" w:hint="default"/>
      </w:rPr>
    </w:lvl>
    <w:lvl w:ilvl="8" w:tplc="04070005" w:tentative="1">
      <w:start w:val="1"/>
      <w:numFmt w:val="bullet"/>
      <w:lvlText w:val=""/>
      <w:lvlJc w:val="left"/>
      <w:pPr>
        <w:ind w:left="6951" w:hanging="360"/>
      </w:pPr>
      <w:rPr>
        <w:rFonts w:ascii="Wingdings" w:hAnsi="Wingdings" w:hint="default"/>
      </w:rPr>
    </w:lvl>
  </w:abstractNum>
  <w:abstractNum w:abstractNumId="2" w15:restartNumberingAfterBreak="0">
    <w:nsid w:val="0EBB418E"/>
    <w:multiLevelType w:val="hybridMultilevel"/>
    <w:tmpl w:val="4B1013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FA14F30"/>
    <w:multiLevelType w:val="hybridMultilevel"/>
    <w:tmpl w:val="5568EA3A"/>
    <w:lvl w:ilvl="0" w:tplc="04070005">
      <w:start w:val="1"/>
      <w:numFmt w:val="bullet"/>
      <w:lvlText w:val=""/>
      <w:lvlJc w:val="left"/>
      <w:pPr>
        <w:ind w:left="1548" w:hanging="360"/>
      </w:pPr>
      <w:rPr>
        <w:rFonts w:ascii="Wingdings" w:hAnsi="Wingdings"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A0A8E"/>
    <w:multiLevelType w:val="hybridMultilevel"/>
    <w:tmpl w:val="31BC66AE"/>
    <w:lvl w:ilvl="0" w:tplc="04070005">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1EAB4352"/>
    <w:multiLevelType w:val="hybridMultilevel"/>
    <w:tmpl w:val="EB386B9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1520F42"/>
    <w:multiLevelType w:val="hybridMultilevel"/>
    <w:tmpl w:val="22AC6E1C"/>
    <w:lvl w:ilvl="0" w:tplc="04070005">
      <w:start w:val="1"/>
      <w:numFmt w:val="bullet"/>
      <w:lvlText w:val=""/>
      <w:lvlJc w:val="left"/>
      <w:pPr>
        <w:ind w:left="1548" w:hanging="360"/>
      </w:pPr>
      <w:rPr>
        <w:rFonts w:ascii="Wingdings" w:hAnsi="Wingdings"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9" w15:restartNumberingAfterBreak="0">
    <w:nsid w:val="22AC5A26"/>
    <w:multiLevelType w:val="hybridMultilevel"/>
    <w:tmpl w:val="B3228D9A"/>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AF7521"/>
    <w:multiLevelType w:val="hybridMultilevel"/>
    <w:tmpl w:val="9A2C313E"/>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DCA5890"/>
    <w:multiLevelType w:val="hybridMultilevel"/>
    <w:tmpl w:val="C3C6219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BE693B"/>
    <w:multiLevelType w:val="hybridMultilevel"/>
    <w:tmpl w:val="1548B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2A0616"/>
    <w:multiLevelType w:val="hybridMultilevel"/>
    <w:tmpl w:val="70E21E82"/>
    <w:lvl w:ilvl="0" w:tplc="04070005">
      <w:start w:val="1"/>
      <w:numFmt w:val="bullet"/>
      <w:lvlText w:val=""/>
      <w:lvlJc w:val="left"/>
      <w:pPr>
        <w:ind w:left="1548" w:hanging="360"/>
      </w:pPr>
      <w:rPr>
        <w:rFonts w:ascii="Wingdings" w:hAnsi="Wingdings"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16" w15:restartNumberingAfterBreak="0">
    <w:nsid w:val="443561A5"/>
    <w:multiLevelType w:val="hybridMultilevel"/>
    <w:tmpl w:val="95B60B4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DB0A98"/>
    <w:multiLevelType w:val="hybridMultilevel"/>
    <w:tmpl w:val="2CCC03F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4B01FA"/>
    <w:multiLevelType w:val="hybridMultilevel"/>
    <w:tmpl w:val="090C88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C076F2"/>
    <w:multiLevelType w:val="hybridMultilevel"/>
    <w:tmpl w:val="0314557E"/>
    <w:lvl w:ilvl="0" w:tplc="04070005">
      <w:start w:val="1"/>
      <w:numFmt w:val="bullet"/>
      <w:lvlText w:val=""/>
      <w:lvlJc w:val="left"/>
      <w:pPr>
        <w:ind w:left="1193" w:hanging="360"/>
      </w:pPr>
      <w:rPr>
        <w:rFonts w:ascii="Wingdings" w:hAnsi="Wingdings"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22" w15:restartNumberingAfterBreak="0">
    <w:nsid w:val="54BF61C2"/>
    <w:multiLevelType w:val="hybridMultilevel"/>
    <w:tmpl w:val="2B50133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7500620D"/>
    <w:multiLevelType w:val="hybridMultilevel"/>
    <w:tmpl w:val="B5922D16"/>
    <w:lvl w:ilvl="0" w:tplc="04070005">
      <w:start w:val="1"/>
      <w:numFmt w:val="bullet"/>
      <w:lvlText w:val=""/>
      <w:lvlJc w:val="left"/>
      <w:pPr>
        <w:ind w:left="1548" w:hanging="360"/>
      </w:pPr>
      <w:rPr>
        <w:rFonts w:ascii="Wingdings" w:hAnsi="Wingdings" w:hint="default"/>
      </w:rPr>
    </w:lvl>
    <w:lvl w:ilvl="1" w:tplc="04070003" w:tentative="1">
      <w:start w:val="1"/>
      <w:numFmt w:val="bullet"/>
      <w:lvlText w:val="o"/>
      <w:lvlJc w:val="left"/>
      <w:pPr>
        <w:ind w:left="2268" w:hanging="360"/>
      </w:pPr>
      <w:rPr>
        <w:rFonts w:ascii="Courier New" w:hAnsi="Courier New" w:cs="Courier New" w:hint="default"/>
      </w:rPr>
    </w:lvl>
    <w:lvl w:ilvl="2" w:tplc="04070005" w:tentative="1">
      <w:start w:val="1"/>
      <w:numFmt w:val="bullet"/>
      <w:lvlText w:val=""/>
      <w:lvlJc w:val="left"/>
      <w:pPr>
        <w:ind w:left="2988" w:hanging="360"/>
      </w:pPr>
      <w:rPr>
        <w:rFonts w:ascii="Wingdings" w:hAnsi="Wingdings" w:hint="default"/>
      </w:rPr>
    </w:lvl>
    <w:lvl w:ilvl="3" w:tplc="04070001" w:tentative="1">
      <w:start w:val="1"/>
      <w:numFmt w:val="bullet"/>
      <w:lvlText w:val=""/>
      <w:lvlJc w:val="left"/>
      <w:pPr>
        <w:ind w:left="3708" w:hanging="360"/>
      </w:pPr>
      <w:rPr>
        <w:rFonts w:ascii="Symbol" w:hAnsi="Symbol" w:hint="default"/>
      </w:rPr>
    </w:lvl>
    <w:lvl w:ilvl="4" w:tplc="04070003" w:tentative="1">
      <w:start w:val="1"/>
      <w:numFmt w:val="bullet"/>
      <w:lvlText w:val="o"/>
      <w:lvlJc w:val="left"/>
      <w:pPr>
        <w:ind w:left="4428" w:hanging="360"/>
      </w:pPr>
      <w:rPr>
        <w:rFonts w:ascii="Courier New" w:hAnsi="Courier New" w:cs="Courier New" w:hint="default"/>
      </w:rPr>
    </w:lvl>
    <w:lvl w:ilvl="5" w:tplc="04070005" w:tentative="1">
      <w:start w:val="1"/>
      <w:numFmt w:val="bullet"/>
      <w:lvlText w:val=""/>
      <w:lvlJc w:val="left"/>
      <w:pPr>
        <w:ind w:left="5148" w:hanging="360"/>
      </w:pPr>
      <w:rPr>
        <w:rFonts w:ascii="Wingdings" w:hAnsi="Wingdings" w:hint="default"/>
      </w:rPr>
    </w:lvl>
    <w:lvl w:ilvl="6" w:tplc="04070001" w:tentative="1">
      <w:start w:val="1"/>
      <w:numFmt w:val="bullet"/>
      <w:lvlText w:val=""/>
      <w:lvlJc w:val="left"/>
      <w:pPr>
        <w:ind w:left="5868" w:hanging="360"/>
      </w:pPr>
      <w:rPr>
        <w:rFonts w:ascii="Symbol" w:hAnsi="Symbol" w:hint="default"/>
      </w:rPr>
    </w:lvl>
    <w:lvl w:ilvl="7" w:tplc="04070003" w:tentative="1">
      <w:start w:val="1"/>
      <w:numFmt w:val="bullet"/>
      <w:lvlText w:val="o"/>
      <w:lvlJc w:val="left"/>
      <w:pPr>
        <w:ind w:left="6588" w:hanging="360"/>
      </w:pPr>
      <w:rPr>
        <w:rFonts w:ascii="Courier New" w:hAnsi="Courier New" w:cs="Courier New" w:hint="default"/>
      </w:rPr>
    </w:lvl>
    <w:lvl w:ilvl="8" w:tplc="04070005" w:tentative="1">
      <w:start w:val="1"/>
      <w:numFmt w:val="bullet"/>
      <w:lvlText w:val=""/>
      <w:lvlJc w:val="left"/>
      <w:pPr>
        <w:ind w:left="7308" w:hanging="360"/>
      </w:pPr>
      <w:rPr>
        <w:rFonts w:ascii="Wingdings" w:hAnsi="Wingdings" w:hint="default"/>
      </w:rPr>
    </w:lvl>
  </w:abstractNum>
  <w:abstractNum w:abstractNumId="24" w15:restartNumberingAfterBreak="0">
    <w:nsid w:val="7607295A"/>
    <w:multiLevelType w:val="hybridMultilevel"/>
    <w:tmpl w:val="3ED0247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7BB75E02"/>
    <w:multiLevelType w:val="hybridMultilevel"/>
    <w:tmpl w:val="5888D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9"/>
  </w:num>
  <w:num w:numId="5">
    <w:abstractNumId w:val="10"/>
  </w:num>
  <w:num w:numId="6">
    <w:abstractNumId w:val="9"/>
  </w:num>
  <w:num w:numId="7">
    <w:abstractNumId w:val="17"/>
  </w:num>
  <w:num w:numId="8">
    <w:abstractNumId w:val="21"/>
  </w:num>
  <w:num w:numId="9">
    <w:abstractNumId w:val="6"/>
  </w:num>
  <w:num w:numId="10">
    <w:abstractNumId w:val="20"/>
  </w:num>
  <w:num w:numId="11">
    <w:abstractNumId w:val="23"/>
  </w:num>
  <w:num w:numId="12">
    <w:abstractNumId w:val="1"/>
  </w:num>
  <w:num w:numId="13">
    <w:abstractNumId w:val="15"/>
  </w:num>
  <w:num w:numId="14">
    <w:abstractNumId w:val="8"/>
  </w:num>
  <w:num w:numId="15">
    <w:abstractNumId w:val="3"/>
  </w:num>
  <w:num w:numId="16">
    <w:abstractNumId w:val="0"/>
  </w:num>
  <w:num w:numId="17">
    <w:abstractNumId w:val="14"/>
  </w:num>
  <w:num w:numId="18">
    <w:abstractNumId w:val="16"/>
  </w:num>
  <w:num w:numId="19">
    <w:abstractNumId w:val="2"/>
  </w:num>
  <w:num w:numId="20">
    <w:abstractNumId w:val="25"/>
  </w:num>
  <w:num w:numId="21">
    <w:abstractNumId w:val="18"/>
  </w:num>
  <w:num w:numId="22">
    <w:abstractNumId w:val="11"/>
  </w:num>
  <w:num w:numId="23">
    <w:abstractNumId w:val="22"/>
  </w:num>
  <w:num w:numId="24">
    <w:abstractNumId w:val="24"/>
  </w:num>
  <w:num w:numId="25">
    <w:abstractNumId w:val="12"/>
  </w:num>
  <w:num w:numId="2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0064651">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855443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7797698">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2-04-20_Lage_AG\Testzahlerfassung%20am%20RKI_2022_04-20.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2-04-20_Lage_AG\syndrom-ARE-SARI-COVID_bis_KW15_2022_f&#252;r-Krisenstab.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4-27_Lage-AG\2022-04-27_Intensivregister_SPoCK.pptx" TargetMode="External"/><Relationship Id="rId20" Type="http://schemas.openxmlformats.org/officeDocument/2006/relationships/hyperlink" Target="file:///S:\Wissdaten\RKI_nCoV-Lage\1.Lagemanagement\1.3.Besprechungen_TKs\1.Lage_AG\2022-04-27_Lage-AG\220427_SARS-CoV-2%20in%20ARS_Krisenstabssitzung.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4-27_Lage-AG\LageNational_2022-04-27.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2-04-27_Lage-AG\2022-04-27_LageAG-VOC.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4-27_Lage-AG\COVID-19_internat.%20Lage_2022-04-27.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E9878-B4E7-42F4-8177-17365AA3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2404</Words>
  <Characters>15152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5</cp:revision>
  <cp:lastPrinted>2020-05-06T16:43:00Z</cp:lastPrinted>
  <dcterms:created xsi:type="dcterms:W3CDTF">2022-04-27T15:09:00Z</dcterms:created>
  <dcterms:modified xsi:type="dcterms:W3CDTF">2022-04-27T15:48:00Z</dcterms:modified>
</cp:coreProperties>
</file>