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02.05.2022,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Meike Schöll</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rPr>
      </w:pPr>
      <w:r>
        <w:rPr>
          <w:sz w:val="22"/>
        </w:rPr>
        <w:t>Justus Benzler</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3"/>
        </w:numPr>
        <w:spacing w:after="0"/>
        <w:contextualSpacing w:val="0"/>
        <w:rPr>
          <w:sz w:val="22"/>
          <w:szCs w:val="22"/>
        </w:rPr>
      </w:pP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1" w:history="1">
              <w:proofErr w:type="spellStart"/>
              <w:r>
                <w:rPr>
                  <w:rStyle w:val="Hyperlink"/>
                </w:rPr>
                <w:t>hie</w:t>
              </w:r>
              <w:r>
                <w:rPr>
                  <w:rStyle w:val="Hyperlink"/>
                </w:rPr>
                <w:t>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24.813.817 (+4.032), davon 135.461 (+0) Todesfälle </w:t>
            </w:r>
          </w:p>
          <w:p>
            <w:pPr>
              <w:pStyle w:val="Liste2"/>
            </w:pPr>
            <w:r>
              <w:t xml:space="preserve">7-Tage-Inzidenz:  XXX/100.000 </w:t>
            </w:r>
            <w:proofErr w:type="spellStart"/>
            <w:r>
              <w:t>Einw</w:t>
            </w:r>
            <w:proofErr w:type="spellEnd"/>
            <w:r>
              <w:t>.</w:t>
            </w:r>
          </w:p>
          <w:p>
            <w:pPr>
              <w:pStyle w:val="Liste2"/>
              <w:rPr>
                <w:lang w:val="de-DE"/>
              </w:rPr>
            </w:pPr>
            <w:r>
              <w:rPr>
                <w:lang w:val="de-DE"/>
              </w:rPr>
              <w:t>Impfmonitoring: Geimpfte mit 1. Dosis 64.498.951 (77,6%), mit vollständiger Impfung 63.010.774 (75,8%)</w:t>
            </w:r>
          </w:p>
          <w:p>
            <w:pPr>
              <w:pStyle w:val="Liste2"/>
              <w:rPr>
                <w:lang w:val="de-DE"/>
              </w:rPr>
            </w:pPr>
            <w:r>
              <w:rPr>
                <w:lang w:val="de-DE"/>
              </w:rPr>
              <w:t>Verlauf der 7-Tage-Inzidenz der Bundesländer:</w:t>
            </w:r>
          </w:p>
          <w:p>
            <w:pPr>
              <w:pStyle w:val="Liste3"/>
            </w:pPr>
            <w:r>
              <w:t xml:space="preserve">Seit Ostern kam es erneut zu einem Anstieg. Dieser ist durch eine Diagnostiklücke zu erklären. Am Dienstag wird es vermutlich durch Nachmeldungen zu einem Anstieg kommen. </w:t>
            </w:r>
          </w:p>
          <w:p>
            <w:pPr>
              <w:pStyle w:val="Liste3"/>
            </w:pPr>
            <w:r>
              <w:t>Die höchsten Inzidenzen bei den 15-</w:t>
            </w:r>
            <w:proofErr w:type="gramStart"/>
            <w:r>
              <w:t>34 Jährigen</w:t>
            </w:r>
            <w:proofErr w:type="gramEnd"/>
            <w:r>
              <w:t xml:space="preserve"> und am niedrigsten bei den &gt;80 Jährigen</w:t>
            </w:r>
          </w:p>
          <w:p>
            <w:pPr>
              <w:pStyle w:val="Liste3"/>
            </w:pPr>
            <w:r>
              <w:t>Anzahl der Kreise mit 7-TI &gt;50 / 100.000 EW: 411/411</w:t>
            </w:r>
          </w:p>
          <w:p>
            <w:pPr>
              <w:pStyle w:val="Liste3"/>
            </w:pPr>
            <w:r>
              <w:t>Anzahl der Kreise mit 7-TI &gt;50</w:t>
            </w:r>
            <w:r>
              <w:t>0</w:t>
            </w:r>
            <w:r>
              <w:t xml:space="preserve"> / 100.000 EW: </w:t>
            </w:r>
            <w:r>
              <w:t>304</w:t>
            </w:r>
            <w:r>
              <w:t>/411</w:t>
            </w:r>
          </w:p>
          <w:p>
            <w:pPr>
              <w:pStyle w:val="Liste3"/>
            </w:pPr>
            <w:r>
              <w:t>Anzahl der Kreise mit 7-TI &gt;</w:t>
            </w:r>
            <w:r>
              <w:t>100</w:t>
            </w:r>
            <w:r>
              <w:t xml:space="preserve"> / 100.000 EW: </w:t>
            </w:r>
            <w:r>
              <w:t>29</w:t>
            </w:r>
            <w:r>
              <w:t>/411</w:t>
            </w:r>
          </w:p>
          <w:p>
            <w:pPr>
              <w:pStyle w:val="Liste2"/>
              <w:rPr>
                <w:lang w:val="de-DE"/>
              </w:rPr>
            </w:pPr>
            <w:r>
              <w:rPr>
                <w:lang w:val="de-DE"/>
              </w:rPr>
              <w:t>Die Diskrepanz zwischen den SARS-CoV-2-Meldungen und den Übermittlungen an das RKI über DEMIS verringert sich weiterhin</w:t>
            </w:r>
          </w:p>
          <w:p>
            <w:pPr>
              <w:pStyle w:val="Liste2"/>
              <w:rPr>
                <w:lang w:val="de-DE"/>
              </w:rPr>
            </w:pPr>
            <w:r>
              <w:rPr>
                <w:lang w:val="de-DE"/>
              </w:rPr>
              <w:t>Viele der Bundesländer übermitteln nur noch an den Wochentagen, d. h. nicht am Wochenende</w:t>
            </w:r>
          </w:p>
          <w:p>
            <w:pPr>
              <w:pStyle w:val="Liste2"/>
              <w:rPr>
                <w:lang w:val="de-DE"/>
              </w:rPr>
            </w:pPr>
            <w:r>
              <w:rPr>
                <w:lang w:val="de-DE"/>
              </w:rPr>
              <w:t>Die Aussagekraft der Meldedaten am Montag ist dadurch eingeschränkt</w:t>
            </w:r>
          </w:p>
          <w:p>
            <w:pPr>
              <w:pStyle w:val="Liste2"/>
              <w:numPr>
                <w:ilvl w:val="0"/>
                <w:numId w:val="0"/>
              </w:numPr>
              <w:ind w:left="833" w:hanging="360"/>
            </w:pPr>
          </w:p>
          <w:p>
            <w:pPr>
              <w:rPr>
                <w:b/>
              </w:rPr>
            </w:pPr>
            <w:r>
              <w:rPr>
                <w:b/>
              </w:rPr>
              <w:t>Diskussion:</w:t>
            </w:r>
          </w:p>
          <w:p>
            <w:pPr>
              <w:pStyle w:val="Liste1"/>
            </w:pPr>
            <w:r>
              <w:t>Eine Diskussion über die tägliche Berichterstattung (keine täglichen Berichte mehr am Sonntag und Montag) wurde geführt. Eine Reduktion soll angestrebt werden. Ein Konzept dazu soll entwickelt werden und am Freitag (diese oder kommende Woche) dem BMG vorgestellt werden.</w:t>
            </w:r>
          </w:p>
          <w:p>
            <w:pPr>
              <w:pStyle w:val="Liste1"/>
            </w:pPr>
            <w:r>
              <w:t>Bei weiter sinkenden Zahlen wäre der Wochenbericht ein ausreichendes Instrument. Eine mehrstufige Deeskalation sollte dem BMG kommuniziert werden.</w:t>
            </w:r>
          </w:p>
          <w:p>
            <w:pPr>
              <w:pStyle w:val="Liste1"/>
              <w:numPr>
                <w:ilvl w:val="0"/>
                <w:numId w:val="0"/>
              </w:numPr>
              <w:ind w:left="473" w:hanging="360"/>
            </w:pPr>
          </w:p>
          <w:p>
            <w:pPr>
              <w:pStyle w:val="ToDo"/>
            </w:pPr>
            <w:proofErr w:type="spellStart"/>
            <w:r>
              <w:rPr>
                <w:b/>
              </w:rPr>
              <w:t>ToDo</w:t>
            </w:r>
            <w:proofErr w:type="spellEnd"/>
            <w:r>
              <w:rPr>
                <w:b/>
              </w:rPr>
              <w:t>:</w:t>
            </w:r>
            <w:r>
              <w:t xml:space="preserve"> FG32 in FF soll ein entsprechendes Konzept erstellen, welches möglichst am Freitag vorgestellt werden kann. Dieses Konzept soll vorher mit der Leitung geteilt werden.</w:t>
            </w:r>
          </w:p>
        </w:tc>
        <w:tc>
          <w:tcPr>
            <w:tcW w:w="1463" w:type="dxa"/>
          </w:tcPr>
          <w:p>
            <w:pPr>
              <w:rPr>
                <w:sz w:val="22"/>
                <w:szCs w:val="22"/>
              </w:rPr>
            </w:pPr>
          </w:p>
          <w:p>
            <w:pPr>
              <w:rPr>
                <w:sz w:val="22"/>
                <w:szCs w:val="22"/>
              </w:rPr>
            </w:pPr>
          </w:p>
          <w:p>
            <w:pPr>
              <w:rPr>
                <w:sz w:val="22"/>
                <w:szCs w:val="22"/>
              </w:rPr>
            </w:pPr>
            <w:r>
              <w:rPr>
                <w:sz w:val="22"/>
                <w:szCs w:val="22"/>
              </w:rPr>
              <w:t>FG32 (Diercke)</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t>(nicht berichtet)</w:t>
            </w:r>
          </w:p>
          <w:p>
            <w:pPr>
              <w:pStyle w:val="Liste1"/>
            </w:pPr>
          </w:p>
          <w:p>
            <w:pPr>
              <w:pStyle w:val="2"/>
            </w:pPr>
            <w:r>
              <w:t>STIKO</w:t>
            </w:r>
          </w:p>
          <w:p>
            <w:pPr>
              <w:pStyle w:val="Liste1"/>
              <w:rPr>
                <w:rStyle w:val="1Zchn"/>
                <w:b w:val="0"/>
                <w:sz w:val="22"/>
              </w:rPr>
            </w:pPr>
            <w:r>
              <w:t>(nicht berichtet)</w:t>
            </w:r>
          </w:p>
          <w:p>
            <w:pPr>
              <w:pStyle w:val="Liste1"/>
              <w:numPr>
                <w:ilvl w:val="0"/>
                <w:numId w:val="0"/>
              </w:numPr>
              <w:ind w:left="473"/>
              <w:rPr>
                <w:rStyle w:val="1Zchn"/>
                <w:b w:val="0"/>
                <w:sz w:val="22"/>
              </w:rPr>
            </w:pPr>
          </w:p>
        </w:tc>
        <w:tc>
          <w:tcPr>
            <w:tcW w:w="1463" w:type="dxa"/>
          </w:tcPr>
          <w:p>
            <w:pPr>
              <w:rPr>
                <w:sz w:val="22"/>
                <w:szCs w:val="22"/>
              </w:rPr>
            </w:pPr>
            <w:r>
              <w:rPr>
                <w:sz w:val="22"/>
                <w:szCs w:val="22"/>
              </w:rPr>
              <w:t>FG 33 n. a.</w:t>
            </w:r>
          </w:p>
        </w:tc>
      </w:tr>
      <w:tr>
        <w:tc>
          <w:tcPr>
            <w:tcW w:w="684" w:type="dxa"/>
          </w:tcPr>
          <w:p>
            <w:pPr>
              <w:rPr>
                <w:b/>
              </w:rPr>
            </w:pPr>
            <w:r>
              <w:rPr>
                <w:b/>
              </w:rPr>
              <w:lastRenderedPageBreak/>
              <w:t>3</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montags)</w:t>
            </w:r>
          </w:p>
          <w:p>
            <w:pPr>
              <w:pStyle w:val="Liste1"/>
            </w:pPr>
            <w:r>
              <w:t>Möglichkeiten zur weiteren Nutzung der CWA</w:t>
            </w:r>
          </w:p>
          <w:p>
            <w:pPr>
              <w:pStyle w:val="Liste2"/>
              <w:rPr>
                <w:lang w:val="de-DE"/>
              </w:rPr>
            </w:pPr>
            <w:r>
              <w:rPr>
                <w:lang w:val="de-DE"/>
              </w:rPr>
              <w:t>Das BMG hat die Entscheidung getroffen zum 30.09.22 den Betrieb der CWA einzustellen. Entsprechend muss eine Kommunikationsstrategie erstellt werden. Eine konkrete Begründung für das Einstellen der Finanzierung wurde noch nicht mitgeteilt.</w:t>
            </w:r>
          </w:p>
          <w:p>
            <w:pPr>
              <w:pStyle w:val="Liste2"/>
              <w:numPr>
                <w:ilvl w:val="0"/>
                <w:numId w:val="0"/>
              </w:numPr>
              <w:ind w:left="833" w:hanging="360"/>
              <w:rPr>
                <w:lang w:val="de-DE"/>
              </w:rPr>
            </w:pPr>
          </w:p>
          <w:p>
            <w:pPr>
              <w:rPr>
                <w:b/>
              </w:rPr>
            </w:pPr>
            <w:r>
              <w:rPr>
                <w:b/>
              </w:rPr>
              <w:t>Diskussion:</w:t>
            </w:r>
          </w:p>
          <w:p>
            <w:pPr>
              <w:pStyle w:val="Liste1"/>
            </w:pPr>
            <w:r>
              <w:t>In der neuen Verordnung zur Absonderung und Quarantäne sollen nur noch Haushaltsangehörige in Quarantäne. Für die Quarantäne von Haushaltangehörigen wird die CWA nicht benötigt, da die CWA unbekannte Personen informieren soll.</w:t>
            </w:r>
          </w:p>
          <w:p>
            <w:pPr>
              <w:pStyle w:val="Liste1"/>
            </w:pPr>
            <w:r>
              <w:t xml:space="preserve">Daten aus der CWA sollen möglicherweise in die </w:t>
            </w:r>
            <w:proofErr w:type="spellStart"/>
            <w:r>
              <w:t>CovPass</w:t>
            </w:r>
            <w:proofErr w:type="spellEnd"/>
            <w:r>
              <w:t>-App übertragen werden. Dies muss jedoch noch verifiziert werden. Ein entsprechendes Konzept muss gründlich diskutiert und abgewogen werden. Weiter Nutzungsmöglichkeiten der gespendeten Daten sollen weiter diskutiert werden.</w:t>
            </w:r>
          </w:p>
          <w:p>
            <w:pPr>
              <w:pStyle w:val="Liste1"/>
            </w:pPr>
            <w:r>
              <w:t xml:space="preserve">Ein Konzept bzgl. der weiteren möglichen Nutzung der Datenspenden wurde bereits erstellt und sollte dem BMG erneut kommuniziert werden. Die Komplexität des Themas wurde bisher nicht ausreichend mit dem BMG diskutiert. Die soll im kommenden Jour-Fix und bilateral (Fr. Teichert) erfolgen. </w:t>
            </w:r>
          </w:p>
          <w:p>
            <w:pPr>
              <w:pStyle w:val="Liste1"/>
            </w:pPr>
            <w:r>
              <w:t>In anderen europäischen Ländern wird die Warnfunktion deaktiviert und kann möglichweise später im Jahr wieder reaktiviert werden. Ein entsprechendes Vorhaben scheint in D nicht möglich zu sein.</w:t>
            </w:r>
          </w:p>
          <w:p>
            <w:pPr>
              <w:pStyle w:val="Liste1"/>
            </w:pPr>
            <w:r>
              <w:t>Mit dem Einstellen der CWA muss auch transparent dargestellt werden, welche weitere Instrumente zur Lagebewältigung davon betroffen sind.</w:t>
            </w:r>
          </w:p>
          <w:p>
            <w:pPr>
              <w:pStyle w:val="Liste1"/>
            </w:pPr>
            <w:r>
              <w:t xml:space="preserve">Eine Auflistung von Pros und </w:t>
            </w:r>
            <w:proofErr w:type="spellStart"/>
            <w:r>
              <w:t>Cons</w:t>
            </w:r>
            <w:proofErr w:type="spellEnd"/>
            <w:r>
              <w:t xml:space="preserve"> bzgl. dem Einstellen der CWA-Finanzierung soll erfolgen</w:t>
            </w:r>
          </w:p>
          <w:p>
            <w:pPr>
              <w:pStyle w:val="Liste1"/>
              <w:numPr>
                <w:ilvl w:val="0"/>
                <w:numId w:val="0"/>
              </w:numPr>
              <w:ind w:left="473" w:hanging="360"/>
            </w:pPr>
          </w:p>
          <w:p>
            <w:pPr>
              <w:pStyle w:val="ToDo"/>
            </w:pPr>
            <w:proofErr w:type="spellStart"/>
            <w:r>
              <w:rPr>
                <w:b/>
              </w:rPr>
              <w:t>ToDo</w:t>
            </w:r>
            <w:proofErr w:type="spellEnd"/>
            <w:r>
              <w:rPr>
                <w:b/>
              </w:rPr>
              <w:t>:</w:t>
            </w:r>
            <w:r>
              <w:t xml:space="preserve"> Pro und </w:t>
            </w:r>
            <w:proofErr w:type="spellStart"/>
            <w:r>
              <w:t>Con</w:t>
            </w:r>
            <w:proofErr w:type="spellEnd"/>
            <w:r>
              <w:t xml:space="preserve"> Argumente zum Einstellen der CWA-Finanzierung soll erstellt werden: FF: FG21/Schmich</w:t>
            </w:r>
          </w:p>
          <w:p>
            <w:pPr>
              <w:pStyle w:val="Liste1"/>
              <w:numPr>
                <w:ilvl w:val="0"/>
                <w:numId w:val="0"/>
              </w:numPr>
              <w:ind w:left="473"/>
            </w:pPr>
          </w:p>
        </w:tc>
        <w:tc>
          <w:tcPr>
            <w:tcW w:w="1463" w:type="dxa"/>
          </w:tcPr>
          <w:p>
            <w:pPr>
              <w:rPr>
                <w:sz w:val="22"/>
                <w:szCs w:val="22"/>
              </w:rPr>
            </w:pPr>
          </w:p>
          <w:p>
            <w:pPr>
              <w:rPr>
                <w:sz w:val="22"/>
                <w:szCs w:val="22"/>
              </w:rPr>
            </w:pPr>
            <w:r>
              <w:rPr>
                <w:sz w:val="22"/>
                <w:szCs w:val="22"/>
              </w:rPr>
              <w:t>FG21 (Schmich)</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1"/>
            </w:pPr>
            <w:r>
              <w:t xml:space="preserve">Diskussion der Änderungsvorschläge zur Risikobewertung </w:t>
            </w:r>
          </w:p>
          <w:p>
            <w:pPr>
              <w:pStyle w:val="Liste2"/>
            </w:pPr>
            <w:r>
              <w:t>xxx</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Eine Stellungnahme zu Pflegeheimen ist noch in der Erstellung</w:t>
            </w:r>
          </w:p>
          <w:p>
            <w:pPr>
              <w:pStyle w:val="Liste1"/>
            </w:pPr>
            <w:r>
              <w:t>Die Stellungnahme zu Long-COVID soll zeitnah veröffentlicht werden</w:t>
            </w:r>
          </w:p>
          <w:p>
            <w:pPr>
              <w:pStyle w:val="Liste1"/>
              <w:numPr>
                <w:ilvl w:val="0"/>
                <w:numId w:val="0"/>
              </w:numPr>
              <w:ind w:left="473" w:hanging="360"/>
            </w:pPr>
          </w:p>
          <w:p>
            <w:pPr>
              <w:rPr>
                <w:b/>
              </w:rPr>
            </w:pPr>
            <w:r>
              <w:rPr>
                <w:b/>
              </w:rPr>
              <w:t>Diskussion:</w:t>
            </w:r>
          </w:p>
          <w:p>
            <w:pPr>
              <w:pStyle w:val="Liste1"/>
            </w:pPr>
            <w:r>
              <w:t>Der Finanzierungsstatus (öffentlich vs. privat) von Pflegeheimen sollte in der Stellungnahme weiterhin berücksichtigt werden. Eine folgende Untersuchung könnte so angeregt werden. Aussagen über die Qualität der Versorgung lediglich anhand der Finanzierung sollte vermieden werden.</w:t>
            </w:r>
          </w:p>
          <w:p>
            <w:pPr>
              <w:pStyle w:val="Liste1"/>
              <w:numPr>
                <w:ilvl w:val="0"/>
                <w:numId w:val="0"/>
              </w:numPr>
              <w:ind w:left="473"/>
            </w:pPr>
          </w:p>
        </w:tc>
        <w:tc>
          <w:tcPr>
            <w:tcW w:w="1463" w:type="dxa"/>
          </w:tcPr>
          <w:p>
            <w:pPr>
              <w:rPr>
                <w:sz w:val="22"/>
                <w:szCs w:val="22"/>
              </w:rPr>
            </w:pPr>
          </w:p>
          <w:p>
            <w:pPr>
              <w:rPr>
                <w:sz w:val="22"/>
                <w:szCs w:val="22"/>
              </w:rPr>
            </w:pPr>
            <w:r>
              <w:rPr>
                <w:sz w:val="22"/>
                <w:szCs w:val="22"/>
              </w:rPr>
              <w:t>Hr. Wieler</w:t>
            </w: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Kein Bericht</w:t>
            </w:r>
          </w:p>
          <w:p>
            <w:pPr>
              <w:pStyle w:val="2"/>
            </w:pPr>
            <w:r>
              <w:t>Presse</w:t>
            </w:r>
          </w:p>
          <w:p>
            <w:pPr>
              <w:pStyle w:val="Liste1"/>
            </w:pPr>
            <w:r>
              <w:t>Am Freitag erfolgte die Impfquotenumstellung. Die Resonanz war kurz und sachlich.</w:t>
            </w:r>
          </w:p>
          <w:p>
            <w:pPr>
              <w:pStyle w:val="Liste1"/>
            </w:pPr>
            <w:r>
              <w:t>Die Absonderungstabelle des BMG sowie ein entsprechendes FAQ soll zeitnah erfolgen, sobald durch BMG freigegeben.</w:t>
            </w:r>
          </w:p>
          <w:p>
            <w:pPr>
              <w:pStyle w:val="2"/>
            </w:pPr>
            <w:r>
              <w:t>P1</w:t>
            </w:r>
          </w:p>
          <w:p>
            <w:pPr>
              <w:pStyle w:val="Liste1"/>
              <w:rPr>
                <w:i/>
              </w:rPr>
            </w:pPr>
            <w:r>
              <w:t>Kein Bericht</w:t>
            </w:r>
            <w:r>
              <w:br/>
            </w:r>
          </w:p>
        </w:tc>
        <w:tc>
          <w:tcPr>
            <w:tcW w:w="1463" w:type="dxa"/>
          </w:tcPr>
          <w:p>
            <w:pPr>
              <w:rPr>
                <w:sz w:val="22"/>
                <w:szCs w:val="22"/>
              </w:rPr>
            </w:pPr>
          </w:p>
          <w:p>
            <w:pPr>
              <w:rPr>
                <w:sz w:val="22"/>
                <w:szCs w:val="22"/>
              </w:rPr>
            </w:pPr>
          </w:p>
          <w:p>
            <w:pPr>
              <w:rPr>
                <w:sz w:val="22"/>
                <w:szCs w:val="22"/>
              </w:rPr>
            </w:pPr>
            <w:r>
              <w:rPr>
                <w:sz w:val="22"/>
                <w:szCs w:val="22"/>
              </w:rPr>
              <w:t>BZgA (Ommen)</w:t>
            </w:r>
            <w:r>
              <w:rPr>
                <w:sz w:val="22"/>
                <w:szCs w:val="22"/>
              </w:rPr>
              <w:br/>
            </w:r>
          </w:p>
          <w:p>
            <w:pPr>
              <w:rPr>
                <w:sz w:val="22"/>
                <w:szCs w:val="22"/>
              </w:rPr>
            </w:pPr>
            <w:r>
              <w:rPr>
                <w:sz w:val="22"/>
                <w:szCs w:val="22"/>
              </w:rPr>
              <w:t>Presse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Erste Labordaten zu den neuen Omikron-Varianten (BA.4 und BA.5) sind verfügbar. Diese Daten zeigen eine gewisse Immune-Escape. Die Entwicklung wird weiter beobachtet.</w:t>
            </w:r>
          </w:p>
        </w:tc>
        <w:tc>
          <w:tcPr>
            <w:tcW w:w="1463" w:type="dxa"/>
          </w:tcPr>
          <w:p>
            <w:pPr>
              <w:rPr>
                <w:sz w:val="22"/>
                <w:szCs w:val="22"/>
              </w:rPr>
            </w:pPr>
          </w:p>
          <w:p>
            <w:pPr>
              <w:rPr>
                <w:sz w:val="22"/>
                <w:szCs w:val="22"/>
              </w:rPr>
            </w:pPr>
          </w:p>
          <w:p>
            <w:pPr>
              <w:rPr>
                <w:sz w:val="22"/>
                <w:szCs w:val="22"/>
              </w:rPr>
            </w:pPr>
            <w:r>
              <w:rPr>
                <w:sz w:val="22"/>
                <w:szCs w:val="22"/>
              </w:rPr>
              <w:t>FG17 (Wolff)</w:t>
            </w:r>
          </w:p>
          <w:p>
            <w:pPr>
              <w:rPr>
                <w:sz w:val="22"/>
                <w:szCs w:val="22"/>
              </w:rPr>
            </w:pP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Kein Bericht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Kein Bericht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lastRenderedPageBreak/>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 xml:space="preserve">Es bleiben vermehrt Personen aufgrund der strengen Regulationen der Volksrepublik China im Transitbereich von Flughäfen „stecken“. Das BMG wurde bereits in Kenntnis gesetzt. </w:t>
            </w:r>
          </w:p>
          <w:p>
            <w:pPr>
              <w:pStyle w:val="Liste1"/>
              <w:numPr>
                <w:ilvl w:val="0"/>
                <w:numId w:val="0"/>
              </w:numPr>
              <w:ind w:left="473"/>
            </w:pPr>
          </w:p>
        </w:tc>
        <w:tc>
          <w:tcPr>
            <w:tcW w:w="1463" w:type="dxa"/>
          </w:tcPr>
          <w:p>
            <w:pPr>
              <w:rPr>
                <w:sz w:val="22"/>
                <w:szCs w:val="22"/>
              </w:rPr>
            </w:pPr>
          </w:p>
          <w:p>
            <w:pPr>
              <w:rPr>
                <w:sz w:val="22"/>
                <w:szCs w:val="22"/>
              </w:rPr>
            </w:pPr>
            <w:r>
              <w:rPr>
                <w:sz w:val="22"/>
                <w:szCs w:val="22"/>
              </w:rPr>
              <w:t>FG38 (Rexroth)</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rPr>
                <w:lang w:val="en-US"/>
              </w:rPr>
            </w:pPr>
            <w:r>
              <w:rPr>
                <w:lang w:val="en-US"/>
              </w:rPr>
              <w:t xml:space="preserve">Intra-Action Review (IAR) </w:t>
            </w:r>
            <w:proofErr w:type="spellStart"/>
            <w:r>
              <w:rPr>
                <w:lang w:val="en-US"/>
              </w:rPr>
              <w:t>vom</w:t>
            </w:r>
            <w:proofErr w:type="spellEnd"/>
            <w:r>
              <w:rPr>
                <w:lang w:val="en-US"/>
              </w:rPr>
              <w:t xml:space="preserve"> 28.03.2022</w:t>
            </w:r>
          </w:p>
          <w:p>
            <w:pPr>
              <w:pStyle w:val="Liste2"/>
              <w:rPr>
                <w:lang w:val="de-DE"/>
              </w:rPr>
            </w:pPr>
            <w:r>
              <w:rPr>
                <w:lang w:val="de-DE"/>
              </w:rPr>
              <w:t xml:space="preserve">Das Dokument liegt den Teilnehmenden zur Kommentierung bis zum 05.05.2022 vor. Nach der Kommentierung kann das Dokument finalisiert werden. </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t>(Schöll)</w:t>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Mittwoch, 04.05.2022,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14:02 Uhr</w:t>
      </w:r>
      <w:bookmarkStart w:id="1" w:name="_GoBack"/>
      <w:bookmarkEnd w:id="1"/>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5"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8"/>
  </w:num>
  <w:num w:numId="8">
    <w:abstractNumId w:val="16"/>
  </w:num>
  <w:num w:numId="9">
    <w:abstractNumId w:val="5"/>
  </w:num>
  <w:num w:numId="10">
    <w:abstractNumId w:val="33"/>
  </w:num>
  <w:num w:numId="11">
    <w:abstractNumId w:val="27"/>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1"/>
  </w:num>
  <w:num w:numId="19">
    <w:abstractNumId w:val="12"/>
  </w:num>
  <w:num w:numId="20">
    <w:abstractNumId w:val="29"/>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6"/>
  </w:num>
  <w:num w:numId="28">
    <w:abstractNumId w:val="32"/>
  </w:num>
  <w:num w:numId="29">
    <w:abstractNumId w:val="16"/>
  </w:num>
  <w:num w:numId="30">
    <w:abstractNumId w:val="16"/>
  </w:num>
  <w:num w:numId="31">
    <w:abstractNumId w:val="30"/>
  </w:num>
  <w:num w:numId="32">
    <w:abstractNumId w:val="25"/>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4"/>
  </w:num>
  <w:num w:numId="44">
    <w:abstractNumId w:val="11"/>
  </w:num>
  <w:num w:numId="45">
    <w:abstractNumId w:val="35"/>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2-05-02_Lage-AG\LageNational_2022-05-02.pptx"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CE35-AA2E-4105-9179-0690E756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5612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15</cp:revision>
  <cp:lastPrinted>2020-05-06T16:43:00Z</cp:lastPrinted>
  <dcterms:created xsi:type="dcterms:W3CDTF">2022-03-03T09:26:00Z</dcterms:created>
  <dcterms:modified xsi:type="dcterms:W3CDTF">2022-05-02T12:57:00Z</dcterms:modified>
</cp:coreProperties>
</file>