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04.05.2022,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rPr>
          <w:sz w:val="22"/>
          <w:szCs w:val="22"/>
        </w:rPr>
      </w:pPr>
      <w:r>
        <w:rPr>
          <w:sz w:val="22"/>
          <w:szCs w:val="22"/>
        </w:rPr>
        <w:t xml:space="preserve">Esther-Maria </w:t>
      </w:r>
      <w:proofErr w:type="spellStart"/>
      <w:r>
        <w:rPr>
          <w:sz w:val="22"/>
          <w:szCs w:val="22"/>
        </w:rPr>
        <w:t>Antão</w:t>
      </w:r>
      <w:proofErr w:type="spellEnd"/>
    </w:p>
    <w:p>
      <w:pPr>
        <w:pStyle w:val="Listenabsatz"/>
        <w:ind w:left="144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Patrick </w:t>
      </w:r>
      <w:proofErr w:type="spellStart"/>
      <w:r>
        <w:rPr>
          <w:sz w:val="22"/>
          <w:szCs w:val="22"/>
        </w:rPr>
        <w:t>Schmich</w:t>
      </w:r>
      <w:proofErr w:type="spellEnd"/>
    </w:p>
    <w:p>
      <w:pPr>
        <w:pStyle w:val="Listenabsatz"/>
        <w:numPr>
          <w:ilvl w:val="1"/>
          <w:numId w:val="2"/>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10"/>
        </w:numPr>
        <w:spacing w:after="0"/>
        <w:rPr>
          <w:rStyle w:val="highlight"/>
          <w:sz w:val="22"/>
          <w:szCs w:val="22"/>
        </w:rPr>
      </w:pPr>
      <w:r>
        <w:rPr>
          <w:rStyle w:val="highlight"/>
          <w:sz w:val="22"/>
          <w:szCs w:val="22"/>
        </w:rPr>
        <w:t>FG26</w:t>
      </w:r>
    </w:p>
    <w:p>
      <w:pPr>
        <w:pStyle w:val="Listenabsatz"/>
        <w:numPr>
          <w:ilvl w:val="1"/>
          <w:numId w:val="10"/>
        </w:numPr>
        <w:spacing w:after="0"/>
        <w:rPr>
          <w:rStyle w:val="highlight"/>
          <w:sz w:val="22"/>
          <w:szCs w:val="22"/>
        </w:rPr>
      </w:pPr>
      <w:r>
        <w:rPr>
          <w:rStyle w:val="highlight"/>
          <w:sz w:val="22"/>
          <w:szCs w:val="22"/>
        </w:rPr>
        <w:t>Lena Walther</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1"/>
          <w:numId w:val="2"/>
        </w:numPr>
        <w:spacing w:after="0"/>
        <w:contextualSpacing w:val="0"/>
        <w:rPr>
          <w:sz w:val="22"/>
        </w:rPr>
      </w:pPr>
      <w:proofErr w:type="spellStart"/>
      <w:r>
        <w:rPr>
          <w:sz w:val="22"/>
        </w:rPr>
        <w:t>Nita</w:t>
      </w:r>
      <w:proofErr w:type="spellEnd"/>
      <w:r>
        <w:rPr>
          <w:sz w:val="22"/>
        </w:rPr>
        <w:t xml:space="preserve"> </w:t>
      </w:r>
      <w:proofErr w:type="spellStart"/>
      <w:r>
        <w:rPr>
          <w:sz w:val="22"/>
        </w:rPr>
        <w:t>Perumal</w:t>
      </w:r>
      <w:proofErr w:type="spellEnd"/>
    </w:p>
    <w:p>
      <w:pPr>
        <w:pStyle w:val="Listenabsatz"/>
        <w:numPr>
          <w:ilvl w:val="1"/>
          <w:numId w:val="2"/>
        </w:numPr>
        <w:spacing w:after="0"/>
        <w:contextualSpacing w:val="0"/>
        <w:rPr>
          <w:sz w:val="22"/>
        </w:rPr>
      </w:pPr>
      <w:r>
        <w:rPr>
          <w:sz w:val="22"/>
        </w:rPr>
        <w:t>Viktoria Schönfeld</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pStyle w:val="Listenabsatz"/>
        <w:numPr>
          <w:ilvl w:val="0"/>
          <w:numId w:val="2"/>
        </w:numPr>
        <w:spacing w:after="0" w:line="233" w:lineRule="auto"/>
        <w:contextualSpacing w:val="0"/>
        <w:rPr>
          <w:sz w:val="22"/>
          <w:szCs w:val="22"/>
        </w:rPr>
      </w:pPr>
      <w:r>
        <w:rPr>
          <w:sz w:val="22"/>
          <w:szCs w:val="22"/>
        </w:rPr>
        <w:t>ZBS7</w:t>
      </w:r>
    </w:p>
    <w:p>
      <w:pPr>
        <w:pStyle w:val="Listenabsatz"/>
        <w:numPr>
          <w:ilvl w:val="1"/>
          <w:numId w:val="2"/>
        </w:numPr>
        <w:spacing w:after="0" w:line="233" w:lineRule="auto"/>
        <w:contextualSpacing w:val="0"/>
        <w:rPr>
          <w:sz w:val="22"/>
          <w:szCs w:val="22"/>
        </w:rPr>
      </w:pPr>
      <w:r>
        <w:rPr>
          <w:sz w:val="22"/>
          <w:szCs w:val="22"/>
        </w:rPr>
        <w:t xml:space="preserve">Michaela </w:t>
      </w:r>
      <w:proofErr w:type="spellStart"/>
      <w:r>
        <w:rPr>
          <w:sz w:val="22"/>
          <w:szCs w:val="22"/>
        </w:rPr>
        <w:t>Niebank</w:t>
      </w:r>
      <w:proofErr w:type="spellEnd"/>
    </w:p>
    <w:p>
      <w:pPr>
        <w:pStyle w:val="Listenabsatz"/>
        <w:spacing w:after="0"/>
        <w:ind w:left="1440"/>
        <w:contextualSpacing w:val="0"/>
        <w:rPr>
          <w:sz w:val="22"/>
          <w:szCs w:val="22"/>
        </w:rPr>
      </w:pP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pStyle w:val="1"/>
              <w:rPr>
                <w:sz w:val="24"/>
              </w:rPr>
            </w:pPr>
            <w:r>
              <w:rPr>
                <w:sz w:val="24"/>
              </w:rPr>
              <w:t>1</w:t>
            </w:r>
          </w:p>
        </w:tc>
        <w:tc>
          <w:tcPr>
            <w:tcW w:w="6824" w:type="dxa"/>
          </w:tcPr>
          <w:p>
            <w:pPr>
              <w:rPr>
                <w:b/>
              </w:rPr>
            </w:pPr>
            <w:r>
              <w:rPr>
                <w:b/>
              </w:rPr>
              <w:t>Aktuelle Risikobewertung</w:t>
            </w:r>
          </w:p>
          <w:p>
            <w:pPr>
              <w:pStyle w:val="Listenabsatz"/>
              <w:numPr>
                <w:ilvl w:val="0"/>
                <w:numId w:val="22"/>
              </w:numPr>
            </w:pPr>
            <w:r>
              <w:t>Impfdurchbrüche / Impfeffektivität im Wochenbericht / SORMAS</w:t>
            </w:r>
          </w:p>
          <w:p>
            <w:pPr>
              <w:pStyle w:val="Listenabsatz"/>
              <w:numPr>
                <w:ilvl w:val="0"/>
                <w:numId w:val="7"/>
              </w:numPr>
            </w:pPr>
            <w:r>
              <w:t>Seit KW 10/11 wird Impfwirksamkeit für Grundimmunisierung teilweise höher geschätzt, als für Auffrischimpfung; unplausible Ergebnisse</w:t>
            </w:r>
          </w:p>
          <w:p>
            <w:pPr>
              <w:pStyle w:val="Listenabsatz"/>
              <w:numPr>
                <w:ilvl w:val="0"/>
                <w:numId w:val="7"/>
              </w:numPr>
            </w:pPr>
            <w:r>
              <w:t>Fehlerhafte Daten in SORMAS; duplizierte Fälle seit Mitte Februar; aktuell noch keine Eingrenzung der betroffenen Fälle oder Ansatz zur Datenbereinigung möglich; daher Vorschlag: Darstellungen in Wochenbericht nicht zeigen; ggf. als Grund technische Probleme in Datenübermittlung mit externer Meldesoftware angeben; eleganter mit Hinweis auf Veränderung epidemischer Lage</w:t>
            </w:r>
          </w:p>
          <w:p>
            <w:pPr>
              <w:pStyle w:val="Listenabsatz"/>
              <w:numPr>
                <w:ilvl w:val="0"/>
                <w:numId w:val="7"/>
              </w:numPr>
            </w:pPr>
            <w:r>
              <w:t>Neue Analyse mit Ausschluss der 106 betroffenen SORMAS-GÄ wurde in Auftrag gegeben</w:t>
            </w:r>
          </w:p>
          <w:p>
            <w:pPr>
              <w:pStyle w:val="Listenabsatz"/>
              <w:numPr>
                <w:ilvl w:val="0"/>
                <w:numId w:val="7"/>
              </w:numPr>
            </w:pPr>
            <w:r>
              <w:t>Entscheidung: Technische Probleme nicht erwähnen; Inhaltlich begründen mit Umstellung in Bericht; Zeitgleich schriftliche Information vorab an BMG</w:t>
            </w:r>
          </w:p>
          <w:p>
            <w:pPr>
              <w:pStyle w:val="Listenabsatz"/>
              <w:numPr>
                <w:ilvl w:val="0"/>
                <w:numId w:val="7"/>
              </w:numPr>
            </w:pPr>
            <w:r>
              <w:t>Impfquoten erscheinen wie üblich</w:t>
            </w:r>
          </w:p>
        </w:tc>
        <w:tc>
          <w:tcPr>
            <w:tcW w:w="1463" w:type="dxa"/>
          </w:tcPr>
          <w:p/>
          <w:p>
            <w:pPr>
              <w:rPr>
                <w:b/>
                <w:sz w:val="22"/>
                <w:szCs w:val="22"/>
              </w:rPr>
            </w:pPr>
            <w:r>
              <w:t>FG 32 / FG 33 alle</w:t>
            </w:r>
          </w:p>
        </w:tc>
      </w:tr>
      <w:tr>
        <w:tc>
          <w:tcPr>
            <w:tcW w:w="684" w:type="dxa"/>
          </w:tcPr>
          <w:p>
            <w:pPr>
              <w:rPr>
                <w:b/>
              </w:rPr>
            </w:pPr>
            <w:r>
              <w:rPr>
                <w:b/>
              </w:rPr>
              <w:t>2</w:t>
            </w:r>
          </w:p>
        </w:tc>
        <w:tc>
          <w:tcPr>
            <w:tcW w:w="6824" w:type="dxa"/>
          </w:tcPr>
          <w:p>
            <w:pPr>
              <w:pStyle w:val="1"/>
            </w:pPr>
            <w:r>
              <w:t xml:space="preserve">Aktuelle Lage </w:t>
            </w:r>
          </w:p>
          <w:p>
            <w:pPr>
              <w:spacing w:line="276" w:lineRule="auto"/>
              <w:rPr>
                <w:rStyle w:val="TagFrZchn"/>
                <w:sz w:val="20"/>
              </w:rPr>
            </w:pPr>
            <w:r>
              <w:rPr>
                <w:rStyle w:val="2Zchn"/>
                <w:sz w:val="22"/>
                <w:szCs w:val="22"/>
              </w:rPr>
              <w:t>International</w:t>
            </w:r>
            <w:r>
              <w:rPr>
                <w:rStyle w:val="TagMiZchn"/>
                <w:bCs/>
              </w:rPr>
              <w:t xml:space="preserve"> </w:t>
            </w:r>
          </w:p>
          <w:p>
            <w:pPr>
              <w:pStyle w:val="Liste1"/>
              <w:numPr>
                <w:ilvl w:val="0"/>
                <w:numId w:val="11"/>
              </w:numPr>
            </w:pPr>
            <w:r>
              <w:t>(nicht berichtet)</w:t>
            </w:r>
          </w:p>
          <w:p>
            <w:pPr>
              <w:pStyle w:val="Liste1"/>
              <w:numPr>
                <w:ilvl w:val="0"/>
                <w:numId w:val="0"/>
              </w:numPr>
              <w:ind w:left="720"/>
            </w:pPr>
            <w:r>
              <w:t xml:space="preserve"> Keine Teilnahme von ZIG am heutigen Krisenstab.</w:t>
            </w:r>
          </w:p>
          <w:p>
            <w:pPr>
              <w:pStyle w:val="Liste2"/>
              <w:numPr>
                <w:ilvl w:val="0"/>
                <w:numId w:val="0"/>
              </w:numPr>
              <w:rPr>
                <w:lang w:val="de-DE"/>
              </w:rPr>
            </w:pPr>
          </w:p>
          <w:p>
            <w:pPr>
              <w:pStyle w:val="2"/>
            </w:pPr>
            <w:r>
              <w:t xml:space="preserve">National </w:t>
            </w:r>
          </w:p>
          <w:p>
            <w:pPr>
              <w:pStyle w:val="Liste1"/>
              <w:numPr>
                <w:ilvl w:val="0"/>
                <w:numId w:val="11"/>
              </w:numPr>
            </w:pPr>
            <w:r>
              <w:t xml:space="preserve">Fallzahlen, Todesfälle, Trend, Folien </w:t>
            </w:r>
            <w:hyperlink r:id="rId14" w:history="1">
              <w:r>
                <w:rPr>
                  <w:rStyle w:val="Hyperlink"/>
                </w:rPr>
                <w:t>hier</w:t>
              </w:r>
            </w:hyperlink>
          </w:p>
          <w:p>
            <w:pPr>
              <w:pStyle w:val="Liste1"/>
              <w:numPr>
                <w:ilvl w:val="0"/>
                <w:numId w:val="11"/>
              </w:numPr>
            </w:pPr>
            <w:proofErr w:type="spellStart"/>
            <w:r>
              <w:t>SurvNet</w:t>
            </w:r>
            <w:proofErr w:type="spellEnd"/>
            <w:r>
              <w:t xml:space="preserve"> übermittelt: 25.033.970(+106.631), davon 135.942 (+241) Todesfälle </w:t>
            </w:r>
          </w:p>
          <w:p>
            <w:pPr>
              <w:pStyle w:val="Liste1"/>
              <w:numPr>
                <w:ilvl w:val="0"/>
                <w:numId w:val="11"/>
              </w:numPr>
            </w:pPr>
            <w:r>
              <w:t xml:space="preserve">7-Tage-Inzidenz:  591,8 /100.000 </w:t>
            </w:r>
            <w:proofErr w:type="spellStart"/>
            <w:r>
              <w:t>Einw</w:t>
            </w:r>
            <w:proofErr w:type="spellEnd"/>
            <w:r>
              <w:t>.</w:t>
            </w:r>
          </w:p>
          <w:p>
            <w:pPr>
              <w:pStyle w:val="Liste1"/>
              <w:numPr>
                <w:ilvl w:val="0"/>
                <w:numId w:val="11"/>
              </w:numPr>
            </w:pPr>
            <w:proofErr w:type="spellStart"/>
            <w:r>
              <w:t>Impfmonitoring</w:t>
            </w:r>
            <w:proofErr w:type="spellEnd"/>
            <w:r>
              <w:t>: Geimpfte mit 1. Dosis 64.503.837 (77,7%), mit vollständiger Impfung (75.8%)</w:t>
            </w:r>
          </w:p>
          <w:p>
            <w:pPr>
              <w:pStyle w:val="Liste1"/>
              <w:numPr>
                <w:ilvl w:val="0"/>
                <w:numId w:val="11"/>
              </w:numPr>
            </w:pPr>
            <w:r>
              <w:t>Verlauf der 7-Tage-Inzidenz der Bundesländer:</w:t>
            </w:r>
          </w:p>
          <w:p>
            <w:pPr>
              <w:pStyle w:val="Liste3"/>
              <w:numPr>
                <w:ilvl w:val="1"/>
                <w:numId w:val="11"/>
              </w:numPr>
            </w:pPr>
            <w:r>
              <w:t>Rücklauftrend in allen Bundesländern deutlich zu sehen. Geringste 7-Tage-Inzidenzen in TH, BE, BB.</w:t>
            </w:r>
          </w:p>
          <w:p>
            <w:pPr>
              <w:pStyle w:val="Liste3"/>
              <w:numPr>
                <w:ilvl w:val="0"/>
                <w:numId w:val="18"/>
              </w:numPr>
            </w:pPr>
            <w:r>
              <w:t>Geografische Verteilung 7-Tage-Inzidenz nach Landkreis</w:t>
            </w:r>
          </w:p>
          <w:p>
            <w:pPr>
              <w:pStyle w:val="Liste3"/>
              <w:numPr>
                <w:ilvl w:val="1"/>
                <w:numId w:val="18"/>
              </w:numPr>
            </w:pPr>
            <w:r>
              <w:t xml:space="preserve">Am stärksten betroffen ist der Norden / Nordwesten. Mittlerweile nur noch 19 LK mit 7-Tage-Inzidenz &gt; 1.000. Stärkster betroffener Landkreis ist LK Cloppenburg mit einer 7-Tage-Inzidenz von 1.930,7 / 100.000 </w:t>
            </w:r>
            <w:proofErr w:type="spellStart"/>
            <w:r>
              <w:t>Einw</w:t>
            </w:r>
            <w:proofErr w:type="spellEnd"/>
            <w:r>
              <w:t>.</w:t>
            </w:r>
          </w:p>
          <w:p>
            <w:pPr>
              <w:pStyle w:val="Liste1"/>
              <w:numPr>
                <w:ilvl w:val="0"/>
                <w:numId w:val="11"/>
              </w:numPr>
            </w:pPr>
            <w:r>
              <w:t>7-Tage-Inzidenz nach Altersgruppen</w:t>
            </w:r>
          </w:p>
          <w:p>
            <w:pPr>
              <w:pStyle w:val="Liste1"/>
              <w:numPr>
                <w:ilvl w:val="1"/>
                <w:numId w:val="11"/>
              </w:numPr>
            </w:pPr>
            <w:r>
              <w:t>Deutlicher Rückgang von KW16 auf KW17.</w:t>
            </w:r>
          </w:p>
          <w:p>
            <w:pPr>
              <w:pStyle w:val="Liste1"/>
              <w:numPr>
                <w:ilvl w:val="1"/>
                <w:numId w:val="11"/>
              </w:numPr>
            </w:pPr>
            <w:r>
              <w:t>Rückgang in fast allen AG; Ausnahme bei den 10 – 15-Jährigen mit minimalem Anstieg.</w:t>
            </w:r>
          </w:p>
          <w:p>
            <w:pPr>
              <w:pStyle w:val="Liste1"/>
              <w:numPr>
                <w:ilvl w:val="0"/>
                <w:numId w:val="11"/>
              </w:numPr>
            </w:pPr>
            <w:r>
              <w:t>COVID-19-Fälle nach Altersgruppe und Sterbedatum</w:t>
            </w:r>
          </w:p>
          <w:p>
            <w:pPr>
              <w:pStyle w:val="Liste1"/>
              <w:numPr>
                <w:ilvl w:val="1"/>
                <w:numId w:val="11"/>
              </w:numPr>
            </w:pPr>
            <w:r>
              <w:lastRenderedPageBreak/>
              <w:t>Zahlen der Todesfälle ebenfalls deutlich rückläufig, auch geringer als in KW12.</w:t>
            </w:r>
          </w:p>
          <w:p>
            <w:pPr>
              <w:pStyle w:val="Liste1"/>
              <w:numPr>
                <w:ilvl w:val="0"/>
                <w:numId w:val="11"/>
              </w:numPr>
            </w:pPr>
            <w:r>
              <w:t>Wöchentliche Sterbefallzahlen in Deutschland</w:t>
            </w:r>
          </w:p>
          <w:p>
            <w:pPr>
              <w:pStyle w:val="Liste1"/>
              <w:numPr>
                <w:ilvl w:val="1"/>
                <w:numId w:val="11"/>
              </w:numPr>
            </w:pPr>
            <w:r>
              <w:t>Destatis-Zahlen bestätigen keine Beobachtung von Übersterblichkeit</w:t>
            </w:r>
          </w:p>
          <w:p>
            <w:pPr>
              <w:pStyle w:val="Liste3"/>
              <w:numPr>
                <w:ilvl w:val="0"/>
                <w:numId w:val="0"/>
              </w:numPr>
            </w:pPr>
          </w:p>
          <w:p>
            <w:pPr>
              <w:pStyle w:val="Liste3"/>
              <w:numPr>
                <w:ilvl w:val="0"/>
                <w:numId w:val="0"/>
              </w:numPr>
            </w:pPr>
          </w:p>
          <w:p>
            <w:pPr>
              <w:pStyle w:val="Liste1"/>
              <w:numPr>
                <w:ilvl w:val="0"/>
                <w:numId w:val="11"/>
              </w:numPr>
              <w:rPr>
                <w:rFonts w:ascii="Cambria" w:hAnsi="Cambria"/>
              </w:rPr>
            </w:pPr>
            <w:r>
              <w:rPr>
                <w:rFonts w:ascii="Cambria" w:hAnsi="Cambria"/>
                <w:b/>
              </w:rPr>
              <w:t>ITS-Belegung und Spock</w:t>
            </w:r>
            <w:r>
              <w:rPr>
                <w:rFonts w:ascii="Cambria" w:hAnsi="Cambria"/>
              </w:rPr>
              <w:t xml:space="preserve"> (Folien </w:t>
            </w:r>
            <w:hyperlink r:id="rId15" w:history="1">
              <w:r>
                <w:rPr>
                  <w:rStyle w:val="Hyperlink"/>
                  <w:rFonts w:ascii="Cambria" w:hAnsi="Cambria"/>
                </w:rPr>
                <w:t>hier</w:t>
              </w:r>
            </w:hyperlink>
            <w:r>
              <w:rPr>
                <w:rFonts w:ascii="Cambria" w:hAnsi="Cambria"/>
              </w:rPr>
              <w:t xml:space="preserve">)  </w:t>
            </w:r>
          </w:p>
          <w:p>
            <w:pPr>
              <w:pStyle w:val="Listenabsatz"/>
              <w:numPr>
                <w:ilvl w:val="1"/>
                <w:numId w:val="11"/>
              </w:numPr>
              <w:rPr>
                <w:rFonts w:ascii="Cambria" w:hAnsi="Cambria"/>
                <w:sz w:val="22"/>
                <w:szCs w:val="22"/>
              </w:rPr>
            </w:pPr>
            <w:r>
              <w:rPr>
                <w:rFonts w:ascii="Cambria" w:hAnsi="Cambria"/>
                <w:sz w:val="22"/>
                <w:szCs w:val="22"/>
              </w:rPr>
              <w:t xml:space="preserve">DIVI-Intensivregister </w:t>
            </w:r>
          </w:p>
          <w:p>
            <w:pPr>
              <w:pStyle w:val="Listenabsatz"/>
              <w:numPr>
                <w:ilvl w:val="2"/>
                <w:numId w:val="11"/>
              </w:numPr>
              <w:rPr>
                <w:rFonts w:ascii="Cambria" w:hAnsi="Cambria"/>
                <w:sz w:val="22"/>
                <w:szCs w:val="22"/>
              </w:rPr>
            </w:pPr>
            <w:r>
              <w:rPr>
                <w:rFonts w:ascii="Cambria" w:hAnsi="Cambria"/>
                <w:sz w:val="22"/>
                <w:szCs w:val="22"/>
              </w:rPr>
              <w:t>Mit Stand 05.04.2022 werden 1.247 COVID-19-PatientInnen auf Intensivstationen der ca. 1300 Akutkrankenhäuser behandelt</w:t>
            </w:r>
          </w:p>
          <w:p>
            <w:pPr>
              <w:pStyle w:val="Listenabsatz"/>
              <w:numPr>
                <w:ilvl w:val="2"/>
                <w:numId w:val="11"/>
              </w:numPr>
              <w:rPr>
                <w:rFonts w:ascii="Cambria" w:hAnsi="Cambria"/>
                <w:sz w:val="22"/>
                <w:szCs w:val="22"/>
              </w:rPr>
            </w:pPr>
            <w:r>
              <w:rPr>
                <w:rFonts w:ascii="Cambria" w:hAnsi="Cambria"/>
                <w:sz w:val="22"/>
                <w:szCs w:val="22"/>
              </w:rPr>
              <w:t>Leichter Rückgang / Seitwärtsbewegung in der COVID-ITS-Belegung</w:t>
            </w:r>
          </w:p>
          <w:p>
            <w:pPr>
              <w:pStyle w:val="Listenabsatz"/>
              <w:numPr>
                <w:ilvl w:val="2"/>
                <w:numId w:val="11"/>
              </w:numPr>
              <w:rPr>
                <w:rFonts w:ascii="Cambria" w:hAnsi="Cambria"/>
                <w:sz w:val="22"/>
                <w:szCs w:val="22"/>
              </w:rPr>
            </w:pPr>
            <w:r>
              <w:rPr>
                <w:rFonts w:ascii="Cambria" w:hAnsi="Cambria"/>
                <w:sz w:val="22"/>
                <w:szCs w:val="22"/>
              </w:rPr>
              <w:t>ITS-COVID-Neuaufnahmen mit +1.012 in den letzten 7 Tagen</w:t>
            </w:r>
          </w:p>
          <w:p>
            <w:pPr>
              <w:pStyle w:val="Listenabsatz"/>
              <w:numPr>
                <w:ilvl w:val="2"/>
                <w:numId w:val="11"/>
              </w:numPr>
              <w:rPr>
                <w:rFonts w:ascii="Cambria" w:hAnsi="Cambria"/>
                <w:sz w:val="22"/>
                <w:szCs w:val="22"/>
              </w:rPr>
            </w:pPr>
            <w:r>
              <w:rPr>
                <w:rFonts w:ascii="Cambria" w:hAnsi="Cambria"/>
                <w:sz w:val="22"/>
                <w:szCs w:val="22"/>
              </w:rPr>
              <w:t>Abnahme in den Neuaufnahmen</w:t>
            </w:r>
          </w:p>
          <w:p>
            <w:pPr>
              <w:pStyle w:val="Listenabsatz"/>
              <w:numPr>
                <w:ilvl w:val="2"/>
                <w:numId w:val="11"/>
              </w:numPr>
              <w:rPr>
                <w:rFonts w:ascii="Cambria" w:hAnsi="Cambria"/>
                <w:sz w:val="22"/>
                <w:szCs w:val="22"/>
              </w:rPr>
            </w:pPr>
            <w:r>
              <w:rPr>
                <w:rFonts w:ascii="Cambria" w:hAnsi="Cambria"/>
                <w:sz w:val="22"/>
                <w:szCs w:val="22"/>
              </w:rPr>
              <w:t>Todeszahlen weiterhin auf hohem Niveau</w:t>
            </w:r>
          </w:p>
          <w:p>
            <w:pPr>
              <w:pStyle w:val="Listenabsatz"/>
              <w:numPr>
                <w:ilvl w:val="1"/>
                <w:numId w:val="11"/>
              </w:numPr>
              <w:rPr>
                <w:rFonts w:ascii="Cambria" w:hAnsi="Cambria"/>
                <w:sz w:val="22"/>
                <w:szCs w:val="22"/>
              </w:rPr>
            </w:pPr>
            <w:r>
              <w:rPr>
                <w:rFonts w:ascii="Cambria" w:hAnsi="Cambria"/>
                <w:sz w:val="22"/>
                <w:szCs w:val="22"/>
              </w:rPr>
              <w:t>Anteil der COVID-19-Patient*innen an der Gesamtzahl betreibbarer ITS-Betten</w:t>
            </w:r>
          </w:p>
          <w:p>
            <w:pPr>
              <w:pStyle w:val="Listenabsatz"/>
              <w:numPr>
                <w:ilvl w:val="2"/>
                <w:numId w:val="11"/>
              </w:numPr>
              <w:rPr>
                <w:rFonts w:ascii="Cambria" w:hAnsi="Cambria"/>
                <w:sz w:val="22"/>
                <w:szCs w:val="22"/>
              </w:rPr>
            </w:pPr>
            <w:r>
              <w:rPr>
                <w:rFonts w:ascii="Cambria" w:hAnsi="Cambria"/>
                <w:sz w:val="22"/>
                <w:szCs w:val="22"/>
              </w:rPr>
              <w:t>Durchgehender Rückgang; Nun ebenfalls auch in den nordwestlichen Bundesländern</w:t>
            </w:r>
          </w:p>
          <w:p>
            <w:pPr>
              <w:pStyle w:val="Listenabsatz"/>
              <w:numPr>
                <w:ilvl w:val="1"/>
                <w:numId w:val="11"/>
              </w:numPr>
              <w:rPr>
                <w:rFonts w:ascii="Cambria" w:hAnsi="Cambria"/>
                <w:sz w:val="22"/>
                <w:szCs w:val="22"/>
              </w:rPr>
            </w:pPr>
            <w:r>
              <w:rPr>
                <w:rFonts w:ascii="Cambria" w:hAnsi="Cambria"/>
                <w:sz w:val="22"/>
                <w:szCs w:val="22"/>
              </w:rPr>
              <w:t>Behandlungsbelegung COVID-19 nach Schweregrad</w:t>
            </w:r>
          </w:p>
          <w:p>
            <w:pPr>
              <w:pStyle w:val="Listenabsatz"/>
              <w:numPr>
                <w:ilvl w:val="2"/>
                <w:numId w:val="11"/>
              </w:numPr>
              <w:rPr>
                <w:rFonts w:ascii="Cambria" w:hAnsi="Cambria"/>
                <w:sz w:val="22"/>
                <w:szCs w:val="22"/>
              </w:rPr>
            </w:pPr>
            <w:r>
              <w:rPr>
                <w:rFonts w:ascii="Cambria" w:hAnsi="Cambria"/>
                <w:sz w:val="22"/>
                <w:szCs w:val="22"/>
              </w:rPr>
              <w:t>Rückgang in allen Behandlungsgruppen. Nur noch sehr wenige ECMO-Patienten.</w:t>
            </w:r>
          </w:p>
          <w:p>
            <w:pPr>
              <w:pStyle w:val="Listenabsatz"/>
              <w:numPr>
                <w:ilvl w:val="2"/>
                <w:numId w:val="11"/>
              </w:numPr>
              <w:rPr>
                <w:rFonts w:ascii="Cambria" w:hAnsi="Cambria"/>
                <w:sz w:val="22"/>
                <w:szCs w:val="22"/>
              </w:rPr>
            </w:pPr>
            <w:r>
              <w:rPr>
                <w:rFonts w:ascii="Cambria" w:hAnsi="Cambria"/>
                <w:sz w:val="22"/>
                <w:szCs w:val="22"/>
              </w:rPr>
              <w:t>Einschätzung der Versorgungssituation: High-Care und Low-Care Bereich bildmäßig gleich. Weiterhin hoher Personalmangel. Entspannungslage in ECMO-Bereich.</w:t>
            </w:r>
          </w:p>
          <w:p>
            <w:pPr>
              <w:pStyle w:val="Listenabsatz"/>
              <w:numPr>
                <w:ilvl w:val="1"/>
                <w:numId w:val="11"/>
              </w:numPr>
              <w:rPr>
                <w:rFonts w:ascii="Cambria" w:hAnsi="Cambria"/>
                <w:sz w:val="22"/>
                <w:szCs w:val="22"/>
              </w:rPr>
            </w:pPr>
            <w:r>
              <w:rPr>
                <w:rFonts w:ascii="Cambria" w:hAnsi="Cambria"/>
                <w:sz w:val="22"/>
                <w:szCs w:val="22"/>
              </w:rPr>
              <w:t>Altersgruppen</w:t>
            </w:r>
          </w:p>
          <w:p>
            <w:pPr>
              <w:pStyle w:val="Listenabsatz"/>
              <w:numPr>
                <w:ilvl w:val="2"/>
                <w:numId w:val="11"/>
              </w:numPr>
              <w:rPr>
                <w:rFonts w:ascii="Cambria" w:hAnsi="Cambria"/>
                <w:sz w:val="22"/>
                <w:szCs w:val="22"/>
              </w:rPr>
            </w:pPr>
            <w:r>
              <w:rPr>
                <w:rFonts w:ascii="Cambria" w:hAnsi="Cambria"/>
                <w:sz w:val="22"/>
                <w:szCs w:val="22"/>
              </w:rPr>
              <w:t>In allen AG Rückgang, Trend setzt sich nach unten fort</w:t>
            </w:r>
          </w:p>
          <w:p>
            <w:pPr>
              <w:pStyle w:val="Listenabsatz"/>
              <w:numPr>
                <w:ilvl w:val="2"/>
                <w:numId w:val="11"/>
              </w:numPr>
              <w:rPr>
                <w:rFonts w:ascii="Cambria" w:hAnsi="Cambria"/>
                <w:sz w:val="22"/>
                <w:szCs w:val="22"/>
              </w:rPr>
            </w:pPr>
            <w:r>
              <w:rPr>
                <w:rFonts w:ascii="Cambria" w:hAnsi="Cambria"/>
                <w:sz w:val="22"/>
                <w:szCs w:val="22"/>
              </w:rPr>
              <w:t>Plateau bei der Gruppe der 30-39 und 50-59-Jährigen</w:t>
            </w:r>
          </w:p>
          <w:p>
            <w:pPr>
              <w:pStyle w:val="Listenabsatz"/>
              <w:numPr>
                <w:ilvl w:val="2"/>
                <w:numId w:val="11"/>
              </w:numPr>
              <w:rPr>
                <w:rFonts w:ascii="Cambria" w:hAnsi="Cambria"/>
                <w:sz w:val="22"/>
                <w:szCs w:val="22"/>
              </w:rPr>
            </w:pPr>
            <w:r>
              <w:rPr>
                <w:rFonts w:ascii="Cambria" w:hAnsi="Cambria"/>
                <w:sz w:val="22"/>
                <w:szCs w:val="22"/>
              </w:rPr>
              <w:t>Anteil der Hochaltrigen auf ITS hoch (Liegedauer der älteren PatientInnen auch länger); gut 70% der Belegung durch über 60-Jährige</w:t>
            </w:r>
          </w:p>
          <w:p>
            <w:pPr>
              <w:pStyle w:val="Listenabsatz"/>
              <w:numPr>
                <w:ilvl w:val="2"/>
                <w:numId w:val="11"/>
              </w:numPr>
              <w:rPr>
                <w:rFonts w:ascii="Cambria" w:hAnsi="Cambria"/>
                <w:sz w:val="22"/>
                <w:szCs w:val="22"/>
              </w:rPr>
            </w:pPr>
            <w:proofErr w:type="spellStart"/>
            <w:r>
              <w:rPr>
                <w:rFonts w:ascii="Cambria" w:hAnsi="Cambria"/>
                <w:sz w:val="22"/>
                <w:szCs w:val="22"/>
              </w:rPr>
              <w:t>SPoCK</w:t>
            </w:r>
            <w:proofErr w:type="spellEnd"/>
            <w:r>
              <w:rPr>
                <w:rFonts w:ascii="Cambria" w:hAnsi="Cambria"/>
                <w:sz w:val="22"/>
                <w:szCs w:val="22"/>
              </w:rPr>
              <w:t xml:space="preserve">: Trend Rückgang setzt sich in allen 5 Kleeblättern fort </w:t>
            </w:r>
          </w:p>
          <w:p>
            <w:pPr>
              <w:pStyle w:val="Liste3"/>
              <w:numPr>
                <w:ilvl w:val="0"/>
                <w:numId w:val="0"/>
              </w:numPr>
              <w:ind w:left="1193" w:hanging="360"/>
            </w:pPr>
          </w:p>
          <w:p>
            <w:pPr>
              <w:pStyle w:val="Liste1"/>
              <w:numPr>
                <w:ilvl w:val="0"/>
                <w:numId w:val="11"/>
              </w:numPr>
              <w:rPr>
                <w:rFonts w:ascii="Cambria" w:hAnsi="Cambria"/>
              </w:rPr>
            </w:pPr>
            <w:proofErr w:type="spellStart"/>
            <w:r>
              <w:rPr>
                <w:rFonts w:ascii="Cambria" w:hAnsi="Cambria"/>
                <w:b/>
              </w:rPr>
              <w:t>Syndromische</w:t>
            </w:r>
            <w:proofErr w:type="spellEnd"/>
            <w:r>
              <w:rPr>
                <w:rFonts w:ascii="Cambria" w:hAnsi="Cambria"/>
                <w:b/>
              </w:rPr>
              <w:t xml:space="preserve"> Surveillance</w:t>
            </w:r>
            <w:r>
              <w:rPr>
                <w:rStyle w:val="TagMiZchn"/>
                <w:rFonts w:ascii="Cambria" w:hAnsi="Cambria"/>
              </w:rPr>
              <w:t xml:space="preserve"> </w:t>
            </w:r>
            <w:r>
              <w:rPr>
                <w:rFonts w:ascii="Cambria" w:hAnsi="Cambria"/>
              </w:rPr>
              <w:t>(Folien</w:t>
            </w:r>
            <w:r>
              <w:t xml:space="preserve"> </w:t>
            </w:r>
            <w:hyperlink r:id="rId16" w:history="1">
              <w:r>
                <w:rPr>
                  <w:rStyle w:val="Hyperlink"/>
                </w:rPr>
                <w:t>hier</w:t>
              </w:r>
            </w:hyperlink>
            <w:r>
              <w:rPr>
                <w:rFonts w:ascii="Cambria" w:hAnsi="Cambria"/>
              </w:rPr>
              <w:t>)</w:t>
            </w:r>
          </w:p>
          <w:p>
            <w:pPr>
              <w:pStyle w:val="Listenabsatz"/>
              <w:numPr>
                <w:ilvl w:val="0"/>
                <w:numId w:val="11"/>
              </w:numPr>
              <w:rPr>
                <w:rFonts w:ascii="Cambria" w:hAnsi="Cambria"/>
                <w:sz w:val="22"/>
                <w:szCs w:val="22"/>
              </w:rPr>
            </w:pPr>
            <w:proofErr w:type="spellStart"/>
            <w:r>
              <w:rPr>
                <w:rFonts w:ascii="Cambria" w:hAnsi="Cambria"/>
                <w:sz w:val="22"/>
                <w:szCs w:val="22"/>
              </w:rPr>
              <w:t>GrippeWeb</w:t>
            </w:r>
            <w:proofErr w:type="spellEnd"/>
          </w:p>
          <w:p>
            <w:pPr>
              <w:pStyle w:val="Listenabsatz"/>
              <w:numPr>
                <w:ilvl w:val="0"/>
                <w:numId w:val="12"/>
              </w:numPr>
              <w:rPr>
                <w:rFonts w:ascii="Cambria" w:hAnsi="Cambria"/>
                <w:sz w:val="22"/>
                <w:szCs w:val="22"/>
              </w:rPr>
            </w:pPr>
            <w:r>
              <w:rPr>
                <w:rFonts w:ascii="Cambria" w:hAnsi="Cambria"/>
                <w:sz w:val="22"/>
                <w:szCs w:val="22"/>
              </w:rPr>
              <w:t>ARE-Rate in KW16 gesunken auf 4,3 % (Vorwoche 4,1 %) liegt im vorpandemischen Bereich</w:t>
            </w:r>
          </w:p>
          <w:p>
            <w:pPr>
              <w:pStyle w:val="Listenabsatz"/>
              <w:numPr>
                <w:ilvl w:val="0"/>
                <w:numId w:val="12"/>
              </w:numPr>
              <w:rPr>
                <w:rFonts w:ascii="Cambria" w:hAnsi="Cambria"/>
                <w:sz w:val="22"/>
                <w:szCs w:val="22"/>
              </w:rPr>
            </w:pPr>
            <w:r>
              <w:rPr>
                <w:rFonts w:ascii="Cambria" w:hAnsi="Cambria"/>
                <w:sz w:val="22"/>
                <w:szCs w:val="22"/>
              </w:rPr>
              <w:t xml:space="preserve">Gesamtwert 17KW bei 4.300 ARE pro 100.000 </w:t>
            </w:r>
            <w:proofErr w:type="spellStart"/>
            <w:r>
              <w:rPr>
                <w:rFonts w:ascii="Cambria" w:hAnsi="Cambria"/>
                <w:sz w:val="22"/>
                <w:szCs w:val="22"/>
              </w:rPr>
              <w:t>Einw</w:t>
            </w:r>
            <w:proofErr w:type="spellEnd"/>
            <w:r>
              <w:rPr>
                <w:rFonts w:ascii="Cambria" w:hAnsi="Cambria"/>
                <w:sz w:val="22"/>
                <w:szCs w:val="22"/>
              </w:rPr>
              <w:t>. (Vorwoche: 4.100)</w:t>
            </w:r>
          </w:p>
          <w:p>
            <w:pPr>
              <w:pStyle w:val="Listenabsatz"/>
              <w:numPr>
                <w:ilvl w:val="0"/>
                <w:numId w:val="12"/>
              </w:numPr>
              <w:rPr>
                <w:rFonts w:ascii="Cambria" w:hAnsi="Cambria"/>
                <w:sz w:val="22"/>
                <w:szCs w:val="22"/>
              </w:rPr>
            </w:pPr>
            <w:r>
              <w:rPr>
                <w:rFonts w:ascii="Cambria" w:hAnsi="Cambria"/>
                <w:sz w:val="22"/>
                <w:szCs w:val="22"/>
              </w:rPr>
              <w:t>Bei Kindern nach den Ferien wieder deutlich gestiegen (von 5,9 % auf 8,9 %), bei den Erwachsenen leicht gesunken (von 3,9 % auf 3,5 %)</w:t>
            </w:r>
          </w:p>
          <w:p>
            <w:pPr>
              <w:pStyle w:val="Listenabsatz"/>
              <w:numPr>
                <w:ilvl w:val="0"/>
                <w:numId w:val="12"/>
              </w:numPr>
              <w:rPr>
                <w:rFonts w:ascii="Cambria" w:hAnsi="Cambria"/>
                <w:sz w:val="22"/>
                <w:szCs w:val="22"/>
              </w:rPr>
            </w:pPr>
            <w:r>
              <w:rPr>
                <w:rFonts w:ascii="Cambria" w:hAnsi="Cambria"/>
                <w:sz w:val="22"/>
                <w:szCs w:val="22"/>
              </w:rPr>
              <w:t xml:space="preserve">5 AGs: Anstieg bei den 0-34J., aber besonders bei Klein- und Schulkindern; Rückgang bei den 35J. und älter </w:t>
            </w:r>
          </w:p>
          <w:p>
            <w:pPr>
              <w:pStyle w:val="Listenabsatz"/>
              <w:numPr>
                <w:ilvl w:val="0"/>
                <w:numId w:val="13"/>
              </w:numPr>
              <w:rPr>
                <w:rFonts w:ascii="Cambria" w:hAnsi="Cambria"/>
                <w:sz w:val="22"/>
                <w:szCs w:val="22"/>
              </w:rPr>
            </w:pPr>
            <w:r>
              <w:rPr>
                <w:rFonts w:ascii="Cambria" w:hAnsi="Cambria"/>
                <w:sz w:val="22"/>
                <w:szCs w:val="22"/>
              </w:rPr>
              <w:lastRenderedPageBreak/>
              <w:t>ARE-Konsultationen/100.000 Einwohnenden</w:t>
            </w:r>
          </w:p>
          <w:p>
            <w:pPr>
              <w:pStyle w:val="Listenabsatz"/>
              <w:numPr>
                <w:ilvl w:val="0"/>
                <w:numId w:val="14"/>
              </w:numPr>
              <w:rPr>
                <w:rFonts w:ascii="Cambria" w:hAnsi="Cambria"/>
                <w:sz w:val="22"/>
                <w:szCs w:val="22"/>
              </w:rPr>
            </w:pPr>
            <w:r>
              <w:rPr>
                <w:rFonts w:ascii="Cambria" w:hAnsi="Cambria"/>
                <w:sz w:val="22"/>
                <w:szCs w:val="22"/>
              </w:rPr>
              <w:t xml:space="preserve">17. KW: </w:t>
            </w:r>
            <w:proofErr w:type="spellStart"/>
            <w:r>
              <w:rPr>
                <w:rFonts w:ascii="Cambria" w:hAnsi="Cambria"/>
                <w:sz w:val="22"/>
                <w:szCs w:val="22"/>
              </w:rPr>
              <w:t>KonsInz</w:t>
            </w:r>
            <w:proofErr w:type="spellEnd"/>
            <w:r>
              <w:rPr>
                <w:rFonts w:ascii="Cambria" w:hAnsi="Cambria"/>
                <w:sz w:val="22"/>
                <w:szCs w:val="22"/>
              </w:rPr>
              <w:t xml:space="preserve"> leicht gesunken auf 1.166 (Vorwoche: 1.239 (nur bei Schulkindern gestiegen)</w:t>
            </w:r>
          </w:p>
          <w:p>
            <w:pPr>
              <w:pStyle w:val="Listenabsatz"/>
              <w:numPr>
                <w:ilvl w:val="0"/>
                <w:numId w:val="14"/>
              </w:numPr>
              <w:rPr>
                <w:rFonts w:ascii="Cambria" w:hAnsi="Cambria"/>
                <w:sz w:val="22"/>
                <w:szCs w:val="22"/>
              </w:rPr>
            </w:pPr>
            <w:r>
              <w:rPr>
                <w:rFonts w:ascii="Cambria" w:hAnsi="Cambria"/>
                <w:sz w:val="22"/>
                <w:szCs w:val="22"/>
              </w:rPr>
              <w:t xml:space="preserve">Knapp 1.200 </w:t>
            </w:r>
            <w:proofErr w:type="spellStart"/>
            <w:r>
              <w:rPr>
                <w:rFonts w:ascii="Cambria" w:hAnsi="Cambria"/>
                <w:sz w:val="22"/>
                <w:szCs w:val="22"/>
              </w:rPr>
              <w:t>Artzkonsultationen</w:t>
            </w:r>
            <w:proofErr w:type="spellEnd"/>
            <w:r>
              <w:rPr>
                <w:rFonts w:ascii="Cambria" w:hAnsi="Cambria"/>
                <w:sz w:val="22"/>
                <w:szCs w:val="22"/>
              </w:rPr>
              <w:t xml:space="preserve"> wegen ARE pro 100.00 EW (= ca. 1 Mio. Arztbesuche wegen ARE in Deutschland)</w:t>
            </w:r>
          </w:p>
          <w:p>
            <w:pPr>
              <w:pStyle w:val="Listenabsatz"/>
              <w:numPr>
                <w:ilvl w:val="0"/>
                <w:numId w:val="14"/>
              </w:numPr>
              <w:rPr>
                <w:rFonts w:ascii="Cambria" w:hAnsi="Cambria"/>
                <w:sz w:val="22"/>
                <w:szCs w:val="22"/>
              </w:rPr>
            </w:pPr>
            <w:proofErr w:type="spellStart"/>
            <w:r>
              <w:rPr>
                <w:rFonts w:ascii="Cambria" w:hAnsi="Cambria"/>
                <w:sz w:val="22"/>
                <w:szCs w:val="22"/>
              </w:rPr>
              <w:t>KonsInz</w:t>
            </w:r>
            <w:proofErr w:type="spellEnd"/>
            <w:r>
              <w:rPr>
                <w:rFonts w:ascii="Cambria" w:hAnsi="Cambria"/>
                <w:sz w:val="22"/>
                <w:szCs w:val="22"/>
              </w:rPr>
              <w:t xml:space="preserve"> (gesamt) liegt deutlich höher als in den letzten beiden Jahren (Pandemiejahre), aber auch höher als in allen anderen Vorsaisons zu dieser Zeit</w:t>
            </w:r>
          </w:p>
          <w:p>
            <w:pPr>
              <w:pStyle w:val="Listenabsatz"/>
              <w:numPr>
                <w:ilvl w:val="0"/>
                <w:numId w:val="14"/>
              </w:numPr>
              <w:rPr>
                <w:rFonts w:ascii="Cambria" w:hAnsi="Cambria"/>
                <w:sz w:val="22"/>
                <w:szCs w:val="22"/>
              </w:rPr>
            </w:pPr>
            <w:r>
              <w:rPr>
                <w:rFonts w:ascii="Cambria" w:hAnsi="Cambria"/>
                <w:sz w:val="22"/>
                <w:szCs w:val="22"/>
              </w:rPr>
              <w:t>Anstieg nur bei den Schulkindern (5-14J.; 22 %); in allen anderen AGs leicht gesunken oder stabil</w:t>
            </w:r>
          </w:p>
          <w:p>
            <w:pPr>
              <w:pStyle w:val="Listenabsatz"/>
              <w:numPr>
                <w:ilvl w:val="0"/>
                <w:numId w:val="14"/>
              </w:numPr>
              <w:rPr>
                <w:rFonts w:ascii="Cambria" w:hAnsi="Cambria"/>
                <w:sz w:val="22"/>
                <w:szCs w:val="22"/>
              </w:rPr>
            </w:pPr>
            <w:r>
              <w:rPr>
                <w:rFonts w:ascii="Cambria" w:hAnsi="Cambria"/>
                <w:sz w:val="22"/>
                <w:szCs w:val="22"/>
              </w:rPr>
              <w:t>KI liegt in allen AGs über den Werten der letzten 2 Jahre (Pandemie); Im Vergleich zu den anderen Vorjahren: KI liegt bei den Erwachsenen in der 17. KW über den Werten vor der Pandemie, bei den Kindern liegen sie im Bereich der vorpandemischen Jahre</w:t>
            </w:r>
          </w:p>
          <w:p>
            <w:pPr>
              <w:pStyle w:val="Listenabsatz"/>
              <w:numPr>
                <w:ilvl w:val="0"/>
                <w:numId w:val="14"/>
              </w:numPr>
              <w:rPr>
                <w:rFonts w:ascii="Cambria" w:hAnsi="Cambria"/>
                <w:sz w:val="22"/>
                <w:szCs w:val="22"/>
              </w:rPr>
            </w:pPr>
            <w:r>
              <w:rPr>
                <w:rFonts w:ascii="Cambria" w:hAnsi="Cambria"/>
                <w:sz w:val="22"/>
                <w:szCs w:val="22"/>
              </w:rPr>
              <w:t>Nach AGI-Regionen z.T. unterschiedlich, in manchen AGI-Regionen gehen auch die Kleinkinder hoch oder die ganz Alten.</w:t>
            </w:r>
          </w:p>
          <w:p>
            <w:pPr>
              <w:pStyle w:val="Listenabsatz"/>
              <w:ind w:left="1440"/>
              <w:rPr>
                <w:rFonts w:ascii="Cambria" w:hAnsi="Cambria"/>
                <w:sz w:val="22"/>
                <w:szCs w:val="22"/>
              </w:rPr>
            </w:pPr>
          </w:p>
          <w:p>
            <w:pPr>
              <w:pStyle w:val="Listenabsatz"/>
              <w:numPr>
                <w:ilvl w:val="0"/>
                <w:numId w:val="13"/>
              </w:numPr>
              <w:rPr>
                <w:rFonts w:ascii="Cambria" w:hAnsi="Cambria"/>
                <w:sz w:val="22"/>
                <w:szCs w:val="22"/>
              </w:rPr>
            </w:pPr>
            <w:r>
              <w:rPr>
                <w:rFonts w:ascii="Cambria" w:hAnsi="Cambria"/>
                <w:sz w:val="22"/>
                <w:szCs w:val="22"/>
              </w:rPr>
              <w:t>ARE-Konsultationen mit COVID-Diagnose</w:t>
            </w:r>
          </w:p>
          <w:p>
            <w:pPr>
              <w:pStyle w:val="Listenabsatz"/>
              <w:numPr>
                <w:ilvl w:val="1"/>
                <w:numId w:val="13"/>
              </w:numPr>
              <w:rPr>
                <w:rFonts w:ascii="Cambria" w:hAnsi="Cambria"/>
                <w:sz w:val="22"/>
                <w:szCs w:val="22"/>
              </w:rPr>
            </w:pPr>
            <w:r>
              <w:rPr>
                <w:rFonts w:ascii="Cambria" w:hAnsi="Cambria"/>
                <w:sz w:val="22"/>
                <w:szCs w:val="22"/>
              </w:rPr>
              <w:t>Seit KW 12/2022 wird insgesamt ein Rückgang der Arztkonsultationen wegen COVID-ARE verzeichnet</w:t>
            </w:r>
          </w:p>
          <w:p>
            <w:pPr>
              <w:pStyle w:val="Listenabsatz"/>
              <w:numPr>
                <w:ilvl w:val="1"/>
                <w:numId w:val="13"/>
              </w:numPr>
              <w:rPr>
                <w:rFonts w:ascii="Cambria" w:hAnsi="Cambria"/>
                <w:sz w:val="22"/>
                <w:szCs w:val="22"/>
              </w:rPr>
            </w:pPr>
            <w:r>
              <w:rPr>
                <w:rFonts w:ascii="Cambria" w:hAnsi="Cambria"/>
                <w:sz w:val="22"/>
                <w:szCs w:val="22"/>
              </w:rPr>
              <w:t>In KW 16 sind die Werte bei Kindern von 5-14 Jahren angestiegen</w:t>
            </w:r>
          </w:p>
          <w:p>
            <w:pPr>
              <w:pStyle w:val="Listenabsatz"/>
              <w:numPr>
                <w:ilvl w:val="1"/>
                <w:numId w:val="13"/>
              </w:numPr>
              <w:rPr>
                <w:rFonts w:ascii="Cambria" w:hAnsi="Cambria"/>
                <w:sz w:val="22"/>
                <w:szCs w:val="22"/>
              </w:rPr>
            </w:pPr>
            <w:r>
              <w:rPr>
                <w:rFonts w:ascii="Cambria" w:hAnsi="Cambria"/>
                <w:sz w:val="22"/>
                <w:szCs w:val="22"/>
              </w:rPr>
              <w:t>In allen anderen AG sind die Werte stagniert oder weiter gesunken</w:t>
            </w:r>
          </w:p>
          <w:p>
            <w:pPr>
              <w:pStyle w:val="Listenabsatz"/>
              <w:numPr>
                <w:ilvl w:val="0"/>
                <w:numId w:val="13"/>
              </w:numPr>
              <w:rPr>
                <w:rFonts w:ascii="Cambria" w:hAnsi="Cambria"/>
                <w:sz w:val="22"/>
                <w:szCs w:val="22"/>
                <w:lang w:val="en-US"/>
              </w:rPr>
            </w:pPr>
            <w:r>
              <w:rPr>
                <w:rFonts w:ascii="Cambria" w:hAnsi="Cambria"/>
                <w:sz w:val="22"/>
                <w:szCs w:val="22"/>
                <w:lang w:val="en-US"/>
              </w:rPr>
              <w:t>ICOSARI-KH-Surveillance-SARI-</w:t>
            </w:r>
            <w:proofErr w:type="spellStart"/>
            <w:r>
              <w:rPr>
                <w:rFonts w:ascii="Cambria" w:hAnsi="Cambria"/>
                <w:sz w:val="22"/>
                <w:szCs w:val="22"/>
                <w:lang w:val="en-US"/>
              </w:rPr>
              <w:t>Inzidenz</w:t>
            </w:r>
            <w:proofErr w:type="spellEnd"/>
          </w:p>
          <w:p>
            <w:pPr>
              <w:pStyle w:val="Listenabsatz"/>
              <w:numPr>
                <w:ilvl w:val="1"/>
                <w:numId w:val="13"/>
              </w:numPr>
              <w:rPr>
                <w:rFonts w:ascii="Cambria" w:hAnsi="Cambria"/>
                <w:sz w:val="22"/>
                <w:szCs w:val="22"/>
              </w:rPr>
            </w:pPr>
            <w:r>
              <w:rPr>
                <w:rFonts w:ascii="Cambria" w:hAnsi="Cambria"/>
                <w:sz w:val="22"/>
                <w:szCs w:val="22"/>
              </w:rPr>
              <w:t>SARI-Fallzahlen sind seit KW 14 insgesamt gesunken, zuvor seit dem Jahreswechsel 2021/2022 weitgehend stabil</w:t>
            </w:r>
          </w:p>
          <w:p>
            <w:pPr>
              <w:pStyle w:val="Listenabsatz"/>
              <w:numPr>
                <w:ilvl w:val="1"/>
                <w:numId w:val="13"/>
              </w:numPr>
              <w:rPr>
                <w:rFonts w:ascii="Cambria" w:hAnsi="Cambria"/>
                <w:sz w:val="22"/>
                <w:szCs w:val="22"/>
              </w:rPr>
            </w:pPr>
            <w:r>
              <w:rPr>
                <w:rFonts w:ascii="Cambria" w:hAnsi="Cambria"/>
                <w:sz w:val="22"/>
                <w:szCs w:val="22"/>
              </w:rPr>
              <w:t>Aktuell auf Sommerniveau, dürfte sich hier stabilisieren</w:t>
            </w:r>
          </w:p>
          <w:p>
            <w:pPr>
              <w:pStyle w:val="Listenabsatz"/>
              <w:numPr>
                <w:ilvl w:val="1"/>
                <w:numId w:val="13"/>
              </w:numPr>
              <w:rPr>
                <w:rFonts w:ascii="Cambria" w:hAnsi="Cambria"/>
                <w:sz w:val="22"/>
                <w:szCs w:val="22"/>
              </w:rPr>
            </w:pPr>
            <w:r>
              <w:rPr>
                <w:rFonts w:ascii="Cambria" w:hAnsi="Cambria"/>
                <w:sz w:val="22"/>
                <w:szCs w:val="22"/>
              </w:rPr>
              <w:t>SARI-ICU-Fallzahlen ebenfalls auf Sommerniveau</w:t>
            </w:r>
          </w:p>
          <w:p>
            <w:pPr>
              <w:pStyle w:val="Listenabsatz"/>
              <w:numPr>
                <w:ilvl w:val="1"/>
                <w:numId w:val="13"/>
              </w:numPr>
              <w:rPr>
                <w:rFonts w:ascii="Cambria" w:hAnsi="Cambria"/>
                <w:sz w:val="22"/>
                <w:szCs w:val="22"/>
              </w:rPr>
            </w:pPr>
            <w:r>
              <w:rPr>
                <w:rFonts w:ascii="Cambria" w:hAnsi="Cambria"/>
                <w:sz w:val="22"/>
                <w:szCs w:val="22"/>
              </w:rPr>
              <w:t xml:space="preserve">SARI-Inzidenz bei unter 10/100.000 </w:t>
            </w:r>
            <w:proofErr w:type="spellStart"/>
            <w:r>
              <w:rPr>
                <w:rFonts w:ascii="Cambria" w:hAnsi="Cambria"/>
                <w:sz w:val="22"/>
                <w:szCs w:val="22"/>
              </w:rPr>
              <w:t>Einw</w:t>
            </w:r>
            <w:proofErr w:type="spellEnd"/>
            <w:r>
              <w:rPr>
                <w:rFonts w:ascii="Cambria" w:hAnsi="Cambria"/>
                <w:sz w:val="22"/>
                <w:szCs w:val="22"/>
              </w:rPr>
              <w:t>.</w:t>
            </w:r>
          </w:p>
          <w:p>
            <w:pPr>
              <w:pStyle w:val="Listenabsatz"/>
              <w:numPr>
                <w:ilvl w:val="0"/>
                <w:numId w:val="13"/>
              </w:numPr>
              <w:rPr>
                <w:rFonts w:ascii="Cambria" w:hAnsi="Cambria"/>
                <w:sz w:val="22"/>
                <w:szCs w:val="22"/>
                <w:lang w:val="en-US"/>
              </w:rPr>
            </w:pPr>
            <w:r>
              <w:rPr>
                <w:rFonts w:ascii="Cambria" w:hAnsi="Cambria"/>
                <w:sz w:val="22"/>
                <w:szCs w:val="22"/>
                <w:lang w:val="en-US"/>
              </w:rPr>
              <w:t xml:space="preserve">KH-Surveillance – </w:t>
            </w:r>
            <w:proofErr w:type="spellStart"/>
            <w:r>
              <w:rPr>
                <w:rFonts w:ascii="Cambria" w:hAnsi="Cambria"/>
                <w:sz w:val="22"/>
                <w:szCs w:val="22"/>
                <w:lang w:val="en-US"/>
              </w:rPr>
              <w:t>Anteil</w:t>
            </w:r>
            <w:proofErr w:type="spellEnd"/>
            <w:r>
              <w:rPr>
                <w:rFonts w:ascii="Cambria" w:hAnsi="Cambria"/>
                <w:sz w:val="22"/>
                <w:szCs w:val="22"/>
                <w:lang w:val="en-US"/>
              </w:rPr>
              <w:t xml:space="preserve"> COVID-19 an SARI-</w:t>
            </w:r>
            <w:proofErr w:type="spellStart"/>
            <w:r>
              <w:rPr>
                <w:rFonts w:ascii="Cambria" w:hAnsi="Cambria"/>
                <w:sz w:val="22"/>
                <w:szCs w:val="22"/>
                <w:lang w:val="en-US"/>
              </w:rPr>
              <w:t>Fällen</w:t>
            </w:r>
            <w:proofErr w:type="spellEnd"/>
            <w:r>
              <w:rPr>
                <w:rFonts w:ascii="Cambria" w:hAnsi="Cambria"/>
                <w:sz w:val="22"/>
                <w:szCs w:val="22"/>
                <w:lang w:val="en-US"/>
              </w:rPr>
              <w:t xml:space="preserve"> </w:t>
            </w:r>
          </w:p>
          <w:p>
            <w:pPr>
              <w:pStyle w:val="Listenabsatz"/>
              <w:numPr>
                <w:ilvl w:val="0"/>
                <w:numId w:val="15"/>
              </w:numPr>
              <w:rPr>
                <w:rFonts w:ascii="Cambria" w:hAnsi="Cambria"/>
                <w:sz w:val="22"/>
                <w:szCs w:val="22"/>
              </w:rPr>
            </w:pPr>
            <w:r>
              <w:rPr>
                <w:rFonts w:ascii="Cambria" w:hAnsi="Cambria"/>
                <w:sz w:val="22"/>
                <w:szCs w:val="22"/>
              </w:rPr>
              <w:t xml:space="preserve">Anteil COVID-19 an SARI 26% (Vorwoche: 34%) </w:t>
            </w:r>
            <w:r>
              <w:rPr>
                <w:rFonts w:ascii="Cambria" w:hAnsi="Cambria"/>
                <w:sz w:val="22"/>
                <w:szCs w:val="22"/>
              </w:rPr>
              <w:sym w:font="Wingdings" w:char="F0E0"/>
            </w:r>
            <w:r>
              <w:rPr>
                <w:rFonts w:ascii="Cambria" w:hAnsi="Cambria"/>
                <w:sz w:val="22"/>
                <w:szCs w:val="22"/>
              </w:rPr>
              <w:t xml:space="preserve"> max. 79% in KW 52/2020</w:t>
            </w:r>
          </w:p>
          <w:p>
            <w:pPr>
              <w:pStyle w:val="Listenabsatz"/>
              <w:numPr>
                <w:ilvl w:val="0"/>
                <w:numId w:val="15"/>
              </w:numPr>
              <w:rPr>
                <w:rFonts w:ascii="Cambria" w:hAnsi="Cambria"/>
                <w:sz w:val="22"/>
                <w:szCs w:val="22"/>
              </w:rPr>
            </w:pPr>
            <w:r>
              <w:rPr>
                <w:rFonts w:ascii="Cambria" w:hAnsi="Cambria"/>
                <w:sz w:val="22"/>
                <w:szCs w:val="22"/>
              </w:rPr>
              <w:t xml:space="preserve">Anteil Influenza an SARI 2-5% seit KW13/2022 </w:t>
            </w:r>
            <w:r>
              <w:rPr>
                <w:rFonts w:ascii="Cambria" w:hAnsi="Cambria"/>
                <w:sz w:val="22"/>
                <w:szCs w:val="22"/>
              </w:rPr>
              <w:sym w:font="Wingdings" w:char="F0E0"/>
            </w:r>
            <w:r>
              <w:rPr>
                <w:rFonts w:ascii="Cambria" w:hAnsi="Cambria"/>
                <w:sz w:val="22"/>
                <w:szCs w:val="22"/>
              </w:rPr>
              <w:t xml:space="preserve"> max. 30% in den Peaks 2018-2020</w:t>
            </w:r>
          </w:p>
          <w:p>
            <w:pPr>
              <w:pStyle w:val="Listenabsatz"/>
              <w:numPr>
                <w:ilvl w:val="0"/>
                <w:numId w:val="19"/>
              </w:numPr>
              <w:rPr>
                <w:rFonts w:ascii="Cambria" w:hAnsi="Cambria"/>
                <w:sz w:val="22"/>
                <w:szCs w:val="22"/>
                <w:lang w:val="en-US"/>
              </w:rPr>
            </w:pPr>
            <w:r>
              <w:rPr>
                <w:rFonts w:ascii="Cambria" w:hAnsi="Cambria"/>
                <w:sz w:val="22"/>
                <w:szCs w:val="22"/>
                <w:lang w:val="en-US"/>
              </w:rPr>
              <w:t xml:space="preserve">ICOSARI-KH-Surveillance – SARI </w:t>
            </w:r>
            <w:proofErr w:type="spellStart"/>
            <w:r>
              <w:rPr>
                <w:rFonts w:ascii="Cambria" w:hAnsi="Cambria"/>
                <w:sz w:val="22"/>
                <w:szCs w:val="22"/>
                <w:lang w:val="en-US"/>
              </w:rPr>
              <w:t>Fälle</w:t>
            </w:r>
            <w:proofErr w:type="spellEnd"/>
            <w:r>
              <w:rPr>
                <w:rFonts w:ascii="Cambria" w:hAnsi="Cambria"/>
                <w:sz w:val="22"/>
                <w:szCs w:val="22"/>
                <w:lang w:val="en-US"/>
              </w:rPr>
              <w:t xml:space="preserve"> (J09-J22):</w:t>
            </w:r>
          </w:p>
          <w:p>
            <w:pPr>
              <w:pStyle w:val="Listenabsatz"/>
              <w:numPr>
                <w:ilvl w:val="0"/>
                <w:numId w:val="15"/>
              </w:numPr>
              <w:rPr>
                <w:rFonts w:ascii="Cambria" w:hAnsi="Cambria"/>
                <w:sz w:val="22"/>
                <w:szCs w:val="22"/>
              </w:rPr>
            </w:pPr>
            <w:r>
              <w:rPr>
                <w:rFonts w:ascii="Cambria" w:hAnsi="Cambria"/>
                <w:sz w:val="22"/>
                <w:szCs w:val="22"/>
              </w:rPr>
              <w:t>Bei 0 - 4-Jährigen inzwischen mehr Influenza (4%) als COVID (2%) -Diagnosen</w:t>
            </w:r>
          </w:p>
          <w:p>
            <w:pPr>
              <w:pStyle w:val="Listenabsatz"/>
              <w:numPr>
                <w:ilvl w:val="0"/>
                <w:numId w:val="15"/>
              </w:numPr>
              <w:rPr>
                <w:rFonts w:ascii="Cambria" w:hAnsi="Cambria"/>
                <w:sz w:val="22"/>
                <w:szCs w:val="22"/>
              </w:rPr>
            </w:pPr>
            <w:r>
              <w:rPr>
                <w:rFonts w:ascii="Cambria" w:hAnsi="Cambria"/>
                <w:sz w:val="22"/>
                <w:szCs w:val="22"/>
              </w:rPr>
              <w:t>SARI-Fallzahlen in allen Altersgruppen auf Sommerniveau, seit KW 13/2022 steigender Anteil Influenza</w:t>
            </w:r>
          </w:p>
          <w:p>
            <w:pPr>
              <w:pStyle w:val="Listenabsatz"/>
              <w:numPr>
                <w:ilvl w:val="0"/>
                <w:numId w:val="15"/>
              </w:numPr>
              <w:rPr>
                <w:rFonts w:ascii="Cambria" w:hAnsi="Cambria"/>
                <w:sz w:val="22"/>
                <w:szCs w:val="22"/>
              </w:rPr>
            </w:pPr>
            <w:r>
              <w:rPr>
                <w:rFonts w:ascii="Cambria" w:hAnsi="Cambria"/>
                <w:sz w:val="22"/>
                <w:szCs w:val="22"/>
              </w:rPr>
              <w:t>Zunächst in AG unter 35, in KW17 auch in AG 35-39; noch relativ niedriges Niveau Influenza</w:t>
            </w:r>
          </w:p>
          <w:p>
            <w:pPr>
              <w:pStyle w:val="Listenabsatz"/>
              <w:numPr>
                <w:ilvl w:val="0"/>
                <w:numId w:val="15"/>
              </w:numPr>
              <w:rPr>
                <w:rFonts w:ascii="Cambria" w:hAnsi="Cambria"/>
                <w:sz w:val="22"/>
                <w:szCs w:val="22"/>
              </w:rPr>
            </w:pPr>
            <w:r>
              <w:rPr>
                <w:rFonts w:ascii="Cambria" w:hAnsi="Cambria"/>
                <w:sz w:val="22"/>
                <w:szCs w:val="22"/>
              </w:rPr>
              <w:t>In den AG ab 35 Jahren ca. ein Drittel COVID-19-Diagnosen bei SARI</w:t>
            </w:r>
          </w:p>
          <w:p>
            <w:pPr>
              <w:pStyle w:val="Listenabsatz"/>
              <w:numPr>
                <w:ilvl w:val="0"/>
                <w:numId w:val="13"/>
              </w:numPr>
              <w:rPr>
                <w:rFonts w:ascii="Cambria" w:hAnsi="Cambria"/>
                <w:sz w:val="22"/>
                <w:szCs w:val="22"/>
                <w:lang w:val="en-US"/>
              </w:rPr>
            </w:pPr>
            <w:proofErr w:type="spellStart"/>
            <w:r>
              <w:rPr>
                <w:rFonts w:ascii="Cambria" w:hAnsi="Cambria"/>
                <w:sz w:val="22"/>
                <w:szCs w:val="22"/>
                <w:lang w:val="en-US"/>
              </w:rPr>
              <w:t>Hospitalisierungsinzidenz</w:t>
            </w:r>
            <w:proofErr w:type="spellEnd"/>
            <w:r>
              <w:rPr>
                <w:rFonts w:ascii="Cambria" w:hAnsi="Cambria"/>
                <w:sz w:val="22"/>
                <w:szCs w:val="22"/>
                <w:lang w:val="en-US"/>
              </w:rPr>
              <w:t xml:space="preserve"> COVID-SARI</w:t>
            </w:r>
          </w:p>
          <w:p>
            <w:pPr>
              <w:pStyle w:val="Listenabsatz"/>
              <w:numPr>
                <w:ilvl w:val="1"/>
                <w:numId w:val="13"/>
              </w:numPr>
              <w:rPr>
                <w:rFonts w:ascii="Cambria" w:hAnsi="Cambria"/>
                <w:sz w:val="22"/>
                <w:szCs w:val="22"/>
              </w:rPr>
            </w:pPr>
            <w:r>
              <w:rPr>
                <w:rFonts w:ascii="Cambria" w:hAnsi="Cambria"/>
                <w:sz w:val="22"/>
                <w:szCs w:val="22"/>
              </w:rPr>
              <w:lastRenderedPageBreak/>
              <w:t xml:space="preserve">Insgesamt 2,5 COVID-SARI pro 100.000 </w:t>
            </w:r>
            <w:proofErr w:type="spellStart"/>
            <w:r>
              <w:rPr>
                <w:rFonts w:ascii="Cambria" w:hAnsi="Cambria"/>
                <w:sz w:val="22"/>
                <w:szCs w:val="22"/>
              </w:rPr>
              <w:t>Einw</w:t>
            </w:r>
            <w:proofErr w:type="spellEnd"/>
            <w:r>
              <w:rPr>
                <w:rFonts w:ascii="Cambria" w:hAnsi="Cambria"/>
                <w:sz w:val="22"/>
                <w:szCs w:val="22"/>
              </w:rPr>
              <w:t>., das entspricht ca. 2.000 Krankenhausaufnahmen aufgrund COVID-SARI in D.</w:t>
            </w:r>
          </w:p>
          <w:p>
            <w:pPr>
              <w:pStyle w:val="Listenabsatz"/>
              <w:numPr>
                <w:ilvl w:val="0"/>
                <w:numId w:val="16"/>
              </w:numPr>
              <w:rPr>
                <w:rFonts w:ascii="Cambria" w:hAnsi="Cambria"/>
                <w:sz w:val="22"/>
                <w:szCs w:val="22"/>
              </w:rPr>
            </w:pPr>
            <w:r>
              <w:rPr>
                <w:rFonts w:ascii="Cambria" w:hAnsi="Cambria"/>
                <w:sz w:val="22"/>
                <w:szCs w:val="22"/>
              </w:rPr>
              <w:t>Deutlicher Rückgang in KW17 in allen AG</w:t>
            </w:r>
          </w:p>
          <w:p>
            <w:pPr>
              <w:pStyle w:val="Listenabsatz"/>
              <w:numPr>
                <w:ilvl w:val="0"/>
                <w:numId w:val="16"/>
              </w:numPr>
              <w:rPr>
                <w:rFonts w:ascii="Cambria" w:hAnsi="Cambria"/>
                <w:sz w:val="22"/>
                <w:szCs w:val="22"/>
              </w:rPr>
            </w:pPr>
            <w:r>
              <w:rPr>
                <w:rFonts w:ascii="Cambria" w:hAnsi="Cambria"/>
                <w:sz w:val="22"/>
                <w:szCs w:val="22"/>
              </w:rPr>
              <w:t>AG 80+ leicht unter Niveau bei Jahreswechsel 21/22</w:t>
            </w:r>
          </w:p>
          <w:p>
            <w:pPr>
              <w:pStyle w:val="Listenabsatz"/>
              <w:numPr>
                <w:ilvl w:val="0"/>
                <w:numId w:val="13"/>
              </w:numPr>
              <w:rPr>
                <w:rFonts w:ascii="Cambria" w:hAnsi="Cambria"/>
                <w:sz w:val="22"/>
                <w:szCs w:val="22"/>
              </w:rPr>
            </w:pPr>
            <w:r>
              <w:rPr>
                <w:rFonts w:ascii="Cambria" w:hAnsi="Cambria"/>
                <w:sz w:val="22"/>
                <w:szCs w:val="22"/>
              </w:rPr>
              <w:t>Entwicklung COVID-SARI 7.KW bis 17. KW 2022</w:t>
            </w:r>
          </w:p>
          <w:p>
            <w:pPr>
              <w:pStyle w:val="Listenabsatz"/>
              <w:numPr>
                <w:ilvl w:val="1"/>
                <w:numId w:val="13"/>
              </w:numPr>
              <w:rPr>
                <w:rFonts w:ascii="Cambria" w:hAnsi="Cambria"/>
                <w:sz w:val="22"/>
                <w:szCs w:val="22"/>
              </w:rPr>
            </w:pPr>
            <w:r>
              <w:rPr>
                <w:rFonts w:ascii="Cambria" w:hAnsi="Cambria"/>
                <w:sz w:val="22"/>
                <w:szCs w:val="22"/>
              </w:rPr>
              <w:t>COVID-SARI-Fälle gehen sowohl insgesamt als auch mit Intensivbehandlung weiterhin sehr stark nach unten und sind in den meisten AG sehr niedrig.</w:t>
            </w:r>
          </w:p>
          <w:p>
            <w:pPr>
              <w:pStyle w:val="Liste3"/>
              <w:numPr>
                <w:ilvl w:val="0"/>
                <w:numId w:val="0"/>
              </w:numPr>
            </w:pPr>
          </w:p>
          <w:p>
            <w:pPr>
              <w:pStyle w:val="Liste3"/>
              <w:numPr>
                <w:ilvl w:val="0"/>
                <w:numId w:val="0"/>
              </w:numPr>
            </w:pPr>
          </w:p>
          <w:p>
            <w:pPr>
              <w:pStyle w:val="Liste1"/>
              <w:numPr>
                <w:ilvl w:val="0"/>
                <w:numId w:val="11"/>
              </w:numPr>
              <w:rPr>
                <w:rFonts w:ascii="Cambria" w:hAnsi="Cambria"/>
              </w:rPr>
            </w:pPr>
            <w:r>
              <w:rPr>
                <w:rFonts w:ascii="Cambria" w:hAnsi="Cambria"/>
                <w:b/>
              </w:rPr>
              <w:t>Virologische Surveillance</w:t>
            </w:r>
            <w:r>
              <w:rPr>
                <w:rFonts w:ascii="Cambria" w:hAnsi="Cambria"/>
              </w:rPr>
              <w:t xml:space="preserve">, NRZ Influenza-Daten </w:t>
            </w:r>
          </w:p>
          <w:p>
            <w:pPr>
              <w:pStyle w:val="Liste1"/>
              <w:numPr>
                <w:ilvl w:val="0"/>
                <w:numId w:val="11"/>
              </w:numPr>
              <w:rPr>
                <w:rFonts w:ascii="Cambria" w:hAnsi="Cambria"/>
              </w:rPr>
            </w:pPr>
            <w:r>
              <w:rPr>
                <w:rFonts w:ascii="Cambria" w:hAnsi="Cambria"/>
              </w:rPr>
              <w:t>Trend des Rückgangs der SARS-CoV-2 Nachweise setzt sich fort</w:t>
            </w:r>
          </w:p>
          <w:p>
            <w:pPr>
              <w:pStyle w:val="Liste1"/>
              <w:numPr>
                <w:ilvl w:val="0"/>
                <w:numId w:val="11"/>
              </w:numPr>
              <w:rPr>
                <w:rFonts w:ascii="Cambria" w:hAnsi="Cambria"/>
              </w:rPr>
            </w:pPr>
            <w:r>
              <w:rPr>
                <w:rFonts w:ascii="Cambria" w:hAnsi="Cambria"/>
              </w:rPr>
              <w:t xml:space="preserve">In KW17 SARS-CoV-2 </w:t>
            </w:r>
            <w:proofErr w:type="spellStart"/>
            <w:r>
              <w:rPr>
                <w:rFonts w:ascii="Cambria" w:hAnsi="Cambria"/>
              </w:rPr>
              <w:t>Positivenrate</w:t>
            </w:r>
            <w:proofErr w:type="spellEnd"/>
            <w:r>
              <w:rPr>
                <w:rFonts w:ascii="Cambria" w:hAnsi="Cambria"/>
              </w:rPr>
              <w:t xml:space="preserve"> von 12%</w:t>
            </w:r>
          </w:p>
          <w:p>
            <w:pPr>
              <w:pStyle w:val="Liste1"/>
              <w:numPr>
                <w:ilvl w:val="0"/>
                <w:numId w:val="11"/>
              </w:numPr>
              <w:rPr>
                <w:rFonts w:ascii="Cambria" w:hAnsi="Cambria"/>
              </w:rPr>
            </w:pPr>
            <w:r>
              <w:rPr>
                <w:rFonts w:ascii="Cambria" w:hAnsi="Cambria"/>
              </w:rPr>
              <w:t>Andere endemische Coronaviren nur sporadisch nachgewiesen</w:t>
            </w:r>
          </w:p>
          <w:p>
            <w:pPr>
              <w:pStyle w:val="Listenabsatz"/>
              <w:numPr>
                <w:ilvl w:val="0"/>
                <w:numId w:val="11"/>
              </w:numPr>
              <w:rPr>
                <w:rFonts w:ascii="Cambria" w:hAnsi="Cambria"/>
                <w:sz w:val="22"/>
                <w:szCs w:val="22"/>
              </w:rPr>
            </w:pPr>
            <w:proofErr w:type="spellStart"/>
            <w:r>
              <w:rPr>
                <w:rFonts w:ascii="Cambria" w:hAnsi="Cambria"/>
                <w:sz w:val="22"/>
                <w:szCs w:val="22"/>
              </w:rPr>
              <w:t>Omikronspezifische</w:t>
            </w:r>
            <w:proofErr w:type="spellEnd"/>
            <w:r>
              <w:rPr>
                <w:rFonts w:ascii="Cambria" w:hAnsi="Cambria"/>
                <w:sz w:val="22"/>
                <w:szCs w:val="22"/>
              </w:rPr>
              <w:t xml:space="preserve"> PCR hat BA.2 bei nahezu 100% nachgewiesen</w:t>
            </w:r>
          </w:p>
          <w:p>
            <w:pPr>
              <w:pStyle w:val="Listenabsatz"/>
              <w:numPr>
                <w:ilvl w:val="0"/>
                <w:numId w:val="11"/>
              </w:numPr>
              <w:rPr>
                <w:rFonts w:ascii="Cambria" w:hAnsi="Cambria"/>
                <w:sz w:val="22"/>
                <w:szCs w:val="22"/>
              </w:rPr>
            </w:pPr>
            <w:r>
              <w:rPr>
                <w:rFonts w:ascii="Cambria" w:hAnsi="Cambria"/>
                <w:sz w:val="22"/>
                <w:szCs w:val="22"/>
              </w:rPr>
              <w:t>Nachweis gleichmäßig über alle Altersgruppen</w:t>
            </w:r>
          </w:p>
          <w:p>
            <w:pPr>
              <w:pStyle w:val="Liste1"/>
              <w:numPr>
                <w:ilvl w:val="0"/>
                <w:numId w:val="11"/>
              </w:numPr>
              <w:rPr>
                <w:rFonts w:ascii="Cambria" w:hAnsi="Cambria"/>
              </w:rPr>
            </w:pPr>
            <w:r>
              <w:rPr>
                <w:rFonts w:ascii="Cambria" w:hAnsi="Cambria"/>
              </w:rPr>
              <w:t>Deutlicher Anstieg der Influenza-Aktivität erkennbar: Dominiert von H3N2-Viren. H1N1 nur sporadisch nachgewiesen</w:t>
            </w:r>
          </w:p>
          <w:p>
            <w:pPr>
              <w:pStyle w:val="Liste1"/>
              <w:numPr>
                <w:ilvl w:val="0"/>
                <w:numId w:val="11"/>
              </w:numPr>
              <w:rPr>
                <w:rFonts w:ascii="Cambria" w:hAnsi="Cambria"/>
              </w:rPr>
            </w:pPr>
            <w:r>
              <w:rPr>
                <w:rFonts w:ascii="Cambria" w:hAnsi="Cambria"/>
              </w:rPr>
              <w:t>Alle anderen Viren (HRV, PIV, HMPV, RSV) sind derzeit zu vernachlässigen</w:t>
            </w:r>
          </w:p>
          <w:p>
            <w:pPr>
              <w:pStyle w:val="Liste1"/>
              <w:numPr>
                <w:ilvl w:val="0"/>
                <w:numId w:val="0"/>
              </w:numPr>
              <w:rPr>
                <w:rFonts w:ascii="Cambria" w:hAnsi="Cambria"/>
              </w:rPr>
            </w:pPr>
          </w:p>
          <w:p>
            <w:pPr>
              <w:pStyle w:val="Liste1"/>
              <w:numPr>
                <w:ilvl w:val="0"/>
                <w:numId w:val="11"/>
              </w:numPr>
              <w:rPr>
                <w:rFonts w:ascii="Cambria" w:hAnsi="Cambria"/>
              </w:rPr>
            </w:pPr>
            <w:r>
              <w:rPr>
                <w:rStyle w:val="3Zchn"/>
                <w:rFonts w:ascii="Cambria" w:hAnsi="Cambria"/>
              </w:rPr>
              <w:t xml:space="preserve">Testkapazität und Testungen </w:t>
            </w:r>
            <w:r>
              <w:rPr>
                <w:rStyle w:val="3Zchn"/>
                <w:rFonts w:ascii="Cambria" w:hAnsi="Cambria"/>
                <w:b w:val="0"/>
              </w:rPr>
              <w:t>(Folien</w:t>
            </w:r>
            <w:r>
              <w:t xml:space="preserve"> </w:t>
            </w:r>
            <w:hyperlink r:id="rId17" w:history="1">
              <w:r>
                <w:rPr>
                  <w:rStyle w:val="Hyperlink"/>
                </w:rPr>
                <w:t>hier</w:t>
              </w:r>
            </w:hyperlink>
            <w:r>
              <w:rPr>
                <w:rStyle w:val="3Zchn"/>
                <w:rFonts w:ascii="Cambria" w:hAnsi="Cambria"/>
                <w:b w:val="0"/>
              </w:rPr>
              <w:t>)</w:t>
            </w:r>
          </w:p>
          <w:p>
            <w:pPr>
              <w:pStyle w:val="Listenabsatz"/>
              <w:numPr>
                <w:ilvl w:val="0"/>
                <w:numId w:val="11"/>
              </w:numPr>
              <w:rPr>
                <w:rFonts w:ascii="Cambria" w:hAnsi="Cambria"/>
                <w:sz w:val="22"/>
                <w:szCs w:val="22"/>
              </w:rPr>
            </w:pPr>
            <w:r>
              <w:rPr>
                <w:rFonts w:ascii="Cambria" w:hAnsi="Cambria"/>
                <w:sz w:val="22"/>
                <w:szCs w:val="22"/>
              </w:rPr>
              <w:t xml:space="preserve">Deutlicher Rückgang der </w:t>
            </w:r>
            <w:proofErr w:type="spellStart"/>
            <w:r>
              <w:rPr>
                <w:rFonts w:ascii="Cambria" w:hAnsi="Cambria"/>
                <w:sz w:val="22"/>
                <w:szCs w:val="22"/>
              </w:rPr>
              <w:t>Positivenrate</w:t>
            </w:r>
            <w:proofErr w:type="spellEnd"/>
            <w:r>
              <w:rPr>
                <w:rFonts w:ascii="Cambria" w:hAnsi="Cambria"/>
                <w:sz w:val="22"/>
                <w:szCs w:val="22"/>
              </w:rPr>
              <w:t xml:space="preserve"> in KW17 mit 41,82% (Vorwoche: 50,52%)</w:t>
            </w:r>
          </w:p>
          <w:p>
            <w:pPr>
              <w:pStyle w:val="Listenabsatz"/>
              <w:numPr>
                <w:ilvl w:val="0"/>
                <w:numId w:val="11"/>
              </w:numPr>
              <w:rPr>
                <w:rFonts w:ascii="Cambria" w:hAnsi="Cambria"/>
                <w:sz w:val="22"/>
                <w:szCs w:val="22"/>
              </w:rPr>
            </w:pPr>
            <w:r>
              <w:rPr>
                <w:rFonts w:ascii="Cambria" w:hAnsi="Cambria"/>
                <w:sz w:val="22"/>
                <w:szCs w:val="22"/>
              </w:rPr>
              <w:t>Laborauslastung sehr niedrig in allen BL; Grund: Indikationsstellung der ambulanten Praxen, keine entsprechende Extravergütung mehr.</w:t>
            </w:r>
          </w:p>
          <w:p>
            <w:pPr>
              <w:pStyle w:val="Liste1"/>
              <w:numPr>
                <w:ilvl w:val="0"/>
                <w:numId w:val="0"/>
              </w:numPr>
              <w:rPr>
                <w:rFonts w:ascii="Cambria" w:hAnsi="Cambria"/>
              </w:rPr>
            </w:pPr>
          </w:p>
          <w:p>
            <w:pPr>
              <w:pStyle w:val="Liste1"/>
              <w:numPr>
                <w:ilvl w:val="0"/>
                <w:numId w:val="11"/>
              </w:numPr>
              <w:rPr>
                <w:rFonts w:ascii="Cambria" w:hAnsi="Cambria"/>
                <w:b/>
              </w:rPr>
            </w:pPr>
            <w:r>
              <w:rPr>
                <w:rFonts w:ascii="Cambria" w:hAnsi="Cambria"/>
                <w:b/>
              </w:rPr>
              <w:t xml:space="preserve">SARS in ARS </w:t>
            </w:r>
            <w:r>
              <w:rPr>
                <w:rStyle w:val="3Zchn"/>
                <w:rFonts w:ascii="Cambria" w:hAnsi="Cambria"/>
                <w:b w:val="0"/>
              </w:rPr>
              <w:t>(Folien</w:t>
            </w:r>
            <w:r>
              <w:t xml:space="preserve"> </w:t>
            </w:r>
            <w:hyperlink r:id="rId18" w:history="1">
              <w:r>
                <w:rPr>
                  <w:rStyle w:val="Hyperlink"/>
                </w:rPr>
                <w:t>hier</w:t>
              </w:r>
            </w:hyperlink>
            <w:r>
              <w:rPr>
                <w:rStyle w:val="3Zchn"/>
                <w:rFonts w:ascii="Cambria" w:hAnsi="Cambria"/>
                <w:b w:val="0"/>
              </w:rPr>
              <w:t>)</w:t>
            </w:r>
          </w:p>
          <w:p>
            <w:pPr>
              <w:pStyle w:val="Liste1"/>
              <w:numPr>
                <w:ilvl w:val="0"/>
                <w:numId w:val="11"/>
              </w:numPr>
              <w:rPr>
                <w:rFonts w:ascii="Cambria" w:hAnsi="Cambria"/>
              </w:rPr>
            </w:pPr>
            <w:r>
              <w:rPr>
                <w:rFonts w:ascii="Cambria" w:hAnsi="Cambria"/>
              </w:rPr>
              <w:t>Deutlicher Rückgang der Testungen über Osterferienwochen; seit 3 Wochen auf gleich niedrigem Niveau</w:t>
            </w:r>
          </w:p>
          <w:p>
            <w:pPr>
              <w:pStyle w:val="Liste1"/>
              <w:numPr>
                <w:ilvl w:val="0"/>
                <w:numId w:val="11"/>
              </w:numPr>
              <w:rPr>
                <w:rFonts w:ascii="Cambria" w:hAnsi="Cambria"/>
              </w:rPr>
            </w:pPr>
            <w:r>
              <w:rPr>
                <w:rFonts w:ascii="Cambria" w:hAnsi="Cambria"/>
              </w:rPr>
              <w:t>Vergleich Anzahl Testungen in BL: Thüringen mit auffallend niedrigem Niveau; Berlin wenig abnehmend</w:t>
            </w:r>
          </w:p>
          <w:p>
            <w:pPr>
              <w:pStyle w:val="Liste1"/>
              <w:numPr>
                <w:ilvl w:val="0"/>
                <w:numId w:val="11"/>
              </w:numPr>
              <w:rPr>
                <w:rFonts w:ascii="Cambria" w:hAnsi="Cambria"/>
              </w:rPr>
            </w:pPr>
            <w:proofErr w:type="spellStart"/>
            <w:r>
              <w:rPr>
                <w:rFonts w:ascii="Cambria" w:hAnsi="Cambria"/>
              </w:rPr>
              <w:t>Positivenanteil</w:t>
            </w:r>
            <w:proofErr w:type="spellEnd"/>
            <w:r>
              <w:rPr>
                <w:rFonts w:ascii="Cambria" w:hAnsi="Cambria"/>
              </w:rPr>
              <w:t xml:space="preserve"> in allen BL rückläufig</w:t>
            </w:r>
          </w:p>
          <w:p>
            <w:pPr>
              <w:pStyle w:val="Liste1"/>
              <w:numPr>
                <w:ilvl w:val="0"/>
                <w:numId w:val="11"/>
              </w:numPr>
              <w:rPr>
                <w:rFonts w:ascii="Cambria" w:hAnsi="Cambria"/>
              </w:rPr>
            </w:pPr>
            <w:r>
              <w:rPr>
                <w:rFonts w:ascii="Cambria" w:hAnsi="Cambria"/>
              </w:rPr>
              <w:t>Anzahl der Testungen in Arztpraxen, Krankenhaus und Andere in etwa auf gleichem Niveau in KW17 (jeweils ca. bei 150.000 Proben im System) In den Vorwochen waren Andere und Arztpraxen oft deutlich höher als Krankenhaus.</w:t>
            </w:r>
          </w:p>
          <w:p>
            <w:pPr>
              <w:pStyle w:val="Liste1"/>
              <w:numPr>
                <w:ilvl w:val="0"/>
                <w:numId w:val="11"/>
              </w:numPr>
              <w:rPr>
                <w:rFonts w:ascii="Cambria" w:hAnsi="Cambria"/>
              </w:rPr>
            </w:pPr>
            <w:proofErr w:type="spellStart"/>
            <w:r>
              <w:rPr>
                <w:rFonts w:ascii="Cambria" w:hAnsi="Cambria"/>
              </w:rPr>
              <w:t>Positivenanteil</w:t>
            </w:r>
            <w:proofErr w:type="spellEnd"/>
            <w:r>
              <w:rPr>
                <w:rFonts w:ascii="Cambria" w:hAnsi="Cambria"/>
              </w:rPr>
              <w:t xml:space="preserve"> rückläufig in Arztpraxen, Krankenhäusern und Andere (am stärksten in Andere)</w:t>
            </w:r>
          </w:p>
          <w:p>
            <w:pPr>
              <w:pStyle w:val="Liste1"/>
              <w:numPr>
                <w:ilvl w:val="0"/>
                <w:numId w:val="11"/>
              </w:numPr>
              <w:rPr>
                <w:rFonts w:ascii="Cambria" w:hAnsi="Cambria"/>
              </w:rPr>
            </w:pPr>
            <w:r>
              <w:rPr>
                <w:rFonts w:ascii="Cambria" w:hAnsi="Cambria"/>
              </w:rPr>
              <w:t>Rückläufige Tendenz zieht sich durch alle Altersgruppen hindurch.</w:t>
            </w:r>
          </w:p>
          <w:p>
            <w:pPr>
              <w:pStyle w:val="Liste1"/>
              <w:numPr>
                <w:ilvl w:val="0"/>
                <w:numId w:val="11"/>
              </w:numPr>
              <w:rPr>
                <w:rFonts w:ascii="Cambria" w:hAnsi="Cambria"/>
              </w:rPr>
            </w:pPr>
            <w:r>
              <w:rPr>
                <w:rFonts w:ascii="Cambria" w:hAnsi="Cambria"/>
              </w:rPr>
              <w:t>Anzahl der Testungen in AG gleichbleibend; nur bei 5-14-Jährigen steigende Tendenz</w:t>
            </w:r>
          </w:p>
          <w:p>
            <w:pPr>
              <w:pStyle w:val="Liste1"/>
              <w:numPr>
                <w:ilvl w:val="0"/>
                <w:numId w:val="11"/>
              </w:numPr>
              <w:rPr>
                <w:rFonts w:ascii="Cambria" w:hAnsi="Cambria"/>
              </w:rPr>
            </w:pPr>
            <w:proofErr w:type="spellStart"/>
            <w:r>
              <w:rPr>
                <w:rFonts w:ascii="Cambria" w:hAnsi="Cambria"/>
              </w:rPr>
              <w:t>Positivenanteil</w:t>
            </w:r>
            <w:proofErr w:type="spellEnd"/>
            <w:r>
              <w:rPr>
                <w:rFonts w:ascii="Cambria" w:hAnsi="Cambria"/>
              </w:rPr>
              <w:t xml:space="preserve"> sinkt deutlich in allen AGs, am stärksten bei 5-14-Jährigen</w:t>
            </w:r>
          </w:p>
          <w:p>
            <w:pPr>
              <w:pStyle w:val="Liste1"/>
              <w:numPr>
                <w:ilvl w:val="0"/>
                <w:numId w:val="11"/>
              </w:numPr>
              <w:rPr>
                <w:rFonts w:ascii="Cambria" w:hAnsi="Cambria"/>
              </w:rPr>
            </w:pPr>
            <w:r>
              <w:rPr>
                <w:rFonts w:ascii="Cambria" w:hAnsi="Cambria"/>
              </w:rPr>
              <w:lastRenderedPageBreak/>
              <w:t>Darstellung Bewohnende von Langzeitpflegeeinrichtungen nach Impfstatuskategorie: COVID-19 Prävalenz von 10,6% bei unvollständig Grundimmunisierten, 4,8% bei Grundimmunisierten und 3,5% bei Grundimmunisierten mit Auffrischimpfung.</w:t>
            </w:r>
          </w:p>
          <w:p>
            <w:pPr>
              <w:pStyle w:val="Liste1"/>
              <w:numPr>
                <w:ilvl w:val="0"/>
                <w:numId w:val="0"/>
              </w:numPr>
              <w:ind w:left="473" w:hanging="360"/>
              <w:rPr>
                <w:rFonts w:ascii="Cambria" w:hAnsi="Cambria"/>
              </w:rPr>
            </w:pPr>
          </w:p>
          <w:p>
            <w:pPr>
              <w:numPr>
                <w:ilvl w:val="0"/>
                <w:numId w:val="11"/>
              </w:numPr>
              <w:spacing w:after="200"/>
              <w:contextualSpacing/>
              <w:rPr>
                <w:rFonts w:ascii="Cambria" w:hAnsi="Cambria"/>
                <w:sz w:val="22"/>
                <w:szCs w:val="22"/>
              </w:rPr>
            </w:pPr>
            <w:r>
              <w:rPr>
                <w:rFonts w:ascii="Cambria" w:hAnsi="Cambria"/>
                <w:b/>
                <w:sz w:val="22"/>
                <w:szCs w:val="22"/>
              </w:rPr>
              <w:t>Molekulare Surveillance, VOC-Bericht</w:t>
            </w:r>
            <w:r>
              <w:rPr>
                <w:rFonts w:ascii="Cambria" w:hAnsi="Cambria"/>
                <w:sz w:val="22"/>
                <w:szCs w:val="22"/>
              </w:rPr>
              <w:t xml:space="preserve"> </w:t>
            </w:r>
            <w:r>
              <w:rPr>
                <w:rFonts w:ascii="Cambria" w:hAnsi="Cambria"/>
                <w:b/>
                <w:sz w:val="22"/>
                <w:szCs w:val="22"/>
              </w:rPr>
              <w:t>(</w:t>
            </w:r>
            <w:r>
              <w:rPr>
                <w:rFonts w:ascii="Cambria" w:hAnsi="Cambria"/>
                <w:sz w:val="22"/>
                <w:szCs w:val="22"/>
              </w:rPr>
              <w:t xml:space="preserve">Folien </w:t>
            </w:r>
            <w:hyperlink r:id="rId19" w:history="1">
              <w:r>
                <w:rPr>
                  <w:rStyle w:val="Hyperlink"/>
                  <w:rFonts w:ascii="Cambria" w:hAnsi="Cambria"/>
                  <w:sz w:val="22"/>
                  <w:szCs w:val="22"/>
                </w:rPr>
                <w:t>hier</w:t>
              </w:r>
            </w:hyperlink>
            <w:r>
              <w:rPr>
                <w:rFonts w:ascii="Cambria" w:hAnsi="Cambria"/>
                <w:b/>
                <w:sz w:val="22"/>
                <w:szCs w:val="22"/>
              </w:rPr>
              <w:t>)</w:t>
            </w:r>
          </w:p>
          <w:p>
            <w:pPr>
              <w:numPr>
                <w:ilvl w:val="0"/>
                <w:numId w:val="11"/>
              </w:numPr>
              <w:spacing w:after="200"/>
              <w:contextualSpacing/>
              <w:rPr>
                <w:rFonts w:ascii="Cambria" w:hAnsi="Cambria"/>
                <w:sz w:val="22"/>
                <w:szCs w:val="22"/>
              </w:rPr>
            </w:pPr>
            <w:r>
              <w:rPr>
                <w:rFonts w:ascii="Cambria" w:hAnsi="Cambria"/>
                <w:sz w:val="22"/>
                <w:szCs w:val="22"/>
              </w:rPr>
              <w:t>VOC-Anteile: dominierend Omikron mit 99,8%</w:t>
            </w:r>
          </w:p>
          <w:p>
            <w:pPr>
              <w:numPr>
                <w:ilvl w:val="0"/>
                <w:numId w:val="11"/>
              </w:numPr>
              <w:spacing w:after="200"/>
              <w:contextualSpacing/>
              <w:rPr>
                <w:rFonts w:ascii="Cambria" w:hAnsi="Cambria"/>
                <w:sz w:val="22"/>
                <w:szCs w:val="22"/>
                <w:lang w:val="en-US"/>
              </w:rPr>
            </w:pPr>
            <w:r>
              <w:rPr>
                <w:rFonts w:ascii="Cambria" w:hAnsi="Cambria"/>
                <w:sz w:val="22"/>
                <w:szCs w:val="22"/>
                <w:lang w:val="en-US"/>
              </w:rPr>
              <w:t>BA.2 72,9%, BA.2.9 19,2%, BA.2.3 2,6%, BA.2.12 0,4%, BA.1.1 1,1%, BA.5 0,3%, BA.4 0,1%</w:t>
            </w:r>
          </w:p>
          <w:p>
            <w:pPr>
              <w:numPr>
                <w:ilvl w:val="0"/>
                <w:numId w:val="11"/>
              </w:numPr>
              <w:spacing w:after="200"/>
              <w:contextualSpacing/>
              <w:rPr>
                <w:rFonts w:ascii="Cambria" w:hAnsi="Cambria"/>
                <w:sz w:val="22"/>
                <w:szCs w:val="22"/>
                <w:lang w:val="en-US"/>
              </w:rPr>
            </w:pPr>
            <w:r>
              <w:rPr>
                <w:rFonts w:ascii="Cambria" w:hAnsi="Cambria"/>
                <w:sz w:val="22"/>
                <w:szCs w:val="22"/>
                <w:lang w:val="en-US"/>
              </w:rPr>
              <w:t xml:space="preserve">XE </w:t>
            </w:r>
            <w:proofErr w:type="spellStart"/>
            <w:r>
              <w:rPr>
                <w:rFonts w:ascii="Cambria" w:hAnsi="Cambria"/>
                <w:sz w:val="22"/>
                <w:szCs w:val="22"/>
                <w:lang w:val="en-US"/>
              </w:rPr>
              <w:t>bei</w:t>
            </w:r>
            <w:proofErr w:type="spellEnd"/>
            <w:r>
              <w:rPr>
                <w:rFonts w:ascii="Cambria" w:hAnsi="Cambria"/>
                <w:sz w:val="22"/>
                <w:szCs w:val="22"/>
                <w:lang w:val="en-US"/>
              </w:rPr>
              <w:t xml:space="preserve"> 0,1%</w:t>
            </w:r>
          </w:p>
          <w:p>
            <w:pPr>
              <w:numPr>
                <w:ilvl w:val="0"/>
                <w:numId w:val="11"/>
              </w:numPr>
              <w:spacing w:after="200"/>
              <w:contextualSpacing/>
              <w:rPr>
                <w:rFonts w:ascii="Cambria" w:hAnsi="Cambria"/>
                <w:sz w:val="22"/>
                <w:szCs w:val="22"/>
              </w:rPr>
            </w:pPr>
            <w:r>
              <w:rPr>
                <w:rFonts w:ascii="Cambria" w:hAnsi="Cambria"/>
                <w:sz w:val="22"/>
                <w:szCs w:val="22"/>
              </w:rPr>
              <w:t xml:space="preserve">Nachweise von 5 Rekombinanten: XD; XE; XG; XH; XM; </w:t>
            </w:r>
          </w:p>
          <w:p>
            <w:pPr>
              <w:numPr>
                <w:ilvl w:val="0"/>
                <w:numId w:val="11"/>
              </w:numPr>
              <w:spacing w:after="200"/>
              <w:contextualSpacing/>
              <w:rPr>
                <w:rFonts w:ascii="Cambria" w:hAnsi="Cambria"/>
                <w:sz w:val="22"/>
                <w:szCs w:val="22"/>
              </w:rPr>
            </w:pPr>
            <w:r>
              <w:rPr>
                <w:rFonts w:ascii="Cambria" w:hAnsi="Cambria"/>
                <w:sz w:val="22"/>
                <w:szCs w:val="22"/>
              </w:rPr>
              <w:t>Allgemeiner Trend: 10.000 übermittelte Sequenzen pro Woche</w:t>
            </w:r>
          </w:p>
          <w:p>
            <w:pPr>
              <w:numPr>
                <w:ilvl w:val="0"/>
                <w:numId w:val="11"/>
              </w:numPr>
              <w:spacing w:after="200"/>
              <w:contextualSpacing/>
              <w:rPr>
                <w:rFonts w:ascii="Cambria" w:hAnsi="Cambria"/>
                <w:sz w:val="22"/>
                <w:szCs w:val="22"/>
              </w:rPr>
            </w:pPr>
            <w:r>
              <w:rPr>
                <w:rFonts w:ascii="Cambria" w:hAnsi="Cambria"/>
                <w:sz w:val="22"/>
                <w:szCs w:val="22"/>
              </w:rPr>
              <w:t>Keine Nachweise für andere VOCs außer Omikron</w:t>
            </w:r>
          </w:p>
          <w:p>
            <w:pPr>
              <w:rPr>
                <w:rFonts w:ascii="Cambria" w:hAnsi="Cambria"/>
                <w:b/>
                <w:sz w:val="22"/>
                <w:szCs w:val="22"/>
              </w:rPr>
            </w:pPr>
          </w:p>
          <w:p>
            <w:pPr>
              <w:rPr>
                <w:rFonts w:ascii="Cambria" w:hAnsi="Cambria"/>
                <w:b/>
                <w:sz w:val="22"/>
                <w:szCs w:val="22"/>
              </w:rPr>
            </w:pPr>
            <w:r>
              <w:rPr>
                <w:rFonts w:ascii="Cambria" w:hAnsi="Cambria"/>
                <w:b/>
                <w:sz w:val="22"/>
                <w:szCs w:val="22"/>
              </w:rPr>
              <w:t>Diskussion</w:t>
            </w:r>
          </w:p>
          <w:p>
            <w:pPr>
              <w:rPr>
                <w:rFonts w:ascii="Cambria" w:hAnsi="Cambria"/>
                <w:b/>
                <w:sz w:val="22"/>
                <w:szCs w:val="22"/>
              </w:rPr>
            </w:pPr>
          </w:p>
          <w:p>
            <w:pPr>
              <w:pStyle w:val="Listenabsatz"/>
              <w:numPr>
                <w:ilvl w:val="0"/>
                <w:numId w:val="17"/>
              </w:numPr>
              <w:rPr>
                <w:rFonts w:ascii="Cambria" w:hAnsi="Cambria"/>
                <w:sz w:val="22"/>
                <w:szCs w:val="22"/>
              </w:rPr>
            </w:pPr>
            <w:r>
              <w:rPr>
                <w:rFonts w:ascii="Cambria" w:hAnsi="Cambria"/>
                <w:sz w:val="22"/>
                <w:szCs w:val="22"/>
              </w:rPr>
              <w:t>Wie hängen die Positivrate bei den Aufnahmetestungen mit der SARS-Cov-2 Hospitalisierungsrate zusammen? Aufnahmedatum in ARS nicht vorhanden, daher keine Differenzierung bei Testung nach Aufnahme. Aufnahmetestungen nicht klar definierbar. Lediglich Approximation möglich.</w:t>
            </w:r>
          </w:p>
          <w:p>
            <w:pPr>
              <w:pStyle w:val="Listenabsatz"/>
              <w:numPr>
                <w:ilvl w:val="0"/>
                <w:numId w:val="17"/>
              </w:numPr>
              <w:rPr>
                <w:rFonts w:ascii="Cambria" w:hAnsi="Cambria"/>
                <w:sz w:val="22"/>
                <w:szCs w:val="22"/>
              </w:rPr>
            </w:pPr>
            <w:r>
              <w:rPr>
                <w:rFonts w:ascii="Cambria" w:hAnsi="Cambria"/>
                <w:sz w:val="22"/>
                <w:szCs w:val="22"/>
              </w:rPr>
              <w:t>Wie viele Gesundheitsämter melden an den Wochenenden nicht? Es haben lediglich 23/376 GÄ am Wochenende übermittelt. Der Großteil übermittelt an den Wochenenden also nicht (12/16 BL). BL die an den Wochenenden noch übermitteln: NRW, HH, TH und SH</w:t>
            </w:r>
          </w:p>
          <w:p>
            <w:pPr>
              <w:pStyle w:val="Listenabsatz"/>
              <w:numPr>
                <w:ilvl w:val="0"/>
                <w:numId w:val="17"/>
              </w:numPr>
              <w:rPr>
                <w:rFonts w:ascii="Cambria" w:hAnsi="Cambria"/>
                <w:sz w:val="22"/>
                <w:szCs w:val="22"/>
              </w:rPr>
            </w:pPr>
            <w:r>
              <w:rPr>
                <w:rFonts w:ascii="Cambria" w:hAnsi="Cambria"/>
                <w:sz w:val="22"/>
                <w:szCs w:val="22"/>
              </w:rPr>
              <w:t>Frage zu den Sublinien: In afrikanischen Ländern geht BA.4 und BA.5 z.T. sehr stark nach oben. Wird BA.5 bei uns eine Dominanz bekommen? Eher unwahrscheinlich, dass BA.5 dominierend wird.</w:t>
            </w:r>
          </w:p>
          <w:p>
            <w:pPr>
              <w:pStyle w:val="Listenabsatz"/>
              <w:numPr>
                <w:ilvl w:val="0"/>
                <w:numId w:val="17"/>
              </w:numPr>
              <w:rPr>
                <w:rFonts w:ascii="Cambria" w:hAnsi="Cambria"/>
                <w:sz w:val="22"/>
                <w:szCs w:val="22"/>
              </w:rPr>
            </w:pPr>
            <w:r>
              <w:rPr>
                <w:rFonts w:ascii="Cambria" w:hAnsi="Cambria"/>
                <w:sz w:val="22"/>
                <w:szCs w:val="22"/>
              </w:rPr>
              <w:t>Dramatischer Rückgang der Testzahlen in Arztpraxen: Bestätigen das unsere Zahlen? Nach retrospektiver Umstellung ist der Rückgang bei Arztpraxen und Anderen nahezu parallel.</w:t>
            </w:r>
          </w:p>
          <w:p>
            <w:pPr>
              <w:pStyle w:val="Liste3"/>
              <w:numPr>
                <w:ilvl w:val="0"/>
                <w:numId w:val="0"/>
              </w:numPr>
            </w:pP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MF1</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FG36</w:t>
            </w:r>
          </w:p>
          <w:p>
            <w:pPr>
              <w:rPr>
                <w:sz w:val="22"/>
                <w:szCs w:val="22"/>
                <w:lang w:val="en-US"/>
              </w:rPr>
            </w:pPr>
            <w:r>
              <w:rPr>
                <w:sz w:val="22"/>
                <w:szCs w:val="22"/>
                <w:lang w:val="en-US"/>
              </w:rPr>
              <w:t>(Buda)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FG17</w:t>
            </w:r>
          </w:p>
          <w:p>
            <w:pPr>
              <w:rPr>
                <w:sz w:val="22"/>
                <w:szCs w:val="22"/>
                <w:lang w:val="en-US"/>
              </w:rPr>
            </w:pPr>
            <w:r>
              <w:rPr>
                <w:sz w:val="22"/>
                <w:szCs w:val="22"/>
                <w:lang w:val="en-US"/>
              </w:rPr>
              <w:t>(</w:t>
            </w:r>
            <w:proofErr w:type="spellStart"/>
            <w:r>
              <w:rPr>
                <w:sz w:val="22"/>
                <w:szCs w:val="22"/>
                <w:lang w:val="en-US"/>
              </w:rPr>
              <w:t>Dürrwald</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FG31</w:t>
            </w:r>
          </w:p>
          <w:p>
            <w:pPr>
              <w:rPr>
                <w:sz w:val="22"/>
                <w:szCs w:val="22"/>
                <w:lang w:val="en-US"/>
              </w:rPr>
            </w:pPr>
            <w:r>
              <w:rPr>
                <w:sz w:val="22"/>
                <w:szCs w:val="22"/>
                <w:lang w:val="en-US"/>
              </w:rPr>
              <w:t>(Rexroth)</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FG37</w:t>
            </w:r>
          </w:p>
          <w:p>
            <w:pPr>
              <w:rPr>
                <w:sz w:val="22"/>
                <w:szCs w:val="22"/>
              </w:rPr>
            </w:pPr>
            <w:r>
              <w:rPr>
                <w:sz w:val="22"/>
                <w:szCs w:val="22"/>
              </w:rPr>
              <w:t>(</w:t>
            </w:r>
            <w:proofErr w:type="spellStart"/>
            <w:r>
              <w:rPr>
                <w:sz w:val="22"/>
                <w:szCs w:val="22"/>
              </w:rPr>
              <w:t>Eckmanns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(nicht berichtet)</w:t>
            </w:r>
          </w:p>
          <w:p>
            <w:pPr>
              <w:pStyle w:val="2"/>
            </w:pPr>
            <w:r>
              <w:t>STIKO</w:t>
            </w:r>
          </w:p>
          <w:p>
            <w:pPr>
              <w:spacing w:line="276" w:lineRule="auto"/>
              <w:rPr>
                <w:rStyle w:val="1Zchn"/>
              </w:rPr>
            </w:pPr>
            <w:r>
              <w:t>xxx</w:t>
            </w:r>
          </w:p>
        </w:tc>
        <w:tc>
          <w:tcPr>
            <w:tcW w:w="1463" w:type="dxa"/>
          </w:tcPr>
          <w:p>
            <w:pPr>
              <w:rPr>
                <w:sz w:val="22"/>
                <w:szCs w:val="22"/>
              </w:rPr>
            </w:pPr>
            <w:r>
              <w:rPr>
                <w:sz w:val="22"/>
                <w:szCs w:val="22"/>
              </w:rPr>
              <w:t>FG 33</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5</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lastRenderedPageBreak/>
              <w:t>6</w:t>
            </w:r>
          </w:p>
        </w:tc>
        <w:tc>
          <w:tcPr>
            <w:tcW w:w="6824" w:type="dxa"/>
          </w:tcPr>
          <w:p>
            <w:pPr>
              <w:pStyle w:val="1"/>
            </w:pPr>
            <w:r>
              <w:t xml:space="preserve">Expertenbeirat </w:t>
            </w:r>
          </w:p>
          <w:p>
            <w:pPr>
              <w:pStyle w:val="Liste1"/>
            </w:pPr>
            <w:r>
              <w:t>der Expertenbeirat hat gestern am 03.05.2022 nicht stattgefunden</w:t>
            </w:r>
          </w:p>
          <w:p>
            <w:pPr>
              <w:pStyle w:val="1"/>
              <w:rPr>
                <w:sz w:val="22"/>
              </w:rPr>
            </w:pPr>
          </w:p>
        </w:tc>
        <w:tc>
          <w:tcPr>
            <w:tcW w:w="1463" w:type="dxa"/>
          </w:tcPr>
          <w:p>
            <w:pPr>
              <w:rPr>
                <w:sz w:val="22"/>
                <w:szCs w:val="22"/>
              </w:rPr>
            </w:pPr>
          </w:p>
          <w:p>
            <w:pPr>
              <w:rPr>
                <w:sz w:val="22"/>
                <w:szCs w:val="22"/>
              </w:rPr>
            </w:pPr>
          </w:p>
          <w:p>
            <w:pPr>
              <w:rPr>
                <w:sz w:val="22"/>
                <w:szCs w:val="22"/>
              </w:rPr>
            </w:pPr>
            <w:proofErr w:type="spellStart"/>
            <w:r>
              <w:rPr>
                <w:sz w:val="22"/>
                <w:szCs w:val="22"/>
              </w:rPr>
              <w:t>Wieler</w:t>
            </w:r>
            <w:proofErr w:type="spellEnd"/>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Anregung zur Erstellung einer FAQ zum Übergang einer Pandemie zur Endemie</w:t>
            </w:r>
          </w:p>
          <w:p>
            <w:pPr>
              <w:pStyle w:val="Liste3"/>
            </w:pPr>
            <w:r>
              <w:t>FAQ allein nicht ausreichend; Zustand Endemie ist Konvention und zudem eine globale Angelegenheit</w:t>
            </w:r>
          </w:p>
          <w:p>
            <w:pPr>
              <w:pStyle w:val="Liste3"/>
            </w:pPr>
            <w:r>
              <w:t>Es sollte auf Reaktionen der WHO gewartet werden</w:t>
            </w:r>
          </w:p>
          <w:p>
            <w:pPr>
              <w:pStyle w:val="Liste3"/>
              <w:numPr>
                <w:ilvl w:val="0"/>
                <w:numId w:val="0"/>
              </w:numPr>
              <w:ind w:left="1193"/>
            </w:pPr>
          </w:p>
          <w:p>
            <w:pPr>
              <w:pStyle w:val="Liste3"/>
              <w:numPr>
                <w:ilvl w:val="0"/>
                <w:numId w:val="0"/>
              </w:numPr>
              <w:rPr>
                <w:b/>
                <w:u w:val="single"/>
              </w:rPr>
            </w:pPr>
            <w:proofErr w:type="spellStart"/>
            <w:r>
              <w:rPr>
                <w:b/>
                <w:highlight w:val="yellow"/>
                <w:u w:val="single"/>
              </w:rPr>
              <w:t>ToDo</w:t>
            </w:r>
            <w:proofErr w:type="spellEnd"/>
            <w:r>
              <w:rPr>
                <w:b/>
                <w:highlight w:val="yellow"/>
                <w:u w:val="single"/>
              </w:rPr>
              <w:t>:</w:t>
            </w:r>
            <w:r>
              <w:rPr>
                <w:b/>
                <w:u w:val="single"/>
              </w:rPr>
              <w:t xml:space="preserve"> </w:t>
            </w:r>
          </w:p>
          <w:p>
            <w:pPr>
              <w:pStyle w:val="Liste3"/>
              <w:numPr>
                <w:ilvl w:val="0"/>
                <w:numId w:val="20"/>
              </w:numPr>
            </w:pPr>
            <w:r>
              <w:t>FG36 entwirft eine kurze, knappe Einordnung: Was ist eigentlich der Übergang der Pandemie zur Endemie</w:t>
            </w:r>
          </w:p>
          <w:p>
            <w:pPr>
              <w:pStyle w:val="Liste3"/>
              <w:numPr>
                <w:ilvl w:val="0"/>
                <w:numId w:val="20"/>
              </w:numPr>
            </w:pPr>
            <w:r>
              <w:t>FG36 entwirft in Absprache mit Fr. Leuker einen Vorschlag wie sich die Bevölkerung unserer Vorstellung nach verhalten sollte.</w:t>
            </w:r>
          </w:p>
          <w:p>
            <w:pPr>
              <w:pStyle w:val="Liste3"/>
              <w:numPr>
                <w:ilvl w:val="0"/>
                <w:numId w:val="0"/>
              </w:numPr>
            </w:pPr>
          </w:p>
          <w:p>
            <w:pPr>
              <w:pStyle w:val="Liste1"/>
            </w:pPr>
            <w:r>
              <w:t>Botschaft zur Risikobewertung: Anregung das Thema von unserer Seite aus einzustellen, wenn heute keine Abstimmung mit BMG erfolgen kann.</w:t>
            </w:r>
          </w:p>
          <w:p>
            <w:pPr>
              <w:pStyle w:val="Liste1"/>
              <w:numPr>
                <w:ilvl w:val="0"/>
                <w:numId w:val="0"/>
              </w:numPr>
            </w:pPr>
          </w:p>
          <w:p>
            <w:pPr>
              <w:pStyle w:val="2"/>
            </w:pPr>
            <w:r>
              <w:t>P1</w:t>
            </w:r>
          </w:p>
          <w:p>
            <w:pPr>
              <w:pStyle w:val="Liste1"/>
              <w:rPr>
                <w:i/>
              </w:rPr>
            </w:pPr>
            <w:r>
              <w:t>Bundesgesundheitsblatt zum Thema Risikokommunikation wurde heute getwittert</w:t>
            </w:r>
          </w:p>
          <w:p>
            <w:pPr>
              <w:pStyle w:val="Liste1"/>
              <w:rPr>
                <w:i/>
              </w:rPr>
            </w:pPr>
            <w:r>
              <w:t>Robert-Koch Colloquium wird heute ab 16 Uhr begleitet</w:t>
            </w:r>
            <w:r>
              <w:br/>
            </w:r>
          </w:p>
        </w:tc>
        <w:tc>
          <w:tcPr>
            <w:tcW w:w="1463"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w:t>
            </w:r>
            <w:proofErr w:type="spellStart"/>
            <w:r>
              <w:rPr>
                <w:sz w:val="22"/>
                <w:szCs w:val="22"/>
              </w:rPr>
              <w:t>Rückle</w:t>
            </w:r>
            <w:proofErr w:type="spellEnd"/>
            <w:r>
              <w:rPr>
                <w:sz w:val="22"/>
                <w:szCs w:val="22"/>
              </w:rPr>
              <w:t>)</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(Leuker)</w:t>
            </w:r>
          </w:p>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Isolierungsdauer der Patienten im KH</w:t>
            </w:r>
          </w:p>
          <w:p>
            <w:pPr>
              <w:pStyle w:val="Liste3"/>
            </w:pPr>
            <w:r>
              <w:t>Vorschlag die Dauer für asymptomatische Personen auf 10 Tage zu verkürzen wollte BMG im Paket zuletzt nicht veröffentlicht haben.</w:t>
            </w:r>
          </w:p>
          <w:p>
            <w:pPr>
              <w:pStyle w:val="Liste3"/>
            </w:pPr>
            <w:r>
              <w:t>Bitte des BMG dazugehöriges Papier in der AGI abzustimmen mit Veröffentlichung in der kommenden Woche</w:t>
            </w:r>
          </w:p>
          <w:p>
            <w:pPr>
              <w:pStyle w:val="Liste1"/>
              <w:numPr>
                <w:ilvl w:val="0"/>
                <w:numId w:val="0"/>
              </w:numPr>
              <w:ind w:left="473"/>
            </w:pPr>
          </w:p>
          <w:p>
            <w:pPr>
              <w:pStyle w:val="2"/>
            </w:pPr>
            <w:r>
              <w:t>RKI-intern</w:t>
            </w:r>
          </w:p>
          <w:p>
            <w:pPr>
              <w:pStyle w:val="2"/>
              <w:numPr>
                <w:ilvl w:val="0"/>
                <w:numId w:val="21"/>
              </w:numPr>
              <w:rPr>
                <w:b w:val="0"/>
              </w:rPr>
            </w:pPr>
            <w:r>
              <w:rPr>
                <w:b w:val="0"/>
              </w:rPr>
              <w:t>(nicht berichtet)</w:t>
            </w:r>
          </w:p>
          <w:p>
            <w:pPr>
              <w:pStyle w:val="Liste1"/>
              <w:numPr>
                <w:ilvl w:val="0"/>
                <w:numId w:val="0"/>
              </w:numPr>
              <w:ind w:left="473"/>
            </w:pPr>
            <w:r>
              <w:lastRenderedPageBreak/>
              <w:t xml:space="preserve">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 xml:space="preserve">Anpassung Dokumente zu </w:t>
            </w:r>
            <w:proofErr w:type="spellStart"/>
            <w:r>
              <w:t>Entlassmanagement</w:t>
            </w:r>
            <w:proofErr w:type="spellEnd"/>
            <w:r>
              <w:t xml:space="preserve"> u. a. für Pflege</w:t>
            </w:r>
          </w:p>
          <w:p>
            <w:pPr>
              <w:pStyle w:val="Liste1"/>
            </w:pPr>
            <w:r>
              <w:t>Anpassung CWA im Hinblick auf aktuelle Dokumente zu Isolierung und Quarantäne</w:t>
            </w:r>
          </w:p>
          <w:p>
            <w:pPr>
              <w:pStyle w:val="Liste3"/>
            </w:pPr>
            <w:r>
              <w:t>Entsprechende FG werden in den kommenden Tagen um Anpassung / Prüfung der jeweiligen Dokumente gebeten</w:t>
            </w:r>
          </w:p>
          <w:p>
            <w:pPr>
              <w:pStyle w:val="Liste3"/>
            </w:pPr>
            <w:r>
              <w:t>Ambulantes Management prioritär. Bitte an FG36 / FG37 um zeitnahe Durchsicht</w:t>
            </w:r>
          </w:p>
        </w:tc>
        <w:tc>
          <w:tcPr>
            <w:tcW w:w="1463" w:type="dxa"/>
          </w:tcPr>
          <w:p>
            <w:pPr>
              <w:rPr>
                <w:sz w:val="22"/>
                <w:szCs w:val="22"/>
              </w:rPr>
            </w:pPr>
          </w:p>
          <w:p>
            <w:pPr>
              <w:rPr>
                <w:sz w:val="22"/>
                <w:szCs w:val="22"/>
              </w:rPr>
            </w:pPr>
            <w:r>
              <w:rPr>
                <w:sz w:val="22"/>
                <w:szCs w:val="22"/>
              </w:rPr>
              <w:t>ZBS7</w:t>
            </w:r>
          </w:p>
          <w:p>
            <w:pPr>
              <w:rPr>
                <w:sz w:val="22"/>
                <w:szCs w:val="22"/>
              </w:rPr>
            </w:pPr>
            <w:r>
              <w:rPr>
                <w:sz w:val="22"/>
                <w:szCs w:val="22"/>
              </w:rPr>
              <w:t>(</w:t>
            </w:r>
            <w:proofErr w:type="spellStart"/>
            <w:r>
              <w:rPr>
                <w:sz w:val="22"/>
                <w:szCs w:val="22"/>
              </w:rPr>
              <w:t>Niebank</w:t>
            </w:r>
            <w:proofErr w:type="spellEnd"/>
            <w:r>
              <w:rPr>
                <w:sz w:val="22"/>
                <w:szCs w:val="22"/>
              </w:rPr>
              <w:t>)</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numPr>
                <w:ilvl w:val="0"/>
                <w:numId w:val="6"/>
              </w:numPr>
              <w:spacing w:after="200"/>
              <w:contextualSpacing/>
              <w:rPr>
                <w:b/>
              </w:rPr>
            </w:pPr>
            <w:r>
              <w:t xml:space="preserve">Ergebnisse zur Entwicklung der depressiven Symptomatik bei Erwachsenen (Folien </w:t>
            </w:r>
            <w:hyperlink r:id="rId20" w:history="1">
              <w:r>
                <w:rPr>
                  <w:rStyle w:val="Hyperlink"/>
                </w:rPr>
                <w:t>hier</w:t>
              </w:r>
            </w:hyperlink>
            <w:r>
              <w:t>)</w:t>
            </w:r>
          </w:p>
          <w:p>
            <w:pPr>
              <w:numPr>
                <w:ilvl w:val="1"/>
                <w:numId w:val="6"/>
              </w:numPr>
              <w:contextualSpacing/>
            </w:pPr>
            <w:r>
              <w:t xml:space="preserve">Depressive Symptomatik wurde von April 2019 bis Dezember 2021 beobachtet. </w:t>
            </w:r>
          </w:p>
          <w:p>
            <w:pPr>
              <w:numPr>
                <w:ilvl w:val="1"/>
                <w:numId w:val="6"/>
              </w:numPr>
              <w:contextualSpacing/>
            </w:pPr>
            <w:r>
              <w:lastRenderedPageBreak/>
              <w:t>Daten weisen auf Zunahme der Belastung durch depressive Symptome ab Oktober 2020 und ein anhaltend erhöhtes Belastungsniveau hin.</w:t>
            </w:r>
          </w:p>
          <w:p>
            <w:pPr>
              <w:numPr>
                <w:ilvl w:val="1"/>
                <w:numId w:val="6"/>
              </w:numPr>
              <w:contextualSpacing/>
            </w:pPr>
            <w:r>
              <w:t xml:space="preserve">Zeitgleich scheint auch Bevölkerungsanteil mit einer ausgeprägten, möglicherweise abklärungsbedürftigen depressiven Symptomatik angewachsen zu sein.  </w:t>
            </w:r>
          </w:p>
          <w:p>
            <w:pPr>
              <w:numPr>
                <w:ilvl w:val="1"/>
                <w:numId w:val="6"/>
              </w:numPr>
              <w:contextualSpacing/>
            </w:pPr>
            <w:r>
              <w:t>Angestiegene Belastung zeigt sich vor allem bei Frauen und jungen Erwachsenen (18-29-Jährigen, gefolgt von 30-44-Jährigen).</w:t>
            </w:r>
          </w:p>
          <w:p>
            <w:pPr>
              <w:pStyle w:val="1"/>
            </w:pPr>
            <w:bookmarkStart w:id="1" w:name="_GoBack"/>
            <w:bookmarkEnd w:id="1"/>
          </w:p>
          <w:p>
            <w:pPr>
              <w:pStyle w:val="Liste1"/>
            </w:pPr>
            <w:r>
              <w:t>Nächste Sitzung: Montag, 09.05.2022, 13:00 Uhr, via Webex</w:t>
            </w:r>
            <w:r>
              <w:br/>
            </w:r>
          </w:p>
        </w:tc>
        <w:tc>
          <w:tcPr>
            <w:tcW w:w="1463" w:type="dxa"/>
          </w:tcPr>
          <w:p>
            <w:pPr>
              <w:rPr>
                <w:sz w:val="22"/>
                <w:szCs w:val="22"/>
              </w:rPr>
            </w:pPr>
          </w:p>
          <w:p>
            <w:pPr>
              <w:rPr>
                <w:sz w:val="22"/>
                <w:szCs w:val="22"/>
              </w:rPr>
            </w:pPr>
            <w:r>
              <w:rPr>
                <w:sz w:val="22"/>
                <w:szCs w:val="22"/>
              </w:rPr>
              <w:t>Lena Walther (FG26)</w:t>
            </w:r>
          </w:p>
          <w:p>
            <w:pPr>
              <w:rPr>
                <w:sz w:val="22"/>
                <w:szCs w:val="22"/>
              </w:rPr>
            </w:pPr>
          </w:p>
        </w:tc>
      </w:tr>
    </w:tbl>
    <w:p>
      <w:pPr>
        <w:rPr>
          <w:b/>
        </w:rPr>
      </w:pPr>
    </w:p>
    <w:p>
      <w:pPr>
        <w:rPr>
          <w:b/>
        </w:rPr>
      </w:pPr>
      <w:r>
        <w:rPr>
          <w:b/>
        </w:rPr>
        <w:t>Ende: 12:57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18E"/>
    <w:multiLevelType w:val="hybridMultilevel"/>
    <w:tmpl w:val="4B1013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AB4352"/>
    <w:multiLevelType w:val="hybridMultilevel"/>
    <w:tmpl w:val="35B610C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5C46962"/>
    <w:multiLevelType w:val="hybridMultilevel"/>
    <w:tmpl w:val="208AC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BE693B"/>
    <w:multiLevelType w:val="hybridMultilevel"/>
    <w:tmpl w:val="1548B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AE169C"/>
    <w:multiLevelType w:val="hybridMultilevel"/>
    <w:tmpl w:val="02C0D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9DB0A98"/>
    <w:multiLevelType w:val="hybridMultilevel"/>
    <w:tmpl w:val="2CCC03F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3D3A0A"/>
    <w:multiLevelType w:val="hybridMultilevel"/>
    <w:tmpl w:val="99DC33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FB0810"/>
    <w:multiLevelType w:val="hybridMultilevel"/>
    <w:tmpl w:val="F40C22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BF61C2"/>
    <w:multiLevelType w:val="hybridMultilevel"/>
    <w:tmpl w:val="A9780B8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91B1E24"/>
    <w:multiLevelType w:val="hybridMultilevel"/>
    <w:tmpl w:val="3692E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AD2720"/>
    <w:multiLevelType w:val="hybridMultilevel"/>
    <w:tmpl w:val="D23270D2"/>
    <w:lvl w:ilvl="0" w:tplc="EF7CF08C">
      <w:start w:val="13"/>
      <w:numFmt w:val="bullet"/>
      <w:lvlText w:val="-"/>
      <w:lvlJc w:val="left"/>
      <w:pPr>
        <w:ind w:left="1193" w:hanging="360"/>
      </w:pPr>
      <w:rPr>
        <w:rFonts w:ascii="Cambria" w:eastAsiaTheme="minorHAnsi" w:hAnsi="Cambria" w:cstheme="minorBidi"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9" w15:restartNumberingAfterBreak="0">
    <w:nsid w:val="6A690B55"/>
    <w:multiLevelType w:val="hybridMultilevel"/>
    <w:tmpl w:val="CF6E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D07176"/>
    <w:multiLevelType w:val="hybridMultilevel"/>
    <w:tmpl w:val="31002DC0"/>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7BB75E02"/>
    <w:multiLevelType w:val="hybridMultilevel"/>
    <w:tmpl w:val="7602B956"/>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3"/>
  </w:num>
  <w:num w:numId="5">
    <w:abstractNumId w:val="5"/>
  </w:num>
  <w:num w:numId="6">
    <w:abstractNumId w:val="10"/>
  </w:num>
  <w:num w:numId="7">
    <w:abstractNumId w:val="20"/>
  </w:num>
  <w:num w:numId="8">
    <w:abstractNumId w:val="4"/>
  </w:num>
  <w:num w:numId="9">
    <w:abstractNumId w:val="11"/>
  </w:num>
  <w:num w:numId="10">
    <w:abstractNumId w:val="15"/>
  </w:num>
  <w:num w:numId="11">
    <w:abstractNumId w:val="8"/>
  </w:num>
  <w:num w:numId="12">
    <w:abstractNumId w:val="0"/>
  </w:num>
  <w:num w:numId="13">
    <w:abstractNumId w:val="21"/>
  </w:num>
  <w:num w:numId="14">
    <w:abstractNumId w:val="12"/>
  </w:num>
  <w:num w:numId="15">
    <w:abstractNumId w:val="16"/>
  </w:num>
  <w:num w:numId="16">
    <w:abstractNumId w:val="3"/>
  </w:num>
  <w:num w:numId="17">
    <w:abstractNumId w:val="9"/>
  </w:num>
  <w:num w:numId="18">
    <w:abstractNumId w:val="14"/>
  </w:num>
  <w:num w:numId="19">
    <w:abstractNumId w:val="17"/>
  </w:num>
  <w:num w:numId="20">
    <w:abstractNumId w:val="18"/>
  </w:num>
  <w:num w:numId="21">
    <w:abstractNumId w:val="6"/>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8"/>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9"/>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8"/>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71484279">
      <w:bodyDiv w:val="1"/>
      <w:marLeft w:val="0"/>
      <w:marRight w:val="0"/>
      <w:marTop w:val="0"/>
      <w:marBottom w:val="0"/>
      <w:divBdr>
        <w:top w:val="none" w:sz="0" w:space="0" w:color="auto"/>
        <w:left w:val="none" w:sz="0" w:space="0" w:color="auto"/>
        <w:bottom w:val="none" w:sz="0" w:space="0" w:color="auto"/>
        <w:right w:val="none" w:sz="0" w:space="0" w:color="auto"/>
      </w:divBdr>
      <w:divsChild>
        <w:div w:id="1515682948">
          <w:marLeft w:val="274"/>
          <w:marRight w:val="0"/>
          <w:marTop w:val="0"/>
          <w:marBottom w:val="0"/>
          <w:divBdr>
            <w:top w:val="none" w:sz="0" w:space="0" w:color="auto"/>
            <w:left w:val="none" w:sz="0" w:space="0" w:color="auto"/>
            <w:bottom w:val="none" w:sz="0" w:space="0" w:color="auto"/>
            <w:right w:val="none" w:sz="0" w:space="0" w:color="auto"/>
          </w:divBdr>
        </w:div>
        <w:div w:id="1919905483">
          <w:marLeft w:val="274"/>
          <w:marRight w:val="0"/>
          <w:marTop w:val="0"/>
          <w:marBottom w:val="0"/>
          <w:divBdr>
            <w:top w:val="none" w:sz="0" w:space="0" w:color="auto"/>
            <w:left w:val="none" w:sz="0" w:space="0" w:color="auto"/>
            <w:bottom w:val="none" w:sz="0" w:space="0" w:color="auto"/>
            <w:right w:val="none" w:sz="0" w:space="0" w:color="auto"/>
          </w:divBdr>
        </w:div>
        <w:div w:id="172064731">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60181084">
      <w:bodyDiv w:val="1"/>
      <w:marLeft w:val="0"/>
      <w:marRight w:val="0"/>
      <w:marTop w:val="0"/>
      <w:marBottom w:val="0"/>
      <w:divBdr>
        <w:top w:val="none" w:sz="0" w:space="0" w:color="auto"/>
        <w:left w:val="none" w:sz="0" w:space="0" w:color="auto"/>
        <w:bottom w:val="none" w:sz="0" w:space="0" w:color="auto"/>
        <w:right w:val="none" w:sz="0" w:space="0" w:color="auto"/>
      </w:divBdr>
      <w:divsChild>
        <w:div w:id="1844933579">
          <w:marLeft w:val="274"/>
          <w:marRight w:val="0"/>
          <w:marTop w:val="0"/>
          <w:marBottom w:val="0"/>
          <w:divBdr>
            <w:top w:val="none" w:sz="0" w:space="0" w:color="auto"/>
            <w:left w:val="none" w:sz="0" w:space="0" w:color="auto"/>
            <w:bottom w:val="none" w:sz="0" w:space="0" w:color="auto"/>
            <w:right w:val="none" w:sz="0" w:space="0" w:color="auto"/>
          </w:divBdr>
        </w:div>
        <w:div w:id="1461067268">
          <w:marLeft w:val="274"/>
          <w:marRight w:val="0"/>
          <w:marTop w:val="0"/>
          <w:marBottom w:val="0"/>
          <w:divBdr>
            <w:top w:val="none" w:sz="0" w:space="0" w:color="auto"/>
            <w:left w:val="none" w:sz="0" w:space="0" w:color="auto"/>
            <w:bottom w:val="none" w:sz="0" w:space="0" w:color="auto"/>
            <w:right w:val="none" w:sz="0" w:space="0" w:color="auto"/>
          </w:divBdr>
        </w:div>
        <w:div w:id="82846276">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2-05-04_Lage-AG\Testzahlerfassung%20am%20RKI_2022_05-04.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2-05-04_Lage-AG\Testzahlerfassung%20am%20RKI_2022_05-04.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5-04_Lage-AG\syndrom-ARE-SARI-COVID_bis_KW17_2022_f&#252;r-Krisenstab.pptx" TargetMode="External"/><Relationship Id="rId20" Type="http://schemas.openxmlformats.org/officeDocument/2006/relationships/hyperlink" Target="file:///S:\Wissdaten\RKI_nCoV-Lage\1.Lagemanagement\1.3.Besprechungen_TKs\1.Lage_AG\2022-05-04_Lage-AG\20220504_Depressive%20Symptomati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5-04_Lage-AG\2022-05-04_Intensivregister_SPoCK.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2-05-04_Lage-AG\2022-05_04_LageAG-VOC.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5-04_Lage-AG\LageNational_2022-05-04.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2DE82-00FD-40EC-AD87-89F8F8BE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1961</Words>
  <Characters>12355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Walther, Lena</cp:lastModifiedBy>
  <cp:revision>381</cp:revision>
  <cp:lastPrinted>2020-05-06T16:43:00Z</cp:lastPrinted>
  <dcterms:created xsi:type="dcterms:W3CDTF">2022-03-03T09:26:00Z</dcterms:created>
  <dcterms:modified xsi:type="dcterms:W3CDTF">2022-05-05T13:24:00Z</dcterms:modified>
</cp:coreProperties>
</file>