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18.05.2022,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Ute Rexroth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Lars </w:t>
      </w:r>
      <w:proofErr w:type="spellStart"/>
      <w:r>
        <w:rPr>
          <w:sz w:val="22"/>
          <w:szCs w:val="22"/>
        </w:rPr>
        <w:t>Schaade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Michael Bosnjak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</w:t>
      </w:r>
      <w:proofErr w:type="spellStart"/>
      <w:r>
        <w:rPr>
          <w:sz w:val="22"/>
          <w:szCs w:val="22"/>
        </w:rPr>
        <w:t>Sendzik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Ralf </w:t>
      </w:r>
      <w:proofErr w:type="spellStart"/>
      <w:r>
        <w:rPr>
          <w:sz w:val="22"/>
          <w:szCs w:val="22"/>
        </w:rPr>
        <w:t>Dürrwald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Patrick Schmich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Wittke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Frank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Muna</w:t>
      </w:r>
      <w:proofErr w:type="spellEnd"/>
      <w:r>
        <w:rPr>
          <w:sz w:val="22"/>
          <w:szCs w:val="22"/>
        </w:rPr>
        <w:t xml:space="preserve"> Abu Sin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MF2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Maud </w:t>
      </w:r>
      <w:proofErr w:type="spellStart"/>
      <w:r>
        <w:rPr>
          <w:sz w:val="22"/>
          <w:szCs w:val="22"/>
        </w:rPr>
        <w:t>Hennequin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Mikheil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Popkhadze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 xml:space="preserve">Sofie </w:t>
      </w:r>
      <w:proofErr w:type="spellStart"/>
      <w:r>
        <w:rPr>
          <w:rStyle w:val="highlight"/>
          <w:sz w:val="22"/>
          <w:szCs w:val="22"/>
        </w:rPr>
        <w:t>Gillesberg</w:t>
      </w:r>
      <w:proofErr w:type="spellEnd"/>
      <w:r>
        <w:rPr>
          <w:rStyle w:val="highlight"/>
          <w:sz w:val="22"/>
          <w:szCs w:val="22"/>
        </w:rPr>
        <w:t xml:space="preserve"> Raiser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Andrea </w:t>
      </w:r>
      <w:proofErr w:type="spellStart"/>
      <w:r>
        <w:rPr>
          <w:color w:val="000000" w:themeColor="text1"/>
          <w:sz w:val="22"/>
          <w:szCs w:val="22"/>
        </w:rPr>
        <w:t>Rückle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Michaela </w:t>
      </w:r>
      <w:proofErr w:type="spellStart"/>
      <w:r>
        <w:rPr>
          <w:sz w:val="22"/>
          <w:szCs w:val="22"/>
        </w:rPr>
        <w:t>Niebank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b/>
                <w:bCs/>
                <w:i/>
                <w:color w:val="D99594" w:themeColor="accent2" w:themeTint="99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17.05.2022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Fälle: 519.729.804 (-0,6% im Vergleich zu Vorwoche)</w:t>
            </w:r>
          </w:p>
          <w:p>
            <w:pPr>
              <w:pStyle w:val="Liste2"/>
            </w:pPr>
            <w:proofErr w:type="spellStart"/>
            <w:r>
              <w:t>Todesfälle</w:t>
            </w:r>
            <w:proofErr w:type="spellEnd"/>
            <w:r>
              <w:t>: 6.268.281 (CFR: 1,2%)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Liste Top 10 Länder nach neuen Fällen: </w:t>
            </w:r>
          </w:p>
          <w:p>
            <w:pPr>
              <w:pStyle w:val="Liste3"/>
              <w:numPr>
                <w:ilvl w:val="1"/>
                <w:numId w:val="7"/>
              </w:numPr>
            </w:pPr>
            <w:r>
              <w:t>Top 10 Länder: USA. China, Deutschland, Australien, Japan, Italien, Südkorea, Frankreich, Portugal, Brasilien</w:t>
            </w:r>
          </w:p>
          <w:p>
            <w:pPr>
              <w:pStyle w:val="Liste3"/>
              <w:numPr>
                <w:ilvl w:val="1"/>
                <w:numId w:val="7"/>
              </w:numPr>
            </w:pPr>
            <w:r>
              <w:t>Aufsteigender Trend: China (um 74%), Portugal (58%), USA, Japan, Brasilien</w:t>
            </w:r>
          </w:p>
          <w:p>
            <w:pPr>
              <w:pStyle w:val="Liste3"/>
              <w:numPr>
                <w:ilvl w:val="1"/>
                <w:numId w:val="7"/>
              </w:numPr>
            </w:pPr>
            <w:r>
              <w:t>In Europa insgesamt fallender Trend</w:t>
            </w:r>
          </w:p>
          <w:p>
            <w:pPr>
              <w:pStyle w:val="Liste2"/>
            </w:pPr>
            <w:r>
              <w:t>WHO epidemiological update</w:t>
            </w:r>
          </w:p>
          <w:p>
            <w:pPr>
              <w:pStyle w:val="Liste3"/>
              <w:numPr>
                <w:ilvl w:val="1"/>
                <w:numId w:val="7"/>
              </w:numPr>
            </w:pPr>
            <w:r>
              <w:t xml:space="preserve">CAVE vielerorts geänderte Teststrategien insbesondere in Europa (z.B. Spanien, Dänemark, England testen nur Risikogruppen, Personen die Behandlung im KH benötigen und Personen die mit RG arbeiten; Österreich hat den Anzahl PCR pro </w:t>
            </w:r>
            <w:proofErr w:type="spellStart"/>
            <w:proofErr w:type="gramStart"/>
            <w:r>
              <w:t>Einwohner:innen</w:t>
            </w:r>
            <w:proofErr w:type="spellEnd"/>
            <w:proofErr w:type="gramEnd"/>
            <w:r>
              <w:t xml:space="preserve"> reduziert)</w:t>
            </w:r>
          </w:p>
          <w:p>
            <w:pPr>
              <w:pStyle w:val="Liste3"/>
              <w:numPr>
                <w:ilvl w:val="1"/>
                <w:numId w:val="7"/>
              </w:numPr>
            </w:pPr>
            <w:r>
              <w:t>Kleiner Anstieg der Fallzahlen in Amerika und West-Pazifik; Todesfälle insgesamt weiterhin mit absteigendem Trend</w:t>
            </w:r>
          </w:p>
          <w:p>
            <w:pPr>
              <w:pStyle w:val="Liste3"/>
              <w:numPr>
                <w:ilvl w:val="1"/>
                <w:numId w:val="7"/>
              </w:numPr>
            </w:pPr>
            <w:r>
              <w:t xml:space="preserve">Steigende 7-T-Inzidenz pro 100.000 </w:t>
            </w:r>
            <w:proofErr w:type="spellStart"/>
            <w:r>
              <w:t>Einw</w:t>
            </w:r>
            <w:proofErr w:type="spellEnd"/>
            <w:r>
              <w:t>. in Mittel- und Südamerika insbesondere durch BA.2 und BA2.12.1</w:t>
            </w:r>
          </w:p>
          <w:p>
            <w:pPr>
              <w:pStyle w:val="Liste3"/>
              <w:numPr>
                <w:ilvl w:val="1"/>
                <w:numId w:val="7"/>
              </w:numPr>
            </w:pPr>
            <w:r>
              <w:t>Rückgang der Fallzahlen in Südafrika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Karte mit 7-Tage-Inzidenz pro 100.000 Einwohner in Europa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Fallzahlen insgesamt rückläufig in Europa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Auffälliger Anstieg jedoch in Portugal</w:t>
            </w:r>
          </w:p>
          <w:p>
            <w:pPr>
              <w:pStyle w:val="Liste2"/>
            </w:pPr>
            <w:proofErr w:type="spellStart"/>
            <w:r>
              <w:t>Länderfokus</w:t>
            </w:r>
            <w:proofErr w:type="spellEnd"/>
            <w:r>
              <w:t>: Portugal</w:t>
            </w:r>
          </w:p>
          <w:p>
            <w:pPr>
              <w:pStyle w:val="Liste2"/>
              <w:numPr>
                <w:ilvl w:val="1"/>
                <w:numId w:val="7"/>
              </w:numPr>
            </w:pPr>
            <w:proofErr w:type="spellStart"/>
            <w:r>
              <w:t>Fallzahlsteigerung</w:t>
            </w:r>
            <w:proofErr w:type="spellEnd"/>
            <w:r>
              <w:t xml:space="preserve"> </w:t>
            </w:r>
            <w:proofErr w:type="spellStart"/>
            <w:r>
              <w:t>seit</w:t>
            </w:r>
            <w:proofErr w:type="spellEnd"/>
            <w:r>
              <w:t xml:space="preserve"> </w:t>
            </w:r>
            <w:proofErr w:type="spellStart"/>
            <w:r>
              <w:t>Anfang</w:t>
            </w:r>
            <w:proofErr w:type="spellEnd"/>
            <w:r>
              <w:t xml:space="preserve"> Mai 2022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proofErr w:type="spellStart"/>
            <w:r>
              <w:rPr>
                <w:lang w:val="de-DE"/>
              </w:rPr>
              <w:t>Positivenrate</w:t>
            </w:r>
            <w:proofErr w:type="spellEnd"/>
            <w:r>
              <w:rPr>
                <w:lang w:val="de-DE"/>
              </w:rPr>
              <w:t xml:space="preserve"> gestiegen auf 38% (Vorwoche: 24%)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Bisher keine Steigerung der Covid-19 Krankenhausbelegung, ITS oder Todesfälle erkennbar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BA.5 dominant, geschätzt bei 64% (15.05.22)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BA.5 Schätzung für den 22.05.22: 80%</w:t>
            </w:r>
          </w:p>
          <w:p>
            <w:pPr>
              <w:pStyle w:val="Liste2"/>
            </w:pPr>
            <w:proofErr w:type="spellStart"/>
            <w:r>
              <w:t>Erster</w:t>
            </w:r>
            <w:proofErr w:type="spellEnd"/>
            <w:r>
              <w:t xml:space="preserve"> </w:t>
            </w:r>
            <w:proofErr w:type="spellStart"/>
            <w:r>
              <w:t>gemeldeter</w:t>
            </w:r>
            <w:proofErr w:type="spellEnd"/>
            <w:r>
              <w:t xml:space="preserve"> Fall in </w:t>
            </w:r>
            <w:proofErr w:type="spellStart"/>
            <w:r>
              <w:t>Nordkorea</w:t>
            </w:r>
            <w:proofErr w:type="spellEnd"/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660.000 Personen in Behandlung sowie 56 Todesfälle gemeldet (allerdings als unspezifische Fiebererkrankung deklariert, unklar wie viele Fälle davon COVID)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Lockdown in Nordkorea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 xml:space="preserve">Fallzahlen, Todesfälle, Trend, Folien </w:t>
            </w:r>
            <w:hyperlink r:id="rId15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1"/>
              <w:numPr>
                <w:ilvl w:val="0"/>
                <w:numId w:val="8"/>
              </w:numPr>
            </w:pPr>
            <w:proofErr w:type="spellStart"/>
            <w:r>
              <w:t>SurvNet</w:t>
            </w:r>
            <w:proofErr w:type="spellEnd"/>
            <w:r>
              <w:t xml:space="preserve"> übermittelt: 25.890.456 (+72.051), davon 137.888 (+174) Todesfälle 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lastRenderedPageBreak/>
              <w:t xml:space="preserve">7-Tage-Inzidenz:  407,4 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1"/>
              <w:numPr>
                <w:ilvl w:val="0"/>
                <w:numId w:val="8"/>
              </w:numPr>
            </w:pPr>
            <w:proofErr w:type="spellStart"/>
            <w:r>
              <w:t>Impfmonitoring</w:t>
            </w:r>
            <w:proofErr w:type="spellEnd"/>
            <w:r>
              <w:t>: Geimpfte mit 1. Dosis 64.526.055 (77,6%), mit vollständiger Impfung (75.8%)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Weiterhin insgesamt Rückgang der Fallzahlen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Verlauf der 7-Tage-Inzidenz der Bundesländer: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 xml:space="preserve">Rückläufiger, kontinuierlicher Trend weiterhin in fast allen Bundesländern 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>Seitwärtstrend in BE</w:t>
            </w:r>
          </w:p>
          <w:p>
            <w:pPr>
              <w:pStyle w:val="Liste3"/>
              <w:numPr>
                <w:ilvl w:val="1"/>
                <w:numId w:val="8"/>
              </w:numPr>
            </w:pPr>
            <w:r>
              <w:t>Rücklauftrend in allen Bundesländern deutlich zu sehen. Geringste 7-Tage-Inzidenzen in TH, SA, BB.</w:t>
            </w:r>
          </w:p>
          <w:p>
            <w:pPr>
              <w:pStyle w:val="Liste3"/>
              <w:numPr>
                <w:ilvl w:val="0"/>
                <w:numId w:val="17"/>
              </w:numPr>
            </w:pPr>
            <w:r>
              <w:t>Geografische Verteilung 7-Tage-Inzidenz nach Landkreis</w:t>
            </w:r>
          </w:p>
          <w:p>
            <w:pPr>
              <w:pStyle w:val="Liste3"/>
              <w:numPr>
                <w:ilvl w:val="1"/>
                <w:numId w:val="17"/>
              </w:numPr>
            </w:pPr>
            <w:r>
              <w:t>Geringste 7-T-Inzidenzen vor allem in den östlichen BL</w:t>
            </w:r>
          </w:p>
          <w:p>
            <w:pPr>
              <w:pStyle w:val="Liste3"/>
              <w:numPr>
                <w:ilvl w:val="1"/>
                <w:numId w:val="17"/>
              </w:numPr>
            </w:pPr>
            <w:r>
              <w:t>Höchste 7-T-Inzidenzen in den nördlichen BL: NI, SH</w:t>
            </w:r>
          </w:p>
          <w:p>
            <w:pPr>
              <w:pStyle w:val="Liste3"/>
              <w:numPr>
                <w:ilvl w:val="1"/>
                <w:numId w:val="17"/>
              </w:numPr>
            </w:pPr>
            <w:r>
              <w:t>62 LK mit 7-T-Inzidenz &lt; 250</w:t>
            </w:r>
          </w:p>
          <w:p>
            <w:pPr>
              <w:pStyle w:val="Liste3"/>
              <w:numPr>
                <w:ilvl w:val="1"/>
                <w:numId w:val="17"/>
              </w:numPr>
            </w:pPr>
            <w:r>
              <w:t>241 LK mit 7-T-Inzidenz zwischen 250 – 500.</w:t>
            </w:r>
          </w:p>
          <w:p>
            <w:pPr>
              <w:pStyle w:val="Liste3"/>
              <w:numPr>
                <w:ilvl w:val="1"/>
                <w:numId w:val="17"/>
              </w:numPr>
            </w:pPr>
            <w:r>
              <w:t xml:space="preserve">1.000. Stärkster betroffener Landkreis ist LK Kassel mit einer 7-Tage-Inzidenz von 1.204,2 / 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7-Tage-Inzidenz nach Altersgruppen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>Deutlicher Rückgang insgesamt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>Rückgang in allen AG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>Geringste Inzidenzen bei AG 75-79, 80 – 84 und 0-4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>Höchste Inzidenzen bei Schulkindern und jungen Erwachsenen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COVID-19-Fälle nach Altersgruppe und Sterbedatum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>Rückläufiger Trend bei Anzahl der Todesfälle nach Sterbedatum.</w:t>
            </w:r>
          </w:p>
          <w:p>
            <w:pPr>
              <w:pStyle w:val="Liste1"/>
              <w:numPr>
                <w:ilvl w:val="0"/>
                <w:numId w:val="8"/>
              </w:numPr>
            </w:pPr>
            <w:r>
              <w:t>Wöchentliche Sterbefallzahlen in Deutschland</w:t>
            </w:r>
          </w:p>
          <w:p>
            <w:pPr>
              <w:pStyle w:val="Liste1"/>
              <w:numPr>
                <w:ilvl w:val="1"/>
                <w:numId w:val="8"/>
              </w:numPr>
            </w:pPr>
            <w:r>
              <w:t>Destatis-Zahlen bestätigen keine Beobachtung von Übersterblichkeit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lang w:val="de-DE"/>
              </w:rPr>
            </w:pPr>
          </w:p>
          <w:p>
            <w:pPr>
              <w:pStyle w:val="Liste3"/>
              <w:ind w:left="833"/>
            </w:pP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ITS-Belegung und Spock</w:t>
            </w:r>
            <w:r>
              <w:rPr>
                <w:rFonts w:ascii="Cambria" w:hAnsi="Cambria"/>
              </w:rPr>
              <w:t xml:space="preserve"> (Folien</w:t>
            </w:r>
            <w:r>
              <w:t xml:space="preserve">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rPr>
                <w:rFonts w:ascii="Cambria" w:hAnsi="Cambria"/>
              </w:rPr>
              <w:t>)</w:t>
            </w:r>
          </w:p>
          <w:p>
            <w:pPr>
              <w:pStyle w:val="Listenabsatz"/>
              <w:numPr>
                <w:ilvl w:val="1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DIVI-Intensivregister 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Mit Stand 18.05.2022 werden 932 COVID-19-PatientInnen auf Intensivstationen der ca. 1300 Akutkrankenhäuser behandelt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Rückgang in der COVID-ITS-Belegung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ITS-COVID-Neuaufnahmen mit +727 in den letzten 7 Tagen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Abnahme in den Neuaufnahmen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Todeszahlen weiterhin auf hohem Niveau</w:t>
            </w:r>
          </w:p>
          <w:p>
            <w:pPr>
              <w:pStyle w:val="Listenabsatz"/>
              <w:numPr>
                <w:ilvl w:val="1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Anteil der COVID-19-Patient*innen an der Gesamtzahl betreibbarer ITS-Betten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Durchgehender Rückgang in allen Bundesländern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Rückgang in BE langsamer als in anderen nord-östlichen BL; MV mit Seitwärtsbewegung</w:t>
            </w:r>
          </w:p>
          <w:p>
            <w:pPr>
              <w:pStyle w:val="Listenabsatz"/>
              <w:numPr>
                <w:ilvl w:val="1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Behandlungsbelegung COVID-19 nach Schweregrad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Rückgang in allen Behandlungsgruppen. Nur noch sehr wenige ECMO-Patienten.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Seitwärtsbewegung bei sehr schweren Fällen (ECMO + mit invasiver Beatmung)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Einschätzung Betriebssituation nach Uni-/Maximalversorger und Grund-/Regelversorger:</w:t>
            </w:r>
          </w:p>
          <w:p>
            <w:pPr>
              <w:pStyle w:val="Listenabsatz"/>
              <w:numPr>
                <w:ilvl w:val="3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Uni-/Maximalversorger mit hoher Anzahl Kliniken mit gewissen Einschränkungen z.B. aufgrund von Personalmangel</w:t>
            </w:r>
          </w:p>
          <w:p>
            <w:pPr>
              <w:pStyle w:val="Listenabsatz"/>
              <w:numPr>
                <w:ilvl w:val="3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Grund-/Regelversorger optimistischeres Bild da weniger schwerwiegende Fälle</w:t>
            </w:r>
          </w:p>
          <w:p>
            <w:pPr>
              <w:pStyle w:val="Listenabsatz"/>
              <w:numPr>
                <w:ilvl w:val="1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Altersgruppen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 allen AG Rückgang, Trend nach unten setzt sich fort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Leichter Anstieg in absoluten Anzahlen bei AG 80+ und 0-17.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Prozentual dominierend AG 60+</w:t>
            </w:r>
          </w:p>
          <w:p>
            <w:pPr>
              <w:pStyle w:val="Listenabsatz"/>
              <w:numPr>
                <w:ilvl w:val="2"/>
                <w:numId w:val="8"/>
              </w:numPr>
              <w:spacing w:after="20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SPoCK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: Trend Rückgang setzt sich prognostisch in allen 5 Kleeblättern fort, allerdings mit weniger starken Abfall; Reduktion wird flacher. 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</w:rPr>
              <w:t>Syndromische</w:t>
            </w:r>
            <w:proofErr w:type="spellEnd"/>
            <w:r>
              <w:rPr>
                <w:rFonts w:ascii="Cambria" w:hAnsi="Cambria"/>
                <w:b/>
              </w:rPr>
              <w:t xml:space="preserve"> Surveillance</w:t>
            </w:r>
            <w:r>
              <w:rPr>
                <w:rStyle w:val="TagMiZchn"/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(Folien</w:t>
            </w:r>
            <w:r>
              <w:t xml:space="preserve">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  <w:r>
              <w:rPr>
                <w:rFonts w:ascii="Cambria" w:hAnsi="Cambria"/>
              </w:rPr>
              <w:t>)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ARE-Rate in KW19 leicht gestiegen auf 4,8 % (Vorwoche 4,4 %) liegt insgesamt noch im vorpandemischen Bereich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Gesamtwert 19. KW bei 4.800 ARE pro 100.000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Einw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. (Vorwoche: 4.400)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Bei Kindern minimal gesunken (von 11,4 % auf 11,0 %), bei den Erwachsenen leicht gestiegen (von 3,3 % auf 3,8 %)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 AGs: Anstieg bei 5-59J. (bei den 5-14 J. ARE-Rate=10,5 % à über 10% letztmalig in 11/2020 (Grippewelle)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ILI gesamt relativ stabil im Vergleich zur Vorwoche (von 1,2 % auf 1,3 %)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ARE-Konsultationen/100.000 Einwohnenden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19. KW: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KonsInz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insgesamt leicht gestiegen auf 1.075 (Vorwoche: 1214)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Knapp 1.100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Artzkonsultationen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wegen ARE pro 100.00 EW (= ca. 0,9 Mio. Arztbesuche wegen ARE in Deutschland)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KonsInz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(gesamt) liegt deutlich höher als in den letzten beiden Jahren (Pandemiejahre), aber auch höher als in allen anderen Vorsaisons zu dieser Zeit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Rückgang / stabil in allen AGs (stärkster Rückgang bei 35-59J./60J.+ mit 17 %)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KI liegt in allen AGs über den Werten der letzten 2 Jahre (Pandemie); Im Vergleich zu den anderen Vorjahren: KI liegt in fast allen AGs mit Ausnahme der Kleinkinder (0-4J.) über den Werten vor der Pandemie zur 19. KW</w:t>
            </w:r>
          </w:p>
          <w:p>
            <w:pPr>
              <w:pStyle w:val="Listenabsatz"/>
              <w:ind w:left="1440"/>
              <w:rPr>
                <w:rFonts w:ascii="Cambria" w:hAnsi="Cambria"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ARE-Konsultationen mit COVID-Diagnose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Seit KW 12/2022 wird insgesamt ein Rückgang der Arztkonsultationen wegen COVID-ARE verzeichnet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 KW 19/2022 sind die Werte bei den 60- bis 79-Jährigen stagniert und bei den über 80-Jährigen angestiegen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 allen anderen AG sind die Werte gesunken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ICOSARI-KH-Surveillance-SARI-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Inzidenz</w:t>
            </w:r>
            <w:proofErr w:type="spellEnd"/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SARI-Fallzahlen sind seit KW 14 insgesamt gesunken, zuvor seit dem Jahreswechsel 2021/2022 weitgehend stabil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Aktuell auf Sommerniveau, dürfte sich hier stabilisieren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SARI-ICU-Fallzahlen ebenfalls auf Sommerniveau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KH-Surveillance –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Anteil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COVID-19 an SARI-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Fällen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Anteil COVID-19 an SARI 20% (Vorwoche: 27%) </w:t>
            </w:r>
            <w:r>
              <w:rPr>
                <w:rFonts w:ascii="Cambria" w:hAnsi="Cambria"/>
                <w:sz w:val="22"/>
                <w:szCs w:val="22"/>
              </w:rPr>
              <w:sym w:font="Wingdings" w:char="F0E0"/>
            </w:r>
            <w:r>
              <w:rPr>
                <w:rFonts w:ascii="Cambria" w:hAnsi="Cambria"/>
                <w:sz w:val="22"/>
                <w:szCs w:val="22"/>
              </w:rPr>
              <w:t xml:space="preserve"> max. 79% in KW 52/2020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Anteil Influenza an SARI 2-7% seit KW13/2022 </w:t>
            </w:r>
            <w:r>
              <w:rPr>
                <w:rFonts w:ascii="Cambria" w:hAnsi="Cambria"/>
                <w:sz w:val="22"/>
                <w:szCs w:val="22"/>
              </w:rPr>
              <w:sym w:font="Wingdings" w:char="F0E0"/>
            </w:r>
            <w:r>
              <w:rPr>
                <w:rFonts w:ascii="Cambria" w:hAnsi="Cambria"/>
                <w:sz w:val="22"/>
                <w:szCs w:val="22"/>
              </w:rPr>
              <w:t xml:space="preserve"> max. 30% in den Peaks 2018-2020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ICOSARI-KH-Surveillance – SARI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Fälle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(J09-J22):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SARI-Fallzahlen in allen Altersgruppen auf Sommerniveau, seit KW 13/2022 steigender Anteil Influenza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 den AG ab 35 Jahre: um die 25-35% COVID-19-Diagnosen bei SARI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Hospitalisierungsinzidenz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COVID-SARI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Insgesamt 2,1 COVID-SARI pro 100.000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Einw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., das entspricht ca. 1.700 Krankenhausaufnahmen aufgrund COVID-SARI in D.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Deutlicher Rückgang in KW19 insgesamt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AG 80+ in KW 19/2022: 15/100T, ebenfalls Rückgang; leicht unter Niveau Jahreswechsel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Entwicklung COVID-SARI 9.KW bis 19. KW 2022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COVID-SARI-Fälle und COVID-SARI mit Intensivbehandlung: kein weiterer Rückgang, Stabilisierung bzw. leichter Anstieg in AG 5-34</w:t>
            </w:r>
          </w:p>
          <w:p>
            <w:pPr>
              <w:pStyle w:val="Liste3"/>
            </w:pP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Virologische Surveillance</w:t>
            </w:r>
            <w:r>
              <w:rPr>
                <w:rFonts w:ascii="Cambria" w:hAnsi="Cambria"/>
              </w:rPr>
              <w:t xml:space="preserve">, NRZ Influenza-Daten 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131 Eisendungen in KW19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KW19 SARS-CoV-2 </w:t>
            </w:r>
            <w:proofErr w:type="spellStart"/>
            <w:r>
              <w:rPr>
                <w:rFonts w:ascii="Cambria" w:hAnsi="Cambria"/>
              </w:rPr>
              <w:t>Positivenrate</w:t>
            </w:r>
            <w:proofErr w:type="spellEnd"/>
            <w:r>
              <w:rPr>
                <w:rFonts w:ascii="Cambria" w:hAnsi="Cambria"/>
              </w:rPr>
              <w:t xml:space="preserve"> von 13,7%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Andere endemische Coronaviren nur sporadisch nachgewiesen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Omikronspezifische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PCR hat BA.2 zu 100% nachgewiesen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Nachweis am stärksten in AG der 5-15-Jährigen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Deutlicher Anstieg der Influenza-Aktivität erkennbar: Dominiert von H3N2-Viren. Ein H1N1-Fall nachgewiesen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Sequenzierung eines Falls mit abweichendem </w:t>
            </w:r>
            <w:proofErr w:type="spellStart"/>
            <w:r>
              <w:rPr>
                <w:rFonts w:ascii="Cambria" w:hAnsi="Cambria"/>
              </w:rPr>
              <w:t>Variantvirus</w:t>
            </w:r>
            <w:proofErr w:type="spellEnd"/>
            <w:r>
              <w:rPr>
                <w:rFonts w:ascii="Cambria" w:hAnsi="Cambria"/>
              </w:rPr>
              <w:t xml:space="preserve"> konnte abgeschlossen werden. Ergebnis der Sequenzanalyse zeigte ein C22 Schweineinfluenza-Virus. Der Fall wurde der WHO gemeldet. Landesstelle führt Kontaktverfolgung durch.</w:t>
            </w: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Minimaler Anstieg bei PIV. Alle anderen Viren (HRV, HMPV, RSV) sind derzeit zu vernachlässigen.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Liste1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Style w:val="3Zchn"/>
                <w:rFonts w:ascii="Cambria" w:hAnsi="Cambria"/>
              </w:rPr>
              <w:t xml:space="preserve">Testkapazität und Testungen </w:t>
            </w:r>
            <w:r>
              <w:rPr>
                <w:rStyle w:val="3Zchn"/>
                <w:rFonts w:ascii="Cambria" w:hAnsi="Cambria"/>
                <w:b w:val="0"/>
              </w:rPr>
              <w:t xml:space="preserve">(Folien </w:t>
            </w:r>
            <w:hyperlink r:id="rId18" w:history="1">
              <w:r>
                <w:rPr>
                  <w:rStyle w:val="Hyperlink"/>
                  <w:rFonts w:ascii="Cambria" w:hAnsi="Cambria"/>
                </w:rPr>
                <w:t>hier</w:t>
              </w:r>
            </w:hyperlink>
            <w:r>
              <w:rPr>
                <w:rStyle w:val="3Zchn"/>
                <w:rFonts w:ascii="Cambria" w:hAnsi="Cambria"/>
                <w:b w:val="0"/>
              </w:rPr>
              <w:t>)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Rückgang in Testungen (-100.000 im Vergleich zur Vorwoche)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Leichter Rückgang der positiv Getesteten (- 60.000);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Positivenanteil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weiterhin hoch bei knapp unter 40%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Laborauslastung sehr niedrig in allen BL; Grund: Indikationsstellung in ambulanten Praxen.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Durchgeführte Testungen nach BL: In beinahe allen BL Rückgang der durchgeführten Testungen und Niveau geringer im Vergleich zum Vorjahr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Durchgeführte Testungen nach Einrichtungstypen: Rückgang in allen Kategorien (Arztpraxen, KH und Andere). Höchste Anzahl der Testungen in KH (vorher Arztpraxen und Andere)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Testungen nach AG: Meiste Testungen bei 80+-Jährigen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Größter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Positivenanteil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bei Kinder-/Jugendlichen und jungen Erwachsenen</w:t>
            </w:r>
          </w:p>
          <w:p>
            <w:pPr>
              <w:spacing w:after="200"/>
              <w:contextualSpacing/>
              <w:rPr>
                <w:rFonts w:ascii="Cambria" w:hAnsi="Cambria"/>
                <w:sz w:val="22"/>
                <w:szCs w:val="22"/>
              </w:rPr>
            </w:pPr>
          </w:p>
          <w:p>
            <w:pPr>
              <w:numPr>
                <w:ilvl w:val="0"/>
                <w:numId w:val="8"/>
              </w:numPr>
              <w:spacing w:after="200"/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Molekulare Surveillance, VOC-Bericht</w:t>
            </w:r>
            <w:r>
              <w:rPr>
                <w:rFonts w:ascii="Cambria" w:hAnsi="Cambria"/>
                <w:sz w:val="22"/>
                <w:szCs w:val="22"/>
              </w:rPr>
              <w:t xml:space="preserve"> (Folien </w:t>
            </w:r>
            <w:hyperlink r:id="rId19" w:history="1">
              <w:r>
                <w:rPr>
                  <w:rStyle w:val="Hyperlink"/>
                  <w:rFonts w:ascii="Cambria" w:hAnsi="Cambria"/>
                  <w:sz w:val="22"/>
                  <w:szCs w:val="22"/>
                </w:rPr>
                <w:t>hier</w:t>
              </w:r>
            </w:hyperlink>
            <w:r>
              <w:rPr>
                <w:rFonts w:ascii="Cambria" w:hAnsi="Cambria"/>
                <w:sz w:val="22"/>
                <w:szCs w:val="22"/>
              </w:rPr>
              <w:t>)</w:t>
            </w:r>
          </w:p>
          <w:p>
            <w:pPr>
              <w:numPr>
                <w:ilvl w:val="0"/>
                <w:numId w:val="8"/>
              </w:numPr>
              <w:spacing w:after="200"/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VOC-Anteile: Omikron dominierend mit 99,8%</w:t>
            </w:r>
          </w:p>
          <w:p>
            <w:pPr>
              <w:numPr>
                <w:ilvl w:val="0"/>
                <w:numId w:val="8"/>
              </w:numPr>
              <w:spacing w:after="200"/>
              <w:contextualSpacing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BA.2 71,7%, BA.2.9 18,8%, BA.2.3 2,0%, BA.5 1,4%</w:t>
            </w:r>
          </w:p>
          <w:p>
            <w:pPr>
              <w:numPr>
                <w:ilvl w:val="0"/>
                <w:numId w:val="8"/>
              </w:numPr>
              <w:spacing w:after="200"/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Keine Nachweise für andere VOCs außer Omikron</w:t>
            </w:r>
          </w:p>
          <w:p>
            <w:pPr>
              <w:numPr>
                <w:ilvl w:val="0"/>
                <w:numId w:val="8"/>
              </w:numPr>
              <w:spacing w:after="200"/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BA.5 in D: 99/305 Sequenzen in KW18/22; Insgesamt darunter keine Hospitalisierung, kein Todesfall</w:t>
            </w:r>
          </w:p>
          <w:p>
            <w:pPr>
              <w:numPr>
                <w:ilvl w:val="0"/>
                <w:numId w:val="8"/>
              </w:numPr>
              <w:spacing w:after="200"/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BA.4 in D: 23/58 Sequenzen in KW 18/22; Insgesamt darunter keine Hospitalisierung, kein Todesfall</w:t>
            </w:r>
          </w:p>
          <w:p>
            <w:pPr>
              <w:rPr>
                <w:rFonts w:ascii="Cambria" w:hAnsi="Cambria"/>
                <w:b/>
                <w:sz w:val="22"/>
                <w:szCs w:val="22"/>
              </w:rPr>
            </w:pPr>
          </w:p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Diskussion</w:t>
            </w:r>
          </w:p>
          <w:p>
            <w:pPr>
              <w:rPr>
                <w:rFonts w:ascii="Cambria" w:hAnsi="Cambria"/>
                <w:b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Rufen wir die Influenzawelle aus? Warum (nicht)?</w:t>
            </w:r>
          </w:p>
          <w:p>
            <w:pPr>
              <w:pStyle w:val="Listenabsatz"/>
              <w:numPr>
                <w:ilvl w:val="1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Virologische Definition einer Grippewelle ist seit KW17 erfüllt. Gering ausgeprägte, absolute Zahlen sind zu berücksichtigen.</w:t>
            </w:r>
            <w:r>
              <w:t xml:space="preserve"> D</w:t>
            </w:r>
            <w:r>
              <w:rPr>
                <w:rFonts w:ascii="Cambria" w:hAnsi="Cambria"/>
                <w:sz w:val="22"/>
                <w:szCs w:val="22"/>
              </w:rPr>
              <w:t>ie Influenza-Aktivität ist bisher nur geringfügig erhöht und auf niedrigem Niveau.</w:t>
            </w:r>
          </w:p>
          <w:p>
            <w:pPr>
              <w:pStyle w:val="Listenabsatz"/>
              <w:numPr>
                <w:ilvl w:val="1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Kommunikation einer Grippewelle auf niedrigem Niveau sinnvoll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Wie ist die Einschätzung bzgl. der Entwicklung von BA.5?</w:t>
            </w:r>
          </w:p>
          <w:p>
            <w:pPr>
              <w:pStyle w:val="Listenabsatz"/>
              <w:numPr>
                <w:ilvl w:val="1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Bitte um detailliertere Auswertungen zu BA.5 an Hr.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an der Heiden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herantragen</w:t>
            </w:r>
          </w:p>
          <w:p>
            <w:pPr>
              <w:pStyle w:val="Listenabsatz"/>
              <w:numPr>
                <w:ilvl w:val="1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Formulierung Ausbreitung von BA.5 als unwahrscheinlich zu betiteln aus Wochenbericht herausnehmen</w:t>
            </w:r>
          </w:p>
          <w:p>
            <w:pPr>
              <w:pStyle w:val="Listenabsatz"/>
              <w:numPr>
                <w:ilvl w:val="1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Hinweis, dass BA.5 Fälle bisher mit keinerlei Hospitalisierungen / Todesfällen einhergehen, was auf eine geringere Schwere hindeutet.</w:t>
            </w:r>
          </w:p>
          <w:p>
            <w:pPr>
              <w:pStyle w:val="Listenabsatz"/>
              <w:numPr>
                <w:ilvl w:val="1"/>
                <w:numId w:val="15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Aus bisherigen Diskussionen ist nicht ableitbar, dass BA.5 in D dominant werden könnte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(Raiser)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(M. 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(S. 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Dürrwald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FG31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(Rexroth)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FG37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(Abu Sin)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 xml:space="preserve">Daten </w:t>
            </w:r>
            <w:proofErr w:type="gramStart"/>
            <w:r>
              <w:t>zu Impfstoffe</w:t>
            </w:r>
            <w:proofErr w:type="gramEnd"/>
            <w:r>
              <w:t xml:space="preserve"> für Kinder unter 5 Jahren vorhanden. Das Thema wird als nächstes behandelt.</w:t>
            </w:r>
          </w:p>
          <w:p>
            <w:pPr>
              <w:pStyle w:val="Liste1"/>
            </w:pPr>
            <w:r>
              <w:t>Daten zu den Impfdurchbrüchen sind weiterhin in der Auswertung</w:t>
            </w:r>
          </w:p>
          <w:p>
            <w:pPr>
              <w:pStyle w:val="2"/>
            </w:pPr>
            <w:r>
              <w:lastRenderedPageBreak/>
              <w:t>STIKO</w:t>
            </w:r>
          </w:p>
          <w:p>
            <w:pPr>
              <w:pStyle w:val="Liste1"/>
            </w:pPr>
            <w:r>
              <w:t xml:space="preserve">Stellungnahme Verfahren Kinderimpfung 5-11 Jahre und </w:t>
            </w:r>
            <w:proofErr w:type="spellStart"/>
            <w:r>
              <w:t>Genesenenimpfung</w:t>
            </w:r>
            <w:proofErr w:type="spellEnd"/>
            <w:r>
              <w:t>. Finale Entscheidung in STIKO-Sitzung heute Nachmittag.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spacing w:line="276" w:lineRule="auto"/>
              <w:rPr>
                <w:rStyle w:val="1Zchn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 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(Wichmann)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3"/>
            </w:pPr>
          </w:p>
          <w:p>
            <w:pPr>
              <w:pStyle w:val="Liste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  <w:shd w:val="clear" w:color="auto" w:fill="auto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Viele Entscheidungen davon abhängig, wie wir als RKI den Herbst 2022 einschätzen. Hilfreich wäre die Erstellung von 3 Szenarien mit einer jeweils dazugehörigen Eintrittswahrscheinlichkeit</w:t>
            </w:r>
          </w:p>
          <w:p>
            <w:pPr>
              <w:pStyle w:val="Liste1"/>
            </w:pPr>
            <w:r>
              <w:t>CWA bisher keine klare Entscheidung ob das Projekt weitgeführt werden soll</w:t>
            </w:r>
          </w:p>
          <w:p>
            <w:pPr>
              <w:pStyle w:val="Liste1"/>
            </w:pPr>
            <w:r>
              <w:t>Expertenrat veröffentlicht bald Stellungnahme zum Herbst und möglichen Szenarien</w:t>
            </w:r>
          </w:p>
          <w:p>
            <w:pPr>
              <w:pStyle w:val="Liste1"/>
            </w:pPr>
            <w:r>
              <w:t>Als Grundlage wird ein Modell benötigt, das voraussichtlich im Juli zur Verfügung gestellt werden kann mit dessen Hilfe dann Sensitivitätsanalysen durchgeführt werden könnten</w:t>
            </w:r>
          </w:p>
          <w:p>
            <w:pPr>
              <w:pStyle w:val="Liste1"/>
            </w:pPr>
            <w:r>
              <w:t>Hr. Bosnjak bietet als Abt. 2 an, Indikatoren zur Entwicklung der psychischen Gesundheit als Standard mit in die Lagebeurteilung aufzunehmen. Soll ab sofort einmal monatlich im Krisenstab berichtet werden.</w:t>
            </w:r>
          </w:p>
          <w:p>
            <w:pPr>
              <w:spacing w:line="276" w:lineRule="auto"/>
              <w:rPr>
                <w:b/>
                <w:color w:val="C2D69B" w:themeColor="accent3" w:themeTint="99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Schmich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Schaade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(nicht berichtet) 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</w:p>
          <w:p>
            <w:pPr>
              <w:pStyle w:val="Liste1"/>
            </w:pPr>
            <w:r>
              <w:t xml:space="preserve">  (nicht berichtet)</w:t>
            </w:r>
          </w:p>
          <w:p>
            <w:pPr>
              <w:pStyle w:val="1"/>
              <w:rPr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Praes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Bereits vorhandene Infomaterialien zur Influenza: Impfempfehlungen der STIKO und Erregersteckbrief</w:t>
            </w:r>
          </w:p>
          <w:p>
            <w:pPr>
              <w:pStyle w:val="Liste1"/>
            </w:pPr>
            <w:r>
              <w:t>2 Merkblätter COVID in Vorbereitung für die Zielgruppe der Genesenen und der Risikogruppen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lastRenderedPageBreak/>
              <w:t>Wie ist der aktuelle Stand zur reduzierten Berichterstattung am Wochenende?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>Rückmeldung von BMG steht weiterhin aus. Es gilt der Ministervorbehalt.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 xml:space="preserve">Notizen der BMG-RKI Abstimmung dazu </w:t>
            </w:r>
            <w:hyperlink r:id="rId20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Twitter-Botschaft begleitend zum Wochenbericht: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>Vorschlag Fokus auf BA.5 mit viel Unsicherheit behaftet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>ggf. sinkende Hospitalisierungsrate als Schwerpunkt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>ggf. Schutz vulnerabler Gruppen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</w:pPr>
            <w:r>
              <w:t xml:space="preserve">Flyer </w:t>
            </w:r>
            <w:proofErr w:type="spellStart"/>
            <w:r>
              <w:t>Verhaltensempfehlungen_COVID</w:t>
            </w:r>
            <w:proofErr w:type="spellEnd"/>
            <w:r>
              <w:t xml:space="preserve"> Herbst/Winter 2022 </w:t>
            </w:r>
          </w:p>
          <w:p>
            <w:pPr>
              <w:pStyle w:val="Liste3"/>
              <w:numPr>
                <w:ilvl w:val="1"/>
                <w:numId w:val="6"/>
              </w:numPr>
            </w:pPr>
            <w:r>
              <w:t xml:space="preserve">Entwurf </w:t>
            </w:r>
            <w:hyperlink r:id="rId2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3"/>
              <w:numPr>
                <w:ilvl w:val="1"/>
                <w:numId w:val="6"/>
              </w:numPr>
            </w:pPr>
            <w:r>
              <w:t>Verhaltensempfehlungen sollten ganzjährig und für immer gelten</w:t>
            </w:r>
          </w:p>
          <w:p>
            <w:pPr>
              <w:pStyle w:val="Liste3"/>
              <w:numPr>
                <w:ilvl w:val="1"/>
                <w:numId w:val="6"/>
              </w:numPr>
            </w:pPr>
            <w:r>
              <w:t>Zunächst anderes Dokument in den Vordergrund stellen und an dem für Herbst/Winter im Hintergrund weiterarbeiten</w:t>
            </w:r>
          </w:p>
          <w:p>
            <w:pPr>
              <w:pStyle w:val="Liste3"/>
              <w:ind w:left="1193"/>
            </w:pPr>
          </w:p>
          <w:p>
            <w:pPr>
              <w:pStyle w:val="Liste3"/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1"/>
            </w:pPr>
            <w:r>
              <w:t>FAQ: Wann ist SARS-CoV-2 endemisch, und was bedeutet das?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Entwurf </w:t>
            </w:r>
            <w:hyperlink r:id="rId22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Räumliche Eingrenzung (in einer Region) wurde vorgenommen und ergänzt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ist als fließender Übergang zu sehen; keine scharfe Trennlinie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Text sollte so einfach wie möglich formuliert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Abgleich mit RKI-Fachwörterbuch erfolgt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i/>
              </w:rPr>
            </w:pP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Rückle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Hennequin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(Leuker)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(Buchholz)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 xml:space="preserve">Wochenbericht am 26.05 (Christi Himmelfahrt), Vorschlag Übersendung am Mittwoch, den </w:t>
            </w:r>
            <w:proofErr w:type="gramStart"/>
            <w:r>
              <w:t>25.05. ,</w:t>
            </w:r>
            <w:proofErr w:type="gramEnd"/>
            <w:r>
              <w:t xml:space="preserve"> Montag den 30.05. oder gar nicht.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 xml:space="preserve">Verkürzter Wochenbericht soll am Mittwoch kommen. Inhalte die dann voraussichtlich wegfallen: </w:t>
            </w:r>
            <w:proofErr w:type="spellStart"/>
            <w:r>
              <w:t>Syndromische</w:t>
            </w:r>
            <w:proofErr w:type="spellEnd"/>
            <w:r>
              <w:t xml:space="preserve"> Surveillance, Intensivregister, VOC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  <w:p>
            <w:pPr>
              <w:pStyle w:val="Liste1"/>
            </w:pPr>
            <w:r>
              <w:t>Zukünftiger Umgang mit der Erlassbearbeitung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>BMG tritt unseren Wunsch entgegen, dass der Generalerlass aufgehoben wird</w:t>
            </w:r>
          </w:p>
          <w:p>
            <w:pPr>
              <w:pStyle w:val="Liste1"/>
              <w:numPr>
                <w:ilvl w:val="1"/>
                <w:numId w:val="6"/>
              </w:numPr>
            </w:pPr>
            <w:r>
              <w:t>Hr. Rottmann (BMG) strebt Kompromiss an; bisher keine Rückmeldung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Rexroth</w:t>
            </w: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br/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Schaade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 xml:space="preserve">Erläuterungstext zur Infografik </w:t>
            </w:r>
            <w:proofErr w:type="spellStart"/>
            <w:r>
              <w:t>Entisolierung</w:t>
            </w:r>
            <w:proofErr w:type="spellEnd"/>
          </w:p>
          <w:p>
            <w:pPr>
              <w:pStyle w:val="Liste1"/>
              <w:numPr>
                <w:ilvl w:val="1"/>
                <w:numId w:val="6"/>
              </w:numPr>
            </w:pPr>
            <w:r>
              <w:t>Mitteilung an das BMG über das Lagezentrum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>Aktualisierung der Basisdaten und Hinweise zur Testung</w:t>
            </w:r>
          </w:p>
          <w:p>
            <w:pPr>
              <w:pStyle w:val="2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 xml:space="preserve">2 Berichte an BMG in Zusammenhang mit Testkapazitäten </w:t>
            </w:r>
            <w:bookmarkStart w:id="1" w:name="_GoBack"/>
            <w:bookmarkEnd w:id="1"/>
            <w:r>
              <w:rPr>
                <w:b w:val="0"/>
              </w:rPr>
              <w:t>geschickt; keine Rückmeldung bisher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(Mielke)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Rückmeldung über Telemedizin in Südafrika; dort aktuell keine Änderungen der Fallentwicklungen auf Intensivstationen</w:t>
            </w:r>
          </w:p>
          <w:p>
            <w:pPr>
              <w:pStyle w:val="3"/>
              <w:numPr>
                <w:ilvl w:val="0"/>
                <w:numId w:val="0"/>
              </w:numPr>
              <w:spacing w:before="0"/>
              <w:ind w:left="107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Niebank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FG31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Himmelfahrt und Brückentag mit Abwesenheitsnotiz im nCoV-Lage Postfach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Aufgaben und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25.05.2022,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13:02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28F"/>
    <w:multiLevelType w:val="hybridMultilevel"/>
    <w:tmpl w:val="50F43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18E"/>
    <w:multiLevelType w:val="hybridMultilevel"/>
    <w:tmpl w:val="4B1013A6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352"/>
    <w:multiLevelType w:val="hybridMultilevel"/>
    <w:tmpl w:val="35B610C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AC5A26"/>
    <w:multiLevelType w:val="hybridMultilevel"/>
    <w:tmpl w:val="4AEA4682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72F0D"/>
    <w:multiLevelType w:val="hybridMultilevel"/>
    <w:tmpl w:val="85A0B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BE693B"/>
    <w:multiLevelType w:val="hybridMultilevel"/>
    <w:tmpl w:val="1548B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E169C"/>
    <w:multiLevelType w:val="hybridMultilevel"/>
    <w:tmpl w:val="02C0D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49DB0A98"/>
    <w:multiLevelType w:val="hybridMultilevel"/>
    <w:tmpl w:val="2CCC03F8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D3A0A"/>
    <w:multiLevelType w:val="hybridMultilevel"/>
    <w:tmpl w:val="99DC3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F61C2"/>
    <w:multiLevelType w:val="hybridMultilevel"/>
    <w:tmpl w:val="A9780B88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1B1E24"/>
    <w:multiLevelType w:val="hybridMultilevel"/>
    <w:tmpl w:val="3692E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75E02"/>
    <w:multiLevelType w:val="hybridMultilevel"/>
    <w:tmpl w:val="7602B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3"/>
  </w:num>
  <w:num w:numId="5">
    <w:abstractNumId w:val="6"/>
  </w:num>
  <w:num w:numId="6">
    <w:abstractNumId w:val="5"/>
  </w:num>
  <w:num w:numId="7">
    <w:abstractNumId w:val="11"/>
  </w:num>
  <w:num w:numId="8">
    <w:abstractNumId w:val="9"/>
  </w:num>
  <w:num w:numId="9">
    <w:abstractNumId w:val="1"/>
  </w:num>
  <w:num w:numId="10">
    <w:abstractNumId w:val="17"/>
  </w:num>
  <w:num w:numId="11">
    <w:abstractNumId w:val="12"/>
  </w:num>
  <w:num w:numId="12">
    <w:abstractNumId w:val="15"/>
  </w:num>
  <w:num w:numId="13">
    <w:abstractNumId w:val="4"/>
  </w:num>
  <w:num w:numId="14">
    <w:abstractNumId w:val="16"/>
  </w:num>
  <w:num w:numId="15">
    <w:abstractNumId w:val="10"/>
  </w:num>
  <w:num w:numId="16">
    <w:abstractNumId w:val="0"/>
  </w:num>
  <w:num w:numId="17">
    <w:abstractNumId w:val="14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spacing w:after="0"/>
      <w:ind w:left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S:\Wissdaten\RKI_nCoV-Lage\1.Lagemanagement\1.3.Besprechungen_TKs\1.Lage_AG\2022-05-18_Lage-AG\Testzahlerfassung%20am%20RKI_2022_05-18.pptx" TargetMode="External"/><Relationship Id="rId3" Type="http://schemas.openxmlformats.org/officeDocument/2006/relationships/styles" Target="styles.xml"/><Relationship Id="rId21" Type="http://schemas.openxmlformats.org/officeDocument/2006/relationships/hyperlink" Target="file:///S:\Wissdaten\RKI_nCoV-Lage\1.Lagemanagement\1.3.Besprechungen_TKs\1.Lage_AG\2022-05-18_Lage-AG\2022-05-17-Flyer-Verhaltensempfehlungen-COVID-Influenza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S:\Wissdaten\RKI_nCoV-Lage\1.Lagemanagement\1.3.Besprechungen_TKs\1.Lage_AG\2022-05-18_Lage-AG\syndrom-ARE-SARI-COVID_bis_KW19_2022_f&#252;r-Krisenstab.ppt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2-05-18_Lage-AG\2022-05-18_Intensivregister_SPoCK.pptx" TargetMode="External"/><Relationship Id="rId20" Type="http://schemas.openxmlformats.org/officeDocument/2006/relationships/hyperlink" Target="file:///S:\Wissdaten\RKI_nCoV-Lage\1.Lagemanagement\1.3.Besprechungen_TKs\1.Lage_AG\2022-05-18_Lage-AG\20220513_BMG-RKI%20Abstimmung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2-05-18_Lage-AG\LageNational_2022-05-18_draft.pptx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file:///S:\Wissdaten\RKI_nCoV-Lage\1.Lagemanagement\1.3.Besprechungen_TKs\1.Lage_AG\2022-05-18_Lage-AG\2022-05_18_LageAG-VOC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2-05-18_Lage-AG\COVID-19_internat.%20Lage_2022-05-17.pptx" TargetMode="External"/><Relationship Id="rId22" Type="http://schemas.openxmlformats.org/officeDocument/2006/relationships/hyperlink" Target="file:///S:\Wissdaten\RKI_nCoV-Lage\1.Lagemanagement\1.3.Besprechungen_TKs\1.Lage_AG\2022-05-18_Lage-AG\FAQ_%20Endemie_vorschlag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AA483-FAA5-4CE5-824A-2573FF7B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2201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Wittke, Christian</cp:lastModifiedBy>
  <cp:revision>307</cp:revision>
  <cp:lastPrinted>2020-05-06T16:43:00Z</cp:lastPrinted>
  <dcterms:created xsi:type="dcterms:W3CDTF">2022-03-03T09:26:00Z</dcterms:created>
  <dcterms:modified xsi:type="dcterms:W3CDTF">2022-05-19T17:25:00Z</dcterms:modified>
</cp:coreProperties>
</file>