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15.06.2022,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  <w:highlight w:val="yellow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b/>
          <w:sz w:val="22"/>
        </w:rPr>
        <w:t xml:space="preserve">Moderation: </w:t>
      </w:r>
      <w:proofErr w:type="spellStart"/>
      <w:r>
        <w:rPr>
          <w:b/>
          <w:sz w:val="22"/>
        </w:rPr>
        <w:t>Osamah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Hamouda</w:t>
      </w:r>
      <w:proofErr w:type="spellEnd"/>
      <w:r>
        <w:rPr>
          <w:b/>
          <w:sz w:val="22"/>
        </w:rPr>
        <w:t xml:space="preserve"> / Ute Rexroth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Lothar H. </w:t>
      </w:r>
      <w:proofErr w:type="spellStart"/>
      <w:r>
        <w:rPr>
          <w:sz w:val="22"/>
          <w:szCs w:val="22"/>
        </w:rPr>
        <w:t>Wieler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Patrick </w:t>
      </w:r>
      <w:proofErr w:type="spellStart"/>
      <w:r>
        <w:rPr>
          <w:sz w:val="22"/>
          <w:szCs w:val="22"/>
        </w:rPr>
        <w:t>Schmich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Michaele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Justus </w:t>
      </w:r>
      <w:proofErr w:type="spellStart"/>
      <w:r>
        <w:rPr>
          <w:sz w:val="22"/>
          <w:szCs w:val="22"/>
        </w:rPr>
        <w:t>Benzler</w:t>
      </w:r>
      <w:proofErr w:type="spellEnd"/>
    </w:p>
    <w:p>
      <w:pPr>
        <w:pStyle w:val="Listenabsatz"/>
        <w:spacing w:after="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Julia Hermes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Linda Seefeld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</w:p>
          <w:p>
            <w:pPr>
              <w:pStyle w:val="Liste1"/>
            </w:pPr>
            <w:r>
              <w:t xml:space="preserve">Weltweit, Datenstand: WHO, 13.06.2022, 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Eher konstantes globales Infektionsgeschehen (+5% Fälle, </w:t>
            </w:r>
            <w:r>
              <w:br/>
              <w:t>+2% Todesfälle)</w:t>
            </w:r>
          </w:p>
          <w:p>
            <w:pPr>
              <w:pStyle w:val="Liste1"/>
            </w:pPr>
            <w:r>
              <w:t xml:space="preserve">Nach Kontinent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Afrika </w:t>
            </w:r>
          </w:p>
          <w:p>
            <w:pPr>
              <w:pStyle w:val="Liste3"/>
            </w:pPr>
            <w:r>
              <w:t xml:space="preserve">Fallzahlen insgesamt -8% im Vergleich zur Vorwoche </w:t>
            </w:r>
          </w:p>
          <w:p>
            <w:pPr>
              <w:pStyle w:val="Liste3"/>
            </w:pPr>
            <w:r>
              <w:t>Todesfallzahlen: -29% im Vergleich zur Vorwoche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Amerika</w:t>
            </w:r>
          </w:p>
          <w:p>
            <w:pPr>
              <w:pStyle w:val="Liste3"/>
            </w:pPr>
            <w:r>
              <w:t>Steigende Fallzahlen (+12%) und Todesfallzahlen (+29%)</w:t>
            </w:r>
          </w:p>
          <w:p>
            <w:pPr>
              <w:pStyle w:val="Liste3"/>
            </w:pPr>
            <w:r>
              <w:t>Vorrangig steigend auf dem südamerikanischen Kontinent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Asien</w:t>
            </w:r>
          </w:p>
          <w:p>
            <w:pPr>
              <w:pStyle w:val="Liste3"/>
            </w:pPr>
            <w:r>
              <w:t>Leicht sinkende Fallzahlen (-1%)</w:t>
            </w:r>
          </w:p>
          <w:p>
            <w:pPr>
              <w:pStyle w:val="Liste3"/>
            </w:pPr>
            <w:r>
              <w:t>Leicht steigende Todesfallzahlen (+6%)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Ozeanien</w:t>
            </w:r>
          </w:p>
          <w:p>
            <w:pPr>
              <w:pStyle w:val="Liste3"/>
            </w:pPr>
            <w:r>
              <w:t>Fall- und Todesfallzahlabstieg generell (-29% und -14%)</w:t>
            </w:r>
          </w:p>
          <w:p>
            <w:pPr>
              <w:pStyle w:val="Liste3"/>
            </w:pPr>
            <w:r>
              <w:t>Leichte Entspannung in Australien und Neuseeland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Europa </w:t>
            </w:r>
          </w:p>
          <w:p>
            <w:pPr>
              <w:pStyle w:val="Liste3"/>
            </w:pPr>
            <w:r>
              <w:t>Steigende Fallzahlen (+12%) im Vergleich zur Vorwoche</w:t>
            </w:r>
          </w:p>
          <w:p>
            <w:pPr>
              <w:pStyle w:val="Liste3"/>
            </w:pPr>
            <w:r>
              <w:t xml:space="preserve">Sinkende Todesfallzahlen (-27%) </w:t>
            </w:r>
          </w:p>
          <w:p>
            <w:pPr>
              <w:pStyle w:val="Liste3"/>
            </w:pPr>
            <w:r>
              <w:t>Fallzahlanstiege in Deutschland, Niederlande, Italien, Belgien, Frankreich</w:t>
            </w:r>
          </w:p>
          <w:p>
            <w:pPr>
              <w:pStyle w:val="Liste3"/>
            </w:pPr>
            <w:r>
              <w:t>Sinkende Inzidenzen in Portugal auf hohem Niveau</w:t>
            </w:r>
          </w:p>
          <w:p>
            <w:pPr>
              <w:pStyle w:val="Liste1"/>
            </w:pPr>
            <w:r>
              <w:t>Länderfokus Portugal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Fallzahlsteigerung seit Anfang Mai 2022 (KW17/18)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steigt weiter (Stand 23.05.2022: 50%)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 7-Tage: 0,98 (Madeira 1,29)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10% der Fälle hospitalisiert, stabil seit Jahresbeginn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Stabile ITS Belegung, steigende Todesfälle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BA.5: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Erstauftreten KW13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Dominanz KW19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79% (23.05.2022)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84% (KW22)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Seit KW19 steigende Todesfallzahlen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geschätzte Wachstumsrate 13% höher als BA.2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Verdopplungszeit 6 Tage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Bislang kein Hinweis auf erhöhte Krankheitsschwere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Umfrage im PHIRI Netzwerk 09.06.2022, international keine neuen Maßnahmen aufgrund von BA.4 und BA.5 in: Albanien, Bosnien und Herzegowina, Bulgarien, Estland, Finnland, Italien, Irland, Kroatien, Litauen, Niederlande, Rumänien, Slowakei, Slowenien, UK und Zypern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 xml:space="preserve">Malta hat Deeskalation gestoppt und behält </w:t>
            </w:r>
          </w:p>
          <w:p>
            <w:pPr>
              <w:pStyle w:val="Liste2"/>
              <w:numPr>
                <w:ilvl w:val="0"/>
                <w:numId w:val="0"/>
              </w:numPr>
              <w:ind w:left="1553"/>
              <w:rPr>
                <w:lang w:val="de-DE"/>
              </w:rPr>
            </w:pPr>
            <w:r>
              <w:rPr>
                <w:lang w:val="de-DE"/>
              </w:rPr>
              <w:t xml:space="preserve">Maskenpflicht in vulnerablen Settings (Krankenhäuser, Alten- und Pflegeheime sowie </w:t>
            </w:r>
          </w:p>
          <w:p>
            <w:pPr>
              <w:pStyle w:val="Liste2"/>
              <w:numPr>
                <w:ilvl w:val="0"/>
                <w:numId w:val="0"/>
              </w:numPr>
              <w:ind w:left="1553"/>
              <w:rPr>
                <w:lang w:val="de-DE"/>
              </w:rPr>
            </w:pPr>
            <w:r>
              <w:rPr>
                <w:lang w:val="de-DE"/>
              </w:rPr>
              <w:lastRenderedPageBreak/>
              <w:t>Nachweispflicht bei Einreise (Negativer Test/Genesen/Geimpft) bei.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Overall </w:t>
            </w:r>
            <w:proofErr w:type="spellStart"/>
            <w:r>
              <w:rPr>
                <w:lang w:val="de-DE"/>
              </w:rPr>
              <w:t>Excess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Mortality</w:t>
            </w:r>
            <w:proofErr w:type="spellEnd"/>
            <w:r>
              <w:rPr>
                <w:lang w:val="de-DE"/>
              </w:rPr>
              <w:t xml:space="preserve"> ist derzeit überhöht, aber ggf. auch auf andere Faktoren zurückzuführen u.a. Hitzewelle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Weiterhin keine Anzeichen für erhöhte Krankheitsschwere bei BA.5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  <w:numPr>
                <w:ilvl w:val="0"/>
                <w:numId w:val="0"/>
              </w:numPr>
            </w:pPr>
            <w:r>
              <w:t xml:space="preserve">Fallzahlen, Todesfälle, Trend, 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proofErr w:type="spellStart"/>
            <w:r>
              <w:t>SurvNet</w:t>
            </w:r>
            <w:proofErr w:type="spellEnd"/>
            <w:r>
              <w:t xml:space="preserve"> neu übermittelt 92.344, davon 112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</w:t>
            </w:r>
          </w:p>
          <w:p>
            <w:pPr>
              <w:pStyle w:val="Liste3"/>
            </w:pPr>
            <w:r>
              <w:t xml:space="preserve">Aktuell 472/100.000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>LK mit Inzidenzen &gt;500: + 17 (155/411)</w:t>
            </w:r>
          </w:p>
          <w:p>
            <w:pPr>
              <w:pStyle w:val="Liste3"/>
            </w:pPr>
            <w:r>
              <w:t>LK mit Inzidenzen &gt;1.000: + 1 (9/411)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Bisher &gt;35 Mio. Meldungen über DEMIS</w:t>
            </w:r>
          </w:p>
          <w:p>
            <w:pPr>
              <w:pStyle w:val="Liste3"/>
            </w:pPr>
            <w:r>
              <w:t>SARS-CoV-2-DEMIS-Meldungen korrespondieren mit Anzahl an das RKI übermittelte COVID-19-Fälle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 Verlauf der 7-Tage-Inzidenz der Bundesländer </w:t>
            </w:r>
          </w:p>
          <w:p>
            <w:pPr>
              <w:pStyle w:val="Liste3"/>
            </w:pPr>
            <w:r>
              <w:t>Anstiege in allen BL</w:t>
            </w:r>
          </w:p>
          <w:p>
            <w:pPr>
              <w:pStyle w:val="Liste3"/>
            </w:pPr>
            <w:r>
              <w:t>Höchste Inzidenzen in SH, NI, HE, HB, NRW</w:t>
            </w:r>
          </w:p>
          <w:p>
            <w:pPr>
              <w:pStyle w:val="Liste3"/>
            </w:pPr>
            <w:r>
              <w:t>Geringste Inzidenzen in: TH, SN, ST, BB, BE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Geografische Verteilung 7-Tage-Inzidenz nach Landkreis</w:t>
            </w:r>
          </w:p>
          <w:p>
            <w:pPr>
              <w:pStyle w:val="Liste3"/>
            </w:pPr>
            <w:r>
              <w:t>Hohe 7-Tage- Inzidenzen vorrangig im Nordwesten</w:t>
            </w:r>
          </w:p>
          <w:p>
            <w:pPr>
              <w:pStyle w:val="Liste3"/>
            </w:pPr>
            <w:r>
              <w:t xml:space="preserve">157/411 LK mit 7-Tage-Izendenz &gt; 500/ 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Heatmap</w:t>
            </w:r>
            <w:proofErr w:type="spellEnd"/>
            <w:r>
              <w:rPr>
                <w:lang w:val="de-DE"/>
              </w:rPr>
              <w:t xml:space="preserve"> – Wöchentliche COVID-19-Inzidenz (pro 100.000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.)</w:t>
            </w:r>
          </w:p>
          <w:p>
            <w:pPr>
              <w:pStyle w:val="Liste3"/>
            </w:pPr>
            <w:r>
              <w:t>Höchste Inzidenz bei jungen Erwachsenen (25-29-Jährige)</w:t>
            </w:r>
          </w:p>
          <w:p>
            <w:pPr>
              <w:pStyle w:val="Liste3"/>
            </w:pPr>
            <w:r>
              <w:t xml:space="preserve">Verdoppelung der Inzidenz in AG 25-29 Jahre von etwa 300/100.000 </w:t>
            </w:r>
            <w:proofErr w:type="spellStart"/>
            <w:r>
              <w:t>Einw</w:t>
            </w:r>
            <w:proofErr w:type="spellEnd"/>
            <w:r>
              <w:t xml:space="preserve">. auf 600/100.000 </w:t>
            </w:r>
            <w:proofErr w:type="spellStart"/>
            <w:r>
              <w:t>Einw</w:t>
            </w:r>
            <w:proofErr w:type="spellEnd"/>
            <w:r>
              <w:t>. im Vergleich zur Vorwoche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COVID-19-Fälle nach Altersgruppe und Sterbedatum</w:t>
            </w:r>
          </w:p>
          <w:p>
            <w:pPr>
              <w:pStyle w:val="Liste3"/>
            </w:pPr>
            <w:r>
              <w:t>Rückgang seit KW12, Trend setzt sich weiterhin fort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Wöchentliche Sterbefallzahlen in Deutschland</w:t>
            </w:r>
          </w:p>
          <w:p>
            <w:pPr>
              <w:pStyle w:val="Liste3"/>
            </w:pPr>
            <w:r>
              <w:t>In den vergangenen Wochen keine Beobachtung von Übersterblichkeit im Vergleich zu den Vorjahren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3"/>
              <w:numPr>
                <w:ilvl w:val="0"/>
                <w:numId w:val="0"/>
              </w:numPr>
              <w:ind w:left="833"/>
            </w:pP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3Zchn"/>
                <w:b w:val="0"/>
              </w:rPr>
              <w:t xml:space="preserve">Testkapazität und Testungen, 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Es wurde mehr getestet als in der Vorwoche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Anstieg der Anzahl Testungen auf 619.298 (Vorwoche: 596.741)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Bei mehr Testungen auch höherer </w:t>
            </w:r>
            <w:proofErr w:type="spellStart"/>
            <w:r>
              <w:rPr>
                <w:lang w:val="de-DE"/>
              </w:rPr>
              <w:t>Positivenanteil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von 33% auf jetzt 42% gestiegen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Nach BL stratifizierte Testanzahl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Anzahl der Testungen pro 100.000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 nach AG und Woche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wenig Veränderung, geringe Zunahme im mittleren Alter (35-60-Jährige)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Anzahl positive Testungen pro 100.000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 nach AG und Woche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Anstieg in allen Altersgruppen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Altersgruppe 5-14-Jährige dominierend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Positivenanteile</w:t>
            </w:r>
            <w:proofErr w:type="spellEnd"/>
            <w:r>
              <w:rPr>
                <w:lang w:val="de-DE"/>
              </w:rPr>
              <w:t xml:space="preserve"> nach AG und Woche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15 bis unter 60-Jährige dominierend und mit steilster Zunahme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1"/>
            </w:pPr>
            <w:proofErr w:type="spellStart"/>
            <w:r>
              <w:t>Syndromische</w:t>
            </w:r>
            <w:proofErr w:type="spellEnd"/>
            <w:r>
              <w:t xml:space="preserve"> Surveillance, Folien </w:t>
            </w:r>
            <w:hyperlink r:id="rId14" w:history="1">
              <w:r>
                <w:rPr>
                  <w:rStyle w:val="Hyperlink"/>
                </w:rPr>
                <w:t>hi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GrippeWeb</w:t>
            </w:r>
          </w:p>
          <w:p>
            <w:pPr>
              <w:pStyle w:val="Liste3"/>
            </w:pPr>
            <w:r>
              <w:t>Anstieg der ARE-Raten insbesondere in der AG 15-34-Jährige</w:t>
            </w:r>
          </w:p>
          <w:p>
            <w:pPr>
              <w:pStyle w:val="Liste3"/>
            </w:pPr>
            <w:r>
              <w:t>ARE gesamt eher stabil (Anstieg 3 %): 5,3 % (Vorwoche: 5,1 %)</w:t>
            </w:r>
          </w:p>
          <w:p>
            <w:pPr>
              <w:pStyle w:val="Liste3"/>
            </w:pPr>
            <w:r>
              <w:t>Raten liegen über dem Niveau der vorpandemischen Bevölkerungs-ARE, höher als die übliche Sommersenke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AGI ambulanter Bereich</w:t>
            </w:r>
          </w:p>
          <w:p>
            <w:pPr>
              <w:pStyle w:val="Liste3"/>
            </w:pPr>
            <w:r>
              <w:t>Im Vergleich zur Vorwoche insgesamt: eher stabil (Anstieg 4 %).</w:t>
            </w:r>
          </w:p>
          <w:p>
            <w:pPr>
              <w:pStyle w:val="Liste3"/>
            </w:pPr>
            <w:r>
              <w:t>Rückgang bei Kindern bis 14 Jahre, Anstieg bei den (jungen) Erwachsenen ab 15 Jahren (Anstieg zwischen 10-20%)</w:t>
            </w:r>
          </w:p>
          <w:p>
            <w:pPr>
              <w:pStyle w:val="Liste3"/>
            </w:pPr>
            <w:r>
              <w:t>in KW23: knapp 1 Mio. Arztbesuche wegen ARE in 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ARE-Konsultationen mit COVID-Diagnose / 100.000 Einwohner</w:t>
            </w:r>
          </w:p>
          <w:p>
            <w:pPr>
              <w:pStyle w:val="Liste3"/>
            </w:pPr>
            <w:r>
              <w:t>seit KW 22/2022 wird insgesamt ein Anstieg der Arztkonsultationen wegen COVID-ARE beobachtet</w:t>
            </w:r>
          </w:p>
          <w:p>
            <w:pPr>
              <w:pStyle w:val="Liste3"/>
            </w:pPr>
            <w:r>
              <w:t xml:space="preserve">in etwa 240 Arztbesuche ARE mit COVID-Diagnose pro 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>z.T. deutlicher Anstieg in allen AG, mit Ausnahme der 80-Jährigen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ICOSARI </w:t>
            </w:r>
          </w:p>
          <w:p>
            <w:pPr>
              <w:pStyle w:val="Liste3"/>
            </w:pPr>
            <w:r>
              <w:t>SARI-Fallzahlen in KW 22/2022 etwas gestiegen (ungewöhnlich viele Nachmeldungen), in KW 23 eher stabil auf Sommerniveau</w:t>
            </w:r>
          </w:p>
          <w:p>
            <w:pPr>
              <w:pStyle w:val="Liste3"/>
            </w:pPr>
            <w:r>
              <w:t>Anteil COVID-19 an SARI 18% (Vorwoche: 13%) wieder gestiegen, auch wieder einige Influenza-Fälle (v.a. in den AG 0-4 und 80+!)</w:t>
            </w:r>
          </w:p>
          <w:p>
            <w:pPr>
              <w:pStyle w:val="Liste3"/>
            </w:pPr>
            <w:r>
              <w:t>Anteil COVID-19 an SARI mit Intensivbehandlung 13% (Vorwoche: 15%), keine Influenza-Fälle mit Intensivbehandlung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Hospitalisierungsinzidenz COVID-SARI </w:t>
            </w:r>
          </w:p>
          <w:p>
            <w:pPr>
              <w:pStyle w:val="Liste3"/>
            </w:pPr>
            <w:r>
              <w:t>scheinbar Talsohle in KW 21/22, leichter Anstieg in KW 23/2022 insgesamt und in allen Altersgruppen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</w:p>
          <w:p>
            <w:pPr>
              <w:pStyle w:val="Liste3"/>
              <w:numPr>
                <w:ilvl w:val="0"/>
                <w:numId w:val="0"/>
              </w:numPr>
              <w:ind w:left="833"/>
            </w:pPr>
            <w:r>
              <w:br/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t>Virologische Surveillance, NRZ Influenza-Daten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SARS-CoV-2</w:t>
            </w:r>
          </w:p>
          <w:p>
            <w:pPr>
              <w:pStyle w:val="Liste3"/>
            </w:pPr>
            <w:r>
              <w:t>Anstieg in vergangenen 2 Wochen</w:t>
            </w:r>
          </w:p>
          <w:p>
            <w:pPr>
              <w:pStyle w:val="Liste3"/>
            </w:pPr>
            <w:r>
              <w:t>SARS-CoV-2 dominiert unter Coronaviren</w:t>
            </w:r>
          </w:p>
          <w:p>
            <w:pPr>
              <w:pStyle w:val="Liste3"/>
            </w:pPr>
            <w:r>
              <w:t>Altersverteilung: höchste Fallzahlen bei über 60-Jährigen und geringste Fallzahlen bei 0-4-Jährigen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Influenza: hauptsächlich H3N2, Altersverteilung hauptsächlich 5-34-Jährige, leichter Anstieg, insgesamt niedriges Niveau mit 8% </w:t>
            </w:r>
            <w:proofErr w:type="spellStart"/>
            <w:r>
              <w:rPr>
                <w:lang w:val="de-DE"/>
              </w:rPr>
              <w:t>Positivenrate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ARE-Aktivität steigend, primär humane Rhinoviren, gefolgt von Parainfluenzaviren, ein paar humane Metapneumoviren (HMPV) mit rückläufiger Tendenz, keine RSV-Nachweise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  <w:rPr>
                <w:bCs/>
                <w:i/>
                <w:color w:val="D99594" w:themeColor="accent2" w:themeTint="99"/>
              </w:rPr>
            </w:pPr>
            <w:r>
              <w:t xml:space="preserve">Molekulare Surveillance, 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Omikron ist unverändert, alle Sublinien zsm. 100%,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 keine anderen Varianten wurden nachgewiesen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BA.2 überwiegt mit 50%, gefolgt von BA.5 mit 24% und BA.2.9 mit 11%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BA.5 hat sich anteilig verdoppelt auf knapp 24%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Rekombinantennachweise</w:t>
            </w:r>
            <w:proofErr w:type="spellEnd"/>
            <w:r>
              <w:rPr>
                <w:lang w:val="de-DE"/>
              </w:rPr>
              <w:t>: durch Re-Zuweisungen Sprünge bei XG auf 41 (+38) und XM auf 459 (+99)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Ansonsten weiterhin stabil, unverändert und gleichbleibende Zuwächse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L452 Mutation: BA.4, BA.5, BA.2.12.2 sowie manche BA.2-Linien haben diese aufgewiesen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BA.5-Eigenschaften:</w:t>
            </w:r>
          </w:p>
          <w:p>
            <w:pPr>
              <w:pStyle w:val="Liste3"/>
            </w:pPr>
            <w:r>
              <w:t>2324 Fälle im Meldesystem seit KW 09/22 bis einschl. KW22/22</w:t>
            </w:r>
          </w:p>
          <w:p>
            <w:pPr>
              <w:pStyle w:val="Liste3"/>
            </w:pPr>
            <w:r>
              <w:t>Hospitalisiert: 23 (1.0 %); 1419 (61 %) NA</w:t>
            </w:r>
          </w:p>
          <w:p>
            <w:pPr>
              <w:pStyle w:val="Liste3"/>
            </w:pPr>
            <w:r>
              <w:t>Verstorben: 0 (106 NA)</w:t>
            </w:r>
          </w:p>
          <w:p>
            <w:pPr>
              <w:pStyle w:val="Liste3"/>
            </w:pPr>
            <w:r>
              <w:t>Fallzahl steigt bei beiden an</w:t>
            </w:r>
          </w:p>
          <w:p>
            <w:pPr>
              <w:pStyle w:val="Liste3"/>
            </w:pPr>
            <w:r>
              <w:t xml:space="preserve">Expositionsort: 29x EUR außer DE, </w:t>
            </w:r>
            <w:r>
              <w:br/>
              <w:t>Afrika (2), Amerika (2), Asien (3)</w:t>
            </w:r>
          </w:p>
          <w:p>
            <w:pPr>
              <w:pStyle w:val="Liste3"/>
            </w:pPr>
            <w:r>
              <w:t>Meldesystem: 26/1101 Verdachtsfälle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BA.4-Eigenschaften:</w:t>
            </w:r>
          </w:p>
          <w:p>
            <w:pPr>
              <w:pStyle w:val="Liste3"/>
            </w:pPr>
            <w:r>
              <w:t>431 Fälle im Meldesystem seit KW 15/22 bis einschl. 22/22</w:t>
            </w:r>
          </w:p>
          <w:p>
            <w:pPr>
              <w:pStyle w:val="Liste3"/>
            </w:pPr>
            <w:r>
              <w:t>Hospitalisiert: 3 (0.7 %); 269 (62 %) NA</w:t>
            </w:r>
          </w:p>
          <w:p>
            <w:pPr>
              <w:pStyle w:val="Liste3"/>
            </w:pPr>
            <w:r>
              <w:t>Verstorben: 1 (13 NA)</w:t>
            </w:r>
          </w:p>
          <w:p>
            <w:pPr>
              <w:pStyle w:val="Liste3"/>
            </w:pPr>
            <w:r>
              <w:t>Expositionsort: 1x EUR außer DE, Afrika (2), Amerika (2)</w:t>
            </w:r>
          </w:p>
          <w:p>
            <w:pPr>
              <w:pStyle w:val="Liste3"/>
            </w:pPr>
            <w:r>
              <w:t>Meldesystem: 7/201 Verdachtsfälle</w:t>
            </w:r>
          </w:p>
          <w:p>
            <w:pPr>
              <w:pStyle w:val="Liste3"/>
              <w:numPr>
                <w:ilvl w:val="0"/>
                <w:numId w:val="0"/>
              </w:numPr>
              <w:ind w:left="1193" w:hanging="360"/>
            </w:pPr>
          </w:p>
          <w:p>
            <w:pPr>
              <w:pStyle w:val="Liste1"/>
            </w:pPr>
            <w:r>
              <w:t xml:space="preserve">Diskussion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10% Hospitalisierungsrate in Portugal. Werden hier häufiger die schweren Fälle diagnostiziert?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Vermutlich ja. Testung in Deutschland tendenziell eher sensitiv.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(Rohde)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(Diercke)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Hamouda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  <w:rPr>
                <w:rStyle w:val="1Zchn"/>
                <w:b w:val="0"/>
                <w:sz w:val="22"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</w:p>
          <w:p>
            <w:pPr>
              <w:pStyle w:val="Liste1"/>
            </w:pPr>
            <w:r>
              <w:t>CWA – Ergebnisse der Privacy-</w:t>
            </w:r>
            <w:proofErr w:type="spellStart"/>
            <w:r>
              <w:t>Preserving</w:t>
            </w:r>
            <w:proofErr w:type="spellEnd"/>
            <w:r>
              <w:t xml:space="preserve"> Analytics (2021)</w:t>
            </w:r>
          </w:p>
          <w:p>
            <w:pPr>
              <w:pStyle w:val="Liste3"/>
            </w:pPr>
            <w:r>
              <w:t>Auswertung nach Device und Betriebssystem</w:t>
            </w:r>
          </w:p>
          <w:p>
            <w:pPr>
              <w:pStyle w:val="Liste3"/>
            </w:pPr>
            <w:r>
              <w:t>Täglich etwa 15 Mio. übermittelte Datensätze</w:t>
            </w:r>
          </w:p>
          <w:p>
            <w:pPr>
              <w:pStyle w:val="Liste3"/>
            </w:pPr>
            <w:r>
              <w:t>Erhöhter Risikostatus bei Personen, die sich für einen Test registriert haben</w:t>
            </w:r>
          </w:p>
          <w:p>
            <w:pPr>
              <w:pStyle w:val="Liste3"/>
            </w:pPr>
            <w:r>
              <w:t xml:space="preserve">Höhere </w:t>
            </w:r>
            <w:proofErr w:type="spellStart"/>
            <w:r>
              <w:t>Positivenrate</w:t>
            </w:r>
            <w:proofErr w:type="spellEnd"/>
            <w:r>
              <w:t xml:space="preserve"> bei jenen mit erhöhten Risikostatus; Unterschiede im Winter weniger </w:t>
            </w:r>
            <w:r>
              <w:lastRenderedPageBreak/>
              <w:t>ausgeprägt als ab Frühjahr. Grund ggf. strengere Corona-Regeln + mehr Awareness im Winter.</w:t>
            </w:r>
          </w:p>
          <w:p>
            <w:pPr>
              <w:pStyle w:val="Liste3"/>
            </w:pPr>
            <w:r>
              <w:t xml:space="preserve">Anteil </w:t>
            </w:r>
            <w:proofErr w:type="spellStart"/>
            <w:r>
              <w:t>Positivenrate</w:t>
            </w:r>
            <w:proofErr w:type="spellEnd"/>
            <w:r>
              <w:t xml:space="preserve"> nach Risikostatus:</w:t>
            </w:r>
          </w:p>
          <w:p>
            <w:pPr>
              <w:pStyle w:val="Liste3"/>
              <w:numPr>
                <w:ilvl w:val="2"/>
                <w:numId w:val="36"/>
              </w:numPr>
            </w:pPr>
            <w:r>
              <w:t xml:space="preserve">Bei PCR-Tests Anstieg der </w:t>
            </w:r>
            <w:proofErr w:type="spellStart"/>
            <w:r>
              <w:t>Positivenrate</w:t>
            </w:r>
            <w:proofErr w:type="spellEnd"/>
            <w:r>
              <w:t xml:space="preserve"> über den Winter über alle Risikostatus hinweg; ab Frühjahr weiter Anstieg der </w:t>
            </w:r>
            <w:proofErr w:type="spellStart"/>
            <w:r>
              <w:t>Positivenrate</w:t>
            </w:r>
            <w:proofErr w:type="spellEnd"/>
            <w:r>
              <w:t xml:space="preserve"> bei erhöhten Risikostatus (bis zu 75%) und Rückgang bei allen anderen Risikostatus.</w:t>
            </w:r>
          </w:p>
          <w:p>
            <w:pPr>
              <w:pStyle w:val="Liste3"/>
              <w:numPr>
                <w:ilvl w:val="2"/>
                <w:numId w:val="36"/>
              </w:numPr>
            </w:pPr>
            <w:r>
              <w:t xml:space="preserve">Bei Antigen-Test gleiches Bild mit </w:t>
            </w:r>
            <w:proofErr w:type="spellStart"/>
            <w:r>
              <w:t>Positivenrate</w:t>
            </w:r>
            <w:proofErr w:type="spellEnd"/>
            <w:r>
              <w:t xml:space="preserve"> bis zu 13% bei hohem Risiko und unter 5% bei allen anderen Risikostatus.</w:t>
            </w:r>
          </w:p>
          <w:p>
            <w:pPr>
              <w:pStyle w:val="Liste3"/>
            </w:pPr>
            <w:r>
              <w:t>Schnelles Testen innerhalb von 1-2 Tagen nach Statusänderung in CWA</w:t>
            </w:r>
          </w:p>
          <w:p>
            <w:pPr>
              <w:pStyle w:val="Liste3"/>
            </w:pPr>
            <w:r>
              <w:t xml:space="preserve">Fazit: Jene mit einer roten Kachel haben eine deutlich höhere </w:t>
            </w:r>
            <w:proofErr w:type="spellStart"/>
            <w:r>
              <w:t>Positivenrate</w:t>
            </w:r>
            <w:proofErr w:type="spellEnd"/>
            <w:r>
              <w:t xml:space="preserve"> als jene mit einer grünen Kachel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Benzler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keine Anpassung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Expertenbeirat</w:t>
            </w:r>
          </w:p>
          <w:p>
            <w:pPr>
              <w:pStyle w:val="Liste1"/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Merkblätter zur Corona-Schutzimpfung aktualisiert</w:t>
            </w:r>
          </w:p>
          <w:p>
            <w:pPr>
              <w:pStyle w:val="Liste3"/>
            </w:pPr>
            <w:r>
              <w:t>Merkblätter für Eltern zu einem zusammengefasst</w:t>
            </w:r>
          </w:p>
          <w:p>
            <w:pPr>
              <w:pStyle w:val="Liste1"/>
            </w:pPr>
            <w:r>
              <w:t>Neues Merkblatt für Risikogruppen</w:t>
            </w:r>
          </w:p>
          <w:p>
            <w:pPr>
              <w:pStyle w:val="Liste1"/>
            </w:pPr>
            <w:r>
              <w:t>Veröffentlichung Merkblatt für Genesene Ende der Woche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Bundespressekonferenz am Freitag, 17.06. mit Hr. Schaade</w:t>
            </w:r>
          </w:p>
          <w:p>
            <w:pPr>
              <w:pStyle w:val="Liste1"/>
            </w:pPr>
            <w:r>
              <w:t>Kernaussagen für Lagebericht und BPK</w:t>
            </w:r>
          </w:p>
          <w:p>
            <w:pPr>
              <w:pStyle w:val="Liste3"/>
            </w:pPr>
            <w:r>
              <w:t>Orientierung an letzten Wochenbericht und Tweets</w:t>
            </w:r>
          </w:p>
          <w:p>
            <w:pPr>
              <w:pStyle w:val="Liste3"/>
            </w:pPr>
            <w:r>
              <w:t>Verhaltensregeln und Impfungen in den Vordergrund stellen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</w:pPr>
            <w:r>
              <w:t>Aufgabe - P1 soll Sommerflyer von 2021 überarbeiten, in fachlicher Zusammenarbeit mit FG36</w:t>
            </w:r>
          </w:p>
          <w:p>
            <w:pPr>
              <w:pStyle w:val="Liste3"/>
            </w:pPr>
            <w:r>
              <w:t>In Auftrag, Deadline nächste Woche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(Seefeld)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 / Degen)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360" w:hanging="36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RKI-intern</w:t>
            </w:r>
          </w:p>
          <w:p>
            <w:pPr>
              <w:pStyle w:val="Liste1"/>
            </w:pPr>
            <w:r>
              <w:t>Sprechen wir aktuell von einer Sommerwelle?</w:t>
            </w:r>
          </w:p>
          <w:p>
            <w:pPr>
              <w:pStyle w:val="Liste3"/>
            </w:pPr>
            <w:r>
              <w:t>Begriff momentan eher vermeiden, da er vermutlich vom RKI auch nicht gefordert wird</w:t>
            </w:r>
          </w:p>
          <w:p>
            <w:pPr>
              <w:pStyle w:val="Liste3"/>
            </w:pPr>
            <w:r>
              <w:t>Fokus auf wissenschaftliche Definition der einzelnen Wellen</w:t>
            </w:r>
          </w:p>
          <w:p>
            <w:pPr>
              <w:pStyle w:val="Liste3"/>
            </w:pPr>
            <w:r>
              <w:t>Einigung: Begriff Sommerwelle vermeiden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Verbesserung Hospitalisierungsmeldungen über DEMIS</w:t>
            </w:r>
          </w:p>
          <w:p>
            <w:pPr>
              <w:pStyle w:val="Liste3"/>
            </w:pPr>
            <w:r>
              <w:t>seit März 2022 können KH über das DEMIS-Meldeportal auch Hospitalisierungen in Bezug auf COVID-19 elektronisch an die GÄ melden</w:t>
            </w:r>
          </w:p>
          <w:p>
            <w:pPr>
              <w:pStyle w:val="Liste3"/>
            </w:pPr>
            <w:r>
              <w:t>Nutzung bisher gering, da manuelle Eingabe in DEMIS erforderlich</w:t>
            </w:r>
          </w:p>
          <w:p>
            <w:pPr>
              <w:pStyle w:val="Liste3"/>
            </w:pPr>
            <w:r>
              <w:t>Schnittstelle wurde zur Verfügung gestellt, sodass automatisierte Meldung aus den KIS an DEMIS erfolgen kann</w:t>
            </w:r>
          </w:p>
          <w:p>
            <w:pPr>
              <w:pStyle w:val="Liste3"/>
            </w:pPr>
            <w:r>
              <w:t>Problem derzeit: Nur wenige KIS-Anbieter haben diese Schnittstelle bisher umgesetzt</w:t>
            </w:r>
          </w:p>
          <w:p>
            <w:pPr>
              <w:pStyle w:val="Liste3"/>
            </w:pPr>
            <w:r>
              <w:t>Ggf. Vorbereitung Brief des RKI an die KH</w:t>
            </w:r>
          </w:p>
          <w:p>
            <w:pPr>
              <w:pStyle w:val="Liste3"/>
            </w:pPr>
            <w:r>
              <w:t>Treffen am Freitag, 17.06. mit KH und KIS-Anbietern</w:t>
            </w:r>
          </w:p>
          <w:p>
            <w:pPr>
              <w:pStyle w:val="Liste3"/>
            </w:pPr>
            <w:r>
              <w:t>Bereitstellung Adressatenliste Ansprechpartner der KIS-Anbieter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FG31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</w:p>
          <w:p>
            <w:pPr>
              <w:pStyle w:val="Liste1"/>
            </w:pPr>
            <w:r>
              <w:t>Generell ruhiger geworden, keine akuten Anliegen, vereinzelte Anfragen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22.06.2022,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12:16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09124806"/>
    <w:lvl w:ilvl="0" w:tplc="E07C76C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90001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08AF"/>
    <w:multiLevelType w:val="hybridMultilevel"/>
    <w:tmpl w:val="40626B54"/>
    <w:lvl w:ilvl="0" w:tplc="388E313C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0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21"/>
  </w:num>
  <w:num w:numId="7">
    <w:abstractNumId w:val="27"/>
  </w:num>
  <w:num w:numId="8">
    <w:abstractNumId w:val="15"/>
  </w:num>
  <w:num w:numId="9">
    <w:abstractNumId w:val="5"/>
  </w:num>
  <w:num w:numId="10">
    <w:abstractNumId w:val="32"/>
  </w:num>
  <w:num w:numId="11">
    <w:abstractNumId w:val="26"/>
  </w:num>
  <w:num w:numId="12">
    <w:abstractNumId w:val="17"/>
  </w:num>
  <w:num w:numId="13">
    <w:abstractNumId w:val="14"/>
  </w:num>
  <w:num w:numId="14">
    <w:abstractNumId w:val="22"/>
  </w:num>
  <w:num w:numId="15">
    <w:abstractNumId w:val="19"/>
  </w:num>
  <w:num w:numId="16">
    <w:abstractNumId w:val="0"/>
  </w:num>
  <w:num w:numId="17">
    <w:abstractNumId w:val="13"/>
  </w:num>
  <w:num w:numId="18">
    <w:abstractNumId w:val="30"/>
  </w:num>
  <w:num w:numId="19">
    <w:abstractNumId w:val="11"/>
  </w:num>
  <w:num w:numId="20">
    <w:abstractNumId w:val="28"/>
  </w:num>
  <w:num w:numId="21">
    <w:abstractNumId w:val="8"/>
  </w:num>
  <w:num w:numId="22">
    <w:abstractNumId w:val="10"/>
  </w:num>
  <w:num w:numId="23">
    <w:abstractNumId w:val="2"/>
  </w:num>
  <w:num w:numId="24">
    <w:abstractNumId w:val="23"/>
  </w:num>
  <w:num w:numId="25">
    <w:abstractNumId w:val="16"/>
  </w:num>
  <w:num w:numId="26">
    <w:abstractNumId w:val="1"/>
  </w:num>
  <w:num w:numId="27">
    <w:abstractNumId w:val="25"/>
  </w:num>
  <w:num w:numId="28">
    <w:abstractNumId w:val="31"/>
  </w:num>
  <w:num w:numId="29">
    <w:abstractNumId w:val="15"/>
  </w:num>
  <w:num w:numId="30">
    <w:abstractNumId w:val="15"/>
  </w:num>
  <w:num w:numId="31">
    <w:abstractNumId w:val="29"/>
  </w:num>
  <w:num w:numId="32">
    <w:abstractNumId w:val="24"/>
  </w:num>
  <w:num w:numId="33">
    <w:abstractNumId w:val="15"/>
  </w:num>
  <w:num w:numId="34">
    <w:abstractNumId w:val="15"/>
  </w:num>
  <w:num w:numId="35">
    <w:abstractNumId w:val="15"/>
  </w:num>
  <w:num w:numId="36">
    <w:abstractNumId w:val="7"/>
  </w:num>
  <w:num w:numId="37">
    <w:abstractNumId w:val="6"/>
  </w:num>
  <w:num w:numId="38">
    <w:abstractNumId w:val="7"/>
  </w:num>
  <w:num w:numId="39">
    <w:abstractNumId w:val="15"/>
  </w:num>
  <w:num w:numId="40">
    <w:abstractNumId w:val="18"/>
  </w:num>
  <w:num w:numId="41">
    <w:abstractNumId w:val="9"/>
  </w:num>
  <w:num w:numId="42">
    <w:abstractNumId w:val="7"/>
  </w:num>
  <w:num w:numId="43">
    <w:abstractNumId w:val="18"/>
  </w:num>
  <w:num w:numId="44">
    <w:abstractNumId w:val="7"/>
  </w:num>
  <w:num w:numId="45">
    <w:abstractNumId w:val="7"/>
  </w:num>
  <w:num w:numId="4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2-06-15_Lage-AG\Testzahlerfassung%20am%20RKI_2022_06-15.ppt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2-06-15_Lage-AG\LageNational_2022-06-15_draft.pptx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2-06-15_Lage-AG\COVID-19_internat.%20Lage_2022-06-15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2-06-15_Lage-AG\2022-06_15_LageAG-VOC.pptx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2-06-15_Lage-AG\syndrom-ARE-SARI-COVID_bis_KW23_2022_f&#252;r-Krisenstab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4693D-99AB-4141-9B72-9CC776B2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1631</Words>
  <Characters>10278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Wittke, Christian</cp:lastModifiedBy>
  <cp:revision>232</cp:revision>
  <cp:lastPrinted>2020-05-06T16:43:00Z</cp:lastPrinted>
  <dcterms:created xsi:type="dcterms:W3CDTF">2022-06-07T12:18:00Z</dcterms:created>
  <dcterms:modified xsi:type="dcterms:W3CDTF">2022-06-15T16:39:00Z</dcterms:modified>
</cp:coreProperties>
</file>