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Mittwoch, 11.05.2022,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Webex-Konferenz</w:t>
          </w:r>
        </w:sdtContent>
      </w:sdt>
    </w:p>
    <w:p>
      <w:pPr>
        <w:rPr>
          <w:b/>
          <w:sz w:val="22"/>
        </w:rPr>
      </w:pPr>
      <w:r>
        <w:rPr>
          <w:b/>
          <w:sz w:val="22"/>
        </w:rPr>
        <w:t>Moderation: Osamah Hamouda</w:t>
      </w:r>
    </w:p>
    <w:p>
      <w:pPr>
        <w:spacing w:after="0"/>
        <w:rPr>
          <w:b/>
          <w:sz w:val="22"/>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p>
    <w:p>
      <w:pPr>
        <w:spacing w:after="0"/>
        <w:rPr>
          <w:b/>
          <w:sz w:val="22"/>
        </w:rPr>
      </w:pPr>
      <w:bookmarkStart w:id="0" w:name="_Hlk82005470"/>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Lothar H. Wieler</w:t>
      </w:r>
    </w:p>
    <w:p>
      <w:pPr>
        <w:pStyle w:val="Listenabsatz"/>
        <w:numPr>
          <w:ilvl w:val="1"/>
          <w:numId w:val="2"/>
        </w:numPr>
        <w:spacing w:after="0"/>
        <w:contextualSpacing w:val="0"/>
        <w:rPr>
          <w:sz w:val="22"/>
          <w:szCs w:val="22"/>
        </w:rPr>
      </w:pPr>
      <w:r>
        <w:rPr>
          <w:sz w:val="22"/>
          <w:szCs w:val="22"/>
        </w:rPr>
        <w:t>Lars Schaade</w:t>
      </w:r>
    </w:p>
    <w:p>
      <w:pPr>
        <w:pStyle w:val="Listenabsatz"/>
        <w:numPr>
          <w:ilvl w:val="1"/>
          <w:numId w:val="2"/>
        </w:numPr>
        <w:spacing w:after="0"/>
        <w:rPr>
          <w:sz w:val="22"/>
          <w:szCs w:val="22"/>
        </w:rPr>
      </w:pPr>
      <w:r>
        <w:rPr>
          <w:sz w:val="22"/>
          <w:szCs w:val="22"/>
        </w:rPr>
        <w:t xml:space="preserve">Esther-Maria </w:t>
      </w:r>
      <w:proofErr w:type="spellStart"/>
      <w:r>
        <w:rPr>
          <w:sz w:val="22"/>
          <w:szCs w:val="22"/>
        </w:rPr>
        <w:t>Antão</w:t>
      </w:r>
      <w:proofErr w:type="spellEnd"/>
    </w:p>
    <w:p>
      <w:pPr>
        <w:pStyle w:val="Listenabsatz"/>
        <w:numPr>
          <w:ilvl w:val="0"/>
          <w:numId w:val="2"/>
        </w:numPr>
        <w:spacing w:after="0" w:line="233" w:lineRule="auto"/>
        <w:ind w:hanging="357"/>
        <w:contextualSpacing w:val="0"/>
        <w:rPr>
          <w:sz w:val="22"/>
          <w:szCs w:val="22"/>
        </w:rPr>
      </w:pPr>
      <w:r>
        <w:rPr>
          <w:sz w:val="22"/>
          <w:szCs w:val="22"/>
        </w:rPr>
        <w:t>Abt. 1</w:t>
      </w:r>
    </w:p>
    <w:p>
      <w:pPr>
        <w:pStyle w:val="Listenabsatz"/>
        <w:numPr>
          <w:ilvl w:val="1"/>
          <w:numId w:val="2"/>
        </w:numPr>
        <w:spacing w:after="0" w:line="233" w:lineRule="auto"/>
        <w:contextualSpacing w:val="0"/>
        <w:rPr>
          <w:sz w:val="22"/>
          <w:szCs w:val="22"/>
        </w:rPr>
      </w:pPr>
      <w:r>
        <w:rPr>
          <w:sz w:val="22"/>
          <w:szCs w:val="22"/>
        </w:rPr>
        <w:t>Martin Mielke</w:t>
      </w:r>
    </w:p>
    <w:p>
      <w:pPr>
        <w:pStyle w:val="Listenabsatz"/>
        <w:numPr>
          <w:ilvl w:val="0"/>
          <w:numId w:val="2"/>
        </w:numPr>
        <w:spacing w:after="0" w:line="233" w:lineRule="auto"/>
        <w:contextualSpacing w:val="0"/>
        <w:rPr>
          <w:sz w:val="22"/>
          <w:szCs w:val="22"/>
        </w:rPr>
      </w:pPr>
      <w:r>
        <w:rPr>
          <w:sz w:val="22"/>
          <w:szCs w:val="22"/>
        </w:rPr>
        <w:t>Abt. 2</w:t>
      </w:r>
    </w:p>
    <w:p>
      <w:pPr>
        <w:pStyle w:val="Listenabsatz"/>
        <w:numPr>
          <w:ilvl w:val="1"/>
          <w:numId w:val="2"/>
        </w:numPr>
        <w:spacing w:after="0" w:line="233" w:lineRule="auto"/>
        <w:contextualSpacing w:val="0"/>
        <w:rPr>
          <w:sz w:val="22"/>
          <w:szCs w:val="22"/>
        </w:rPr>
      </w:pPr>
      <w:r>
        <w:rPr>
          <w:sz w:val="22"/>
          <w:szCs w:val="22"/>
        </w:rPr>
        <w:t>Michael Bosnjak</w:t>
      </w:r>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1"/>
          <w:numId w:val="2"/>
        </w:numPr>
        <w:spacing w:after="0"/>
        <w:contextualSpacing w:val="0"/>
        <w:rPr>
          <w:sz w:val="22"/>
          <w:szCs w:val="22"/>
        </w:rPr>
      </w:pPr>
      <w:r>
        <w:rPr>
          <w:sz w:val="22"/>
          <w:szCs w:val="22"/>
        </w:rPr>
        <w:t>Tanja Jung-</w:t>
      </w:r>
      <w:proofErr w:type="spellStart"/>
      <w:r>
        <w:rPr>
          <w:sz w:val="22"/>
          <w:szCs w:val="22"/>
        </w:rPr>
        <w:t>Sendzik</w:t>
      </w:r>
      <w:proofErr w:type="spellEnd"/>
    </w:p>
    <w:p>
      <w:pPr>
        <w:pStyle w:val="Listenabsatz"/>
        <w:numPr>
          <w:ilvl w:val="0"/>
          <w:numId w:val="2"/>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Marc Thanheiser</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Ralf Dürrwald</w:t>
      </w:r>
    </w:p>
    <w:p>
      <w:pPr>
        <w:pStyle w:val="Listenabsatz"/>
        <w:numPr>
          <w:ilvl w:val="0"/>
          <w:numId w:val="3"/>
        </w:numPr>
        <w:spacing w:after="0"/>
        <w:contextualSpacing w:val="0"/>
        <w:rPr>
          <w:sz w:val="22"/>
          <w:szCs w:val="22"/>
        </w:rPr>
      </w:pPr>
      <w:r>
        <w:rPr>
          <w:sz w:val="22"/>
          <w:szCs w:val="22"/>
        </w:rPr>
        <w:t xml:space="preserve">FG21 </w:t>
      </w:r>
    </w:p>
    <w:p>
      <w:pPr>
        <w:pStyle w:val="Listenabsatz"/>
        <w:numPr>
          <w:ilvl w:val="1"/>
          <w:numId w:val="2"/>
        </w:numPr>
        <w:spacing w:after="0"/>
        <w:contextualSpacing w:val="0"/>
        <w:rPr>
          <w:sz w:val="22"/>
          <w:szCs w:val="22"/>
        </w:rPr>
      </w:pPr>
      <w:r>
        <w:rPr>
          <w:sz w:val="22"/>
          <w:szCs w:val="22"/>
        </w:rPr>
        <w:t>Patrick Schmich</w:t>
      </w:r>
    </w:p>
    <w:p>
      <w:pPr>
        <w:pStyle w:val="Listenabsatz"/>
        <w:numPr>
          <w:ilvl w:val="1"/>
          <w:numId w:val="2"/>
        </w:numPr>
        <w:spacing w:after="0"/>
        <w:contextualSpacing w:val="0"/>
        <w:rPr>
          <w:sz w:val="22"/>
          <w:szCs w:val="22"/>
        </w:rPr>
      </w:pPr>
      <w:r>
        <w:rPr>
          <w:sz w:val="22"/>
          <w:szCs w:val="22"/>
        </w:rPr>
        <w:t>Jennifer Allen</w:t>
      </w:r>
    </w:p>
    <w:p>
      <w:pPr>
        <w:pStyle w:val="Listenabsatz"/>
        <w:numPr>
          <w:ilvl w:val="1"/>
          <w:numId w:val="2"/>
        </w:numPr>
        <w:spacing w:after="0"/>
        <w:contextualSpacing w:val="0"/>
        <w:rPr>
          <w:sz w:val="22"/>
          <w:szCs w:val="22"/>
        </w:rPr>
      </w:pPr>
      <w:r>
        <w:rPr>
          <w:sz w:val="22"/>
          <w:szCs w:val="22"/>
        </w:rPr>
        <w:t xml:space="preserve">Wolfgang </w:t>
      </w:r>
      <w:r>
        <w:rPr>
          <w:rStyle w:val="highlight"/>
          <w:sz w:val="22"/>
          <w:szCs w:val="22"/>
        </w:rPr>
        <w:t>Scheida</w:t>
      </w:r>
    </w:p>
    <w:p>
      <w:pPr>
        <w:pStyle w:val="Listenabsatz"/>
        <w:numPr>
          <w:ilvl w:val="0"/>
          <w:numId w:val="4"/>
        </w:numPr>
        <w:spacing w:after="0"/>
        <w:contextualSpacing w:val="0"/>
        <w:rPr>
          <w:sz w:val="22"/>
          <w:szCs w:val="22"/>
        </w:rPr>
      </w:pPr>
      <w:r>
        <w:rPr>
          <w:sz w:val="22"/>
          <w:szCs w:val="22"/>
        </w:rPr>
        <w:t>FG31</w:t>
      </w:r>
    </w:p>
    <w:p>
      <w:pPr>
        <w:pStyle w:val="Listenabsatz"/>
        <w:numPr>
          <w:ilvl w:val="1"/>
          <w:numId w:val="2"/>
        </w:numPr>
        <w:spacing w:after="0"/>
        <w:contextualSpacing w:val="0"/>
        <w:rPr>
          <w:sz w:val="22"/>
          <w:szCs w:val="22"/>
        </w:rPr>
      </w:pPr>
      <w:r>
        <w:rPr>
          <w:sz w:val="22"/>
          <w:szCs w:val="22"/>
        </w:rPr>
        <w:t>Ute Rexroth</w:t>
      </w:r>
    </w:p>
    <w:p>
      <w:pPr>
        <w:pStyle w:val="Listenabsatz"/>
        <w:numPr>
          <w:ilvl w:val="1"/>
          <w:numId w:val="2"/>
        </w:numPr>
        <w:spacing w:after="0"/>
        <w:contextualSpacing w:val="0"/>
        <w:rPr>
          <w:sz w:val="22"/>
          <w:szCs w:val="22"/>
        </w:rPr>
      </w:pPr>
      <w:r>
        <w:rPr>
          <w:sz w:val="22"/>
          <w:szCs w:val="22"/>
        </w:rPr>
        <w:t>Maria an der Heiden</w:t>
      </w:r>
    </w:p>
    <w:p>
      <w:pPr>
        <w:pStyle w:val="Listenabsatz"/>
        <w:numPr>
          <w:ilvl w:val="1"/>
          <w:numId w:val="2"/>
        </w:numPr>
        <w:spacing w:after="0"/>
        <w:contextualSpacing w:val="0"/>
        <w:rPr>
          <w:sz w:val="22"/>
          <w:szCs w:val="22"/>
        </w:rPr>
      </w:pPr>
      <w:r>
        <w:rPr>
          <w:sz w:val="22"/>
          <w:szCs w:val="22"/>
        </w:rPr>
        <w:t>Amrei Wolter (Protokoll)</w:t>
      </w:r>
    </w:p>
    <w:p>
      <w:pPr>
        <w:pStyle w:val="Listenabsatz"/>
        <w:numPr>
          <w:ilvl w:val="0"/>
          <w:numId w:val="4"/>
        </w:numPr>
        <w:spacing w:after="0"/>
        <w:contextualSpacing w:val="0"/>
        <w:rPr>
          <w:sz w:val="22"/>
          <w:szCs w:val="22"/>
        </w:rPr>
      </w:pPr>
      <w:r>
        <w:rPr>
          <w:sz w:val="22"/>
          <w:szCs w:val="22"/>
        </w:rPr>
        <w:t>FG32</w:t>
      </w:r>
    </w:p>
    <w:p>
      <w:pPr>
        <w:pStyle w:val="Listenabsatz"/>
        <w:numPr>
          <w:ilvl w:val="1"/>
          <w:numId w:val="2"/>
        </w:numPr>
        <w:spacing w:after="0"/>
        <w:contextualSpacing w:val="0"/>
        <w:rPr>
          <w:sz w:val="22"/>
          <w:szCs w:val="22"/>
        </w:rPr>
      </w:pPr>
      <w:r>
        <w:rPr>
          <w:sz w:val="22"/>
          <w:szCs w:val="22"/>
        </w:rPr>
        <w:t>Michaela Diercke</w:t>
      </w:r>
    </w:p>
    <w:p>
      <w:pPr>
        <w:pStyle w:val="Listenabsatz"/>
        <w:spacing w:after="0"/>
        <w:ind w:left="1440"/>
        <w:contextualSpacing w:val="0"/>
        <w:rPr>
          <w:sz w:val="22"/>
          <w:szCs w:val="22"/>
        </w:rPr>
      </w:pPr>
    </w:p>
    <w:p>
      <w:pPr>
        <w:pStyle w:val="Listenabsatz"/>
        <w:numPr>
          <w:ilvl w:val="0"/>
          <w:numId w:val="2"/>
        </w:numPr>
        <w:spacing w:after="0"/>
        <w:contextualSpacing w:val="0"/>
        <w:rPr>
          <w:sz w:val="22"/>
          <w:szCs w:val="22"/>
        </w:rPr>
      </w:pPr>
      <w:r>
        <w:rPr>
          <w:sz w:val="22"/>
          <w:szCs w:val="22"/>
        </w:rPr>
        <w:t>FG33</w:t>
      </w:r>
    </w:p>
    <w:p>
      <w:pPr>
        <w:pStyle w:val="Listenabsatz"/>
        <w:numPr>
          <w:ilvl w:val="1"/>
          <w:numId w:val="2"/>
        </w:numPr>
        <w:spacing w:after="0"/>
        <w:contextualSpacing w:val="0"/>
        <w:rPr>
          <w:sz w:val="22"/>
        </w:rPr>
      </w:pPr>
      <w:proofErr w:type="spellStart"/>
      <w:r>
        <w:rPr>
          <w:sz w:val="22"/>
        </w:rPr>
        <w:t>Nita</w:t>
      </w:r>
      <w:proofErr w:type="spellEnd"/>
      <w:r>
        <w:rPr>
          <w:sz w:val="22"/>
        </w:rPr>
        <w:t xml:space="preserve"> </w:t>
      </w:r>
      <w:proofErr w:type="spellStart"/>
      <w:r>
        <w:rPr>
          <w:sz w:val="22"/>
        </w:rPr>
        <w:t>Perumal</w:t>
      </w:r>
      <w:proofErr w:type="spellEnd"/>
    </w:p>
    <w:p>
      <w:pPr>
        <w:pStyle w:val="Listenabsatz"/>
        <w:numPr>
          <w:ilvl w:val="0"/>
          <w:numId w:val="2"/>
        </w:numPr>
        <w:spacing w:after="0"/>
        <w:contextualSpacing w:val="0"/>
        <w:rPr>
          <w:sz w:val="22"/>
          <w:szCs w:val="22"/>
        </w:rPr>
      </w:pPr>
      <w:r>
        <w:rPr>
          <w:sz w:val="22"/>
          <w:szCs w:val="22"/>
        </w:rPr>
        <w:t>FG35</w:t>
      </w:r>
    </w:p>
    <w:p>
      <w:pPr>
        <w:pStyle w:val="Listenabsatz"/>
        <w:numPr>
          <w:ilvl w:val="1"/>
          <w:numId w:val="2"/>
        </w:numPr>
        <w:spacing w:after="0"/>
        <w:contextualSpacing w:val="0"/>
        <w:rPr>
          <w:sz w:val="22"/>
          <w:szCs w:val="22"/>
        </w:rPr>
      </w:pPr>
      <w:r>
        <w:rPr>
          <w:sz w:val="22"/>
          <w:szCs w:val="22"/>
        </w:rPr>
        <w:t>Christina Frank</w:t>
      </w: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Udo Buchholz</w:t>
      </w:r>
    </w:p>
    <w:p>
      <w:pPr>
        <w:pStyle w:val="Listenabsatz"/>
        <w:numPr>
          <w:ilvl w:val="1"/>
          <w:numId w:val="2"/>
        </w:numPr>
        <w:spacing w:after="0"/>
        <w:contextualSpacing w:val="0"/>
        <w:rPr>
          <w:sz w:val="22"/>
          <w:szCs w:val="22"/>
        </w:rPr>
      </w:pPr>
      <w:r>
        <w:rPr>
          <w:sz w:val="22"/>
          <w:szCs w:val="22"/>
        </w:rPr>
        <w:t>Silke Buda</w:t>
      </w:r>
    </w:p>
    <w:p>
      <w:pPr>
        <w:pStyle w:val="Listenabsatz"/>
        <w:numPr>
          <w:ilvl w:val="1"/>
          <w:numId w:val="2"/>
        </w:numPr>
        <w:spacing w:after="0"/>
        <w:contextualSpacing w:val="0"/>
        <w:rPr>
          <w:sz w:val="22"/>
          <w:szCs w:val="22"/>
        </w:rPr>
      </w:pPr>
      <w:r>
        <w:rPr>
          <w:sz w:val="22"/>
          <w:szCs w:val="22"/>
        </w:rPr>
        <w:t>Stefan Kröger</w:t>
      </w:r>
    </w:p>
    <w:p>
      <w:pPr>
        <w:pStyle w:val="Listenabsatz"/>
        <w:numPr>
          <w:ilvl w:val="1"/>
          <w:numId w:val="2"/>
        </w:numPr>
        <w:spacing w:after="0"/>
        <w:contextualSpacing w:val="0"/>
        <w:rPr>
          <w:sz w:val="22"/>
          <w:szCs w:val="22"/>
        </w:rPr>
      </w:pPr>
      <w:r>
        <w:rPr>
          <w:sz w:val="22"/>
          <w:szCs w:val="22"/>
        </w:rPr>
        <w:t>Kristin Tolksdorf</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Muna Abu Sin</w:t>
      </w:r>
    </w:p>
    <w:p>
      <w:pPr>
        <w:pStyle w:val="Listenabsatz"/>
        <w:numPr>
          <w:ilvl w:val="0"/>
          <w:numId w:val="3"/>
        </w:numPr>
        <w:spacing w:after="0"/>
        <w:contextualSpacing w:val="0"/>
        <w:rPr>
          <w:sz w:val="22"/>
          <w:szCs w:val="22"/>
        </w:rPr>
      </w:pPr>
      <w:r>
        <w:rPr>
          <w:sz w:val="22"/>
          <w:szCs w:val="22"/>
        </w:rPr>
        <w:t>ZBS7</w:t>
      </w:r>
    </w:p>
    <w:p>
      <w:pPr>
        <w:pStyle w:val="Listenabsatz"/>
        <w:numPr>
          <w:ilvl w:val="1"/>
          <w:numId w:val="3"/>
        </w:numPr>
        <w:spacing w:after="0"/>
        <w:contextualSpacing w:val="0"/>
        <w:rPr>
          <w:sz w:val="22"/>
          <w:szCs w:val="22"/>
        </w:rPr>
      </w:pPr>
      <w:r>
        <w:rPr>
          <w:sz w:val="22"/>
          <w:szCs w:val="22"/>
        </w:rPr>
        <w:t>Annegret Schneider</w:t>
      </w:r>
    </w:p>
    <w:p>
      <w:pPr>
        <w:pStyle w:val="Listenabsatz"/>
        <w:numPr>
          <w:ilvl w:val="0"/>
          <w:numId w:val="3"/>
        </w:numPr>
        <w:spacing w:after="0"/>
        <w:contextualSpacing w:val="0"/>
        <w:rPr>
          <w:sz w:val="22"/>
          <w:szCs w:val="22"/>
        </w:rPr>
      </w:pPr>
      <w:r>
        <w:rPr>
          <w:sz w:val="22"/>
          <w:szCs w:val="22"/>
        </w:rPr>
        <w:t>MF4</w:t>
      </w:r>
    </w:p>
    <w:p>
      <w:pPr>
        <w:pStyle w:val="Listenabsatz"/>
        <w:numPr>
          <w:ilvl w:val="1"/>
          <w:numId w:val="3"/>
        </w:numPr>
        <w:spacing w:after="0"/>
        <w:contextualSpacing w:val="0"/>
        <w:rPr>
          <w:sz w:val="22"/>
          <w:szCs w:val="22"/>
        </w:rPr>
      </w:pPr>
      <w:r>
        <w:rPr>
          <w:sz w:val="22"/>
          <w:szCs w:val="22"/>
        </w:rPr>
        <w:t>Martina Fischer</w:t>
      </w:r>
    </w:p>
    <w:p>
      <w:pPr>
        <w:pStyle w:val="Listenabsatz"/>
        <w:numPr>
          <w:ilvl w:val="0"/>
          <w:numId w:val="3"/>
        </w:numPr>
        <w:spacing w:after="0"/>
        <w:contextualSpacing w:val="0"/>
        <w:rPr>
          <w:sz w:val="22"/>
          <w:szCs w:val="22"/>
        </w:rPr>
      </w:pPr>
      <w:r>
        <w:rPr>
          <w:sz w:val="22"/>
          <w:szCs w:val="22"/>
        </w:rPr>
        <w:t>P1</w:t>
      </w:r>
    </w:p>
    <w:p>
      <w:pPr>
        <w:pStyle w:val="Listenabsatz"/>
        <w:numPr>
          <w:ilvl w:val="1"/>
          <w:numId w:val="3"/>
        </w:numPr>
        <w:spacing w:after="0"/>
        <w:contextualSpacing w:val="0"/>
        <w:rPr>
          <w:sz w:val="22"/>
          <w:szCs w:val="22"/>
        </w:rPr>
      </w:pPr>
      <w:r>
        <w:rPr>
          <w:sz w:val="22"/>
          <w:szCs w:val="22"/>
        </w:rPr>
        <w:t>Ines Lein</w:t>
      </w:r>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spacing w:after="0"/>
        <w:contextualSpacing w:val="0"/>
        <w:rPr>
          <w:sz w:val="22"/>
          <w:szCs w:val="22"/>
        </w:rPr>
      </w:pPr>
      <w:r>
        <w:rPr>
          <w:sz w:val="22"/>
          <w:szCs w:val="22"/>
        </w:rPr>
        <w:t>Susanne Glasmacher</w:t>
      </w:r>
    </w:p>
    <w:p>
      <w:pPr>
        <w:pStyle w:val="Listenabsatz"/>
        <w:numPr>
          <w:ilvl w:val="1"/>
          <w:numId w:val="3"/>
        </w:numPr>
        <w:rPr>
          <w:sz w:val="22"/>
          <w:szCs w:val="22"/>
        </w:rPr>
      </w:pPr>
      <w:r>
        <w:rPr>
          <w:sz w:val="22"/>
          <w:szCs w:val="22"/>
        </w:rPr>
        <w:t xml:space="preserve">Ronja Wenchel </w:t>
      </w:r>
    </w:p>
    <w:p>
      <w:pPr>
        <w:pStyle w:val="Listenabsatz"/>
        <w:numPr>
          <w:ilvl w:val="0"/>
          <w:numId w:val="2"/>
        </w:numPr>
        <w:spacing w:after="0"/>
        <w:contextualSpacing w:val="0"/>
        <w:rPr>
          <w:sz w:val="22"/>
          <w:szCs w:val="22"/>
        </w:rPr>
      </w:pPr>
      <w:r>
        <w:rPr>
          <w:sz w:val="22"/>
          <w:szCs w:val="22"/>
        </w:rPr>
        <w:t>ZIG</w:t>
      </w:r>
    </w:p>
    <w:p>
      <w:pPr>
        <w:pStyle w:val="Listenabsatz"/>
        <w:numPr>
          <w:ilvl w:val="1"/>
          <w:numId w:val="2"/>
        </w:numPr>
        <w:spacing w:after="0"/>
        <w:contextualSpacing w:val="0"/>
        <w:rPr>
          <w:sz w:val="22"/>
          <w:szCs w:val="22"/>
        </w:rPr>
      </w:pPr>
      <w:proofErr w:type="spellStart"/>
      <w:r>
        <w:rPr>
          <w:sz w:val="22"/>
          <w:szCs w:val="22"/>
        </w:rPr>
        <w:t>Mikheil</w:t>
      </w:r>
      <w:proofErr w:type="spellEnd"/>
      <w:r>
        <w:rPr>
          <w:sz w:val="22"/>
          <w:szCs w:val="22"/>
        </w:rPr>
        <w:t xml:space="preserve"> </w:t>
      </w:r>
      <w:proofErr w:type="spellStart"/>
      <w:r>
        <w:rPr>
          <w:sz w:val="22"/>
          <w:szCs w:val="22"/>
        </w:rPr>
        <w:t>Popkhadze</w:t>
      </w:r>
      <w:proofErr w:type="spellEnd"/>
    </w:p>
    <w:p>
      <w:pPr>
        <w:pStyle w:val="Listenabsatz"/>
        <w:numPr>
          <w:ilvl w:val="1"/>
          <w:numId w:val="2"/>
        </w:numPr>
        <w:spacing w:after="0"/>
        <w:contextualSpacing w:val="0"/>
        <w:rPr>
          <w:rStyle w:val="highlight"/>
          <w:sz w:val="22"/>
          <w:szCs w:val="22"/>
        </w:rPr>
      </w:pPr>
      <w:r>
        <w:rPr>
          <w:rStyle w:val="highlight"/>
          <w:sz w:val="22"/>
          <w:szCs w:val="22"/>
        </w:rPr>
        <w:t>Anna Rohde</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contextualSpacing w:val="0"/>
        <w:rPr>
          <w:sz w:val="22"/>
          <w:szCs w:val="22"/>
        </w:rPr>
      </w:pPr>
      <w:r>
        <w:rPr>
          <w:color w:val="000000" w:themeColor="text1"/>
          <w:sz w:val="22"/>
          <w:szCs w:val="22"/>
        </w:rPr>
        <w:t xml:space="preserve">Andrea </w:t>
      </w:r>
      <w:proofErr w:type="spellStart"/>
      <w:r>
        <w:rPr>
          <w:color w:val="000000" w:themeColor="text1"/>
          <w:sz w:val="22"/>
          <w:szCs w:val="22"/>
        </w:rPr>
        <w:t>Rückle</w:t>
      </w:r>
      <w:proofErr w:type="spellEnd"/>
    </w:p>
    <w:p>
      <w:pPr>
        <w:rPr>
          <w:sz w:val="22"/>
          <w:szCs w:val="22"/>
        </w:rPr>
      </w:pPr>
      <w:r>
        <w:rPr>
          <w:sz w:val="22"/>
          <w:szCs w:val="22"/>
        </w:rPr>
        <w:br w:type="page"/>
      </w:r>
    </w:p>
    <w:bookmarkEnd w:id="0"/>
    <w:p>
      <w:pPr>
        <w:spacing w:after="0"/>
        <w:rPr>
          <w:sz w:val="22"/>
        </w:rPr>
        <w:sectPr>
          <w:type w:val="continuous"/>
          <w:pgSz w:w="11900" w:h="16840"/>
          <w:pgMar w:top="1440" w:right="1800" w:bottom="1440" w:left="1800" w:header="708" w:footer="708" w:gutter="0"/>
          <w:cols w:num="2" w:space="560"/>
        </w:sectPr>
      </w:pPr>
    </w:p>
    <w:p>
      <w:pPr>
        <w:pStyle w:val="Liste2"/>
        <w:numPr>
          <w:ilvl w:val="0"/>
          <w:numId w:val="0"/>
        </w:numPr>
      </w:pPr>
    </w:p>
    <w:tbl>
      <w:tblPr>
        <w:tblStyle w:val="Tabellenraster"/>
        <w:tblW w:w="8971" w:type="dxa"/>
        <w:tblLayout w:type="fixed"/>
        <w:tblLook w:val="00A0" w:firstRow="1" w:lastRow="0" w:firstColumn="1" w:lastColumn="0" w:noHBand="0" w:noVBand="0"/>
      </w:tblPr>
      <w:tblGrid>
        <w:gridCol w:w="684"/>
        <w:gridCol w:w="6824"/>
        <w:gridCol w:w="1463"/>
      </w:tblGrid>
      <w:tr>
        <w:tc>
          <w:tcPr>
            <w:tcW w:w="684" w:type="dxa"/>
          </w:tcPr>
          <w:p>
            <w:pPr>
              <w:pStyle w:val="1"/>
              <w:rPr>
                <w:sz w:val="24"/>
              </w:rPr>
            </w:pPr>
            <w:r>
              <w:rPr>
                <w:sz w:val="24"/>
              </w:rPr>
              <w:br w:type="page"/>
            </w:r>
            <w:r>
              <w:rPr>
                <w:sz w:val="24"/>
              </w:rPr>
              <w:br w:type="page"/>
              <w:t>TOP</w:t>
            </w:r>
          </w:p>
        </w:tc>
        <w:tc>
          <w:tcPr>
            <w:tcW w:w="6824" w:type="dxa"/>
          </w:tcPr>
          <w:p>
            <w:pPr>
              <w:pStyle w:val="1"/>
              <w:rPr>
                <w:sz w:val="24"/>
              </w:rPr>
            </w:pPr>
            <w:r>
              <w:rPr>
                <w:sz w:val="24"/>
              </w:rPr>
              <w:t>Beitrag/ Thema</w:t>
            </w:r>
          </w:p>
        </w:tc>
        <w:tc>
          <w:tcPr>
            <w:tcW w:w="1463" w:type="dxa"/>
          </w:tcPr>
          <w:p>
            <w:pPr>
              <w:rPr>
                <w:b/>
                <w:sz w:val="22"/>
                <w:szCs w:val="22"/>
              </w:rPr>
            </w:pPr>
            <w:r>
              <w:rPr>
                <w:b/>
                <w:sz w:val="22"/>
                <w:szCs w:val="22"/>
              </w:rPr>
              <w:t>eingebracht von</w:t>
            </w:r>
          </w:p>
        </w:tc>
      </w:tr>
      <w:tr>
        <w:tc>
          <w:tcPr>
            <w:tcW w:w="684" w:type="dxa"/>
          </w:tcPr>
          <w:p>
            <w:pPr>
              <w:rPr>
                <w:b/>
              </w:rPr>
            </w:pPr>
            <w:r>
              <w:rPr>
                <w:b/>
              </w:rPr>
              <w:t>1</w:t>
            </w:r>
          </w:p>
        </w:tc>
        <w:tc>
          <w:tcPr>
            <w:tcW w:w="6824" w:type="dxa"/>
          </w:tcPr>
          <w:p>
            <w:pPr>
              <w:pStyle w:val="1"/>
            </w:pPr>
            <w:r>
              <w:t xml:space="preserve">Aktuelle Lage </w:t>
            </w:r>
          </w:p>
          <w:p>
            <w:pPr>
              <w:spacing w:line="276" w:lineRule="auto"/>
              <w:rPr>
                <w:rStyle w:val="TagMiZchn"/>
                <w:bCs/>
              </w:rPr>
            </w:pPr>
            <w:r>
              <w:rPr>
                <w:rStyle w:val="2Zchn"/>
                <w:sz w:val="22"/>
                <w:szCs w:val="22"/>
              </w:rPr>
              <w:t>International</w:t>
            </w:r>
            <w:r>
              <w:rPr>
                <w:rStyle w:val="TagMiZchn"/>
                <w:bCs/>
              </w:rPr>
              <w:t xml:space="preserve"> </w:t>
            </w:r>
          </w:p>
          <w:p>
            <w:pPr>
              <w:pStyle w:val="Liste2"/>
            </w:pPr>
            <w:proofErr w:type="spellStart"/>
            <w:r>
              <w:t>Folien</w:t>
            </w:r>
            <w:proofErr w:type="spellEnd"/>
            <w:r>
              <w:t xml:space="preserve"> </w:t>
            </w:r>
            <w:hyperlink r:id="rId14" w:history="1">
              <w:proofErr w:type="spellStart"/>
              <w:r>
                <w:rPr>
                  <w:rStyle w:val="Hyperlink"/>
                  <w:highlight w:val="yellow"/>
                </w:rPr>
                <w:t>hier</w:t>
              </w:r>
              <w:proofErr w:type="spellEnd"/>
            </w:hyperlink>
          </w:p>
          <w:p>
            <w:pPr>
              <w:pStyle w:val="Liste2"/>
            </w:pPr>
            <w:proofErr w:type="spellStart"/>
            <w:r>
              <w:t>Weltweit</w:t>
            </w:r>
            <w:proofErr w:type="spellEnd"/>
            <w:r>
              <w:t xml:space="preserve">: </w:t>
            </w:r>
            <w:proofErr w:type="spellStart"/>
            <w:r>
              <w:t>Fälle</w:t>
            </w:r>
            <w:proofErr w:type="spellEnd"/>
            <w:r>
              <w:t xml:space="preserve">, </w:t>
            </w:r>
            <w:proofErr w:type="spellStart"/>
            <w:r>
              <w:t>Todesfälle</w:t>
            </w:r>
            <w:proofErr w:type="spellEnd"/>
          </w:p>
          <w:p>
            <w:pPr>
              <w:pStyle w:val="Liste2"/>
            </w:pPr>
            <w:proofErr w:type="spellStart"/>
            <w:r>
              <w:t>Datenstand</w:t>
            </w:r>
            <w:proofErr w:type="spellEnd"/>
            <w:r>
              <w:t>: WHO, 10.05.2022</w:t>
            </w:r>
          </w:p>
          <w:p>
            <w:pPr>
              <w:pStyle w:val="Liste2"/>
              <w:rPr>
                <w:lang w:val="de-DE"/>
              </w:rPr>
            </w:pPr>
            <w:r>
              <w:rPr>
                <w:lang w:val="de-DE"/>
              </w:rPr>
              <w:t>Fälle: 515.748.861 (-6% im Vergleich zu Vorwoche)</w:t>
            </w:r>
          </w:p>
          <w:p>
            <w:pPr>
              <w:pStyle w:val="Liste2"/>
            </w:pPr>
            <w:proofErr w:type="spellStart"/>
            <w:r>
              <w:t>Todesfälle</w:t>
            </w:r>
            <w:proofErr w:type="spellEnd"/>
            <w:r>
              <w:t>: 6.255.835 (CFR: 1,2%)</w:t>
            </w:r>
          </w:p>
          <w:p>
            <w:pPr>
              <w:pStyle w:val="Liste2"/>
              <w:rPr>
                <w:lang w:val="de-DE"/>
              </w:rPr>
            </w:pPr>
            <w:r>
              <w:rPr>
                <w:lang w:val="de-DE"/>
              </w:rPr>
              <w:t xml:space="preserve">Liste Top 10 Länder nach neuen Fällen: </w:t>
            </w:r>
          </w:p>
          <w:p>
            <w:pPr>
              <w:pStyle w:val="Liste3"/>
              <w:numPr>
                <w:ilvl w:val="1"/>
                <w:numId w:val="7"/>
              </w:numPr>
            </w:pPr>
            <w:r>
              <w:t>Top 10 Länder: Australien, Deutschland, USA, Italien, Südkorea, Frankreich, China, Japan, Spanien, Brasilien</w:t>
            </w:r>
          </w:p>
          <w:p>
            <w:pPr>
              <w:pStyle w:val="Liste3"/>
              <w:numPr>
                <w:ilvl w:val="1"/>
                <w:numId w:val="7"/>
              </w:numPr>
            </w:pPr>
            <w:r>
              <w:t>Aufsteigender Trend: Australien (um 77%), USA, China</w:t>
            </w:r>
          </w:p>
          <w:p>
            <w:pPr>
              <w:pStyle w:val="Liste3"/>
              <w:numPr>
                <w:ilvl w:val="1"/>
                <w:numId w:val="7"/>
              </w:numPr>
            </w:pPr>
            <w:r>
              <w:t xml:space="preserve">In USA </w:t>
            </w:r>
            <w:proofErr w:type="spellStart"/>
            <w:r>
              <w:t>leciht</w:t>
            </w:r>
            <w:proofErr w:type="spellEnd"/>
            <w:r>
              <w:t xml:space="preserve"> ansteigender Trend durch BA.2.1.12</w:t>
            </w:r>
          </w:p>
          <w:p>
            <w:pPr>
              <w:pStyle w:val="Liste3"/>
              <w:numPr>
                <w:ilvl w:val="1"/>
                <w:numId w:val="7"/>
              </w:numPr>
            </w:pPr>
            <w:r>
              <w:t>Lockdowns in China sind massiv, niedrige Impfquote, neu auftretende Fälle außerhalb der Quarantänezone</w:t>
            </w:r>
          </w:p>
          <w:p>
            <w:pPr>
              <w:pStyle w:val="Liste2"/>
            </w:pPr>
            <w:r>
              <w:t>WHO epidemiological update</w:t>
            </w:r>
          </w:p>
          <w:p>
            <w:pPr>
              <w:pStyle w:val="Liste3"/>
              <w:numPr>
                <w:ilvl w:val="1"/>
                <w:numId w:val="7"/>
              </w:numPr>
            </w:pPr>
            <w:r>
              <w:t xml:space="preserve">CAVE vielerorts geänderte Teststrategien insbesondere in Europa (z.B. Spanien, Dänemark, England testen nur Risikogruppen, Personen die Behandlung im KH benötigen und Personen die mit RG arbeiten; Österreich hat den Anzahl PCR pro </w:t>
            </w:r>
            <w:proofErr w:type="spellStart"/>
            <w:proofErr w:type="gramStart"/>
            <w:r>
              <w:t>Einwohner:innen</w:t>
            </w:r>
            <w:proofErr w:type="spellEnd"/>
            <w:proofErr w:type="gramEnd"/>
            <w:r>
              <w:t xml:space="preserve"> reduziert)</w:t>
            </w:r>
          </w:p>
          <w:p>
            <w:pPr>
              <w:pStyle w:val="Liste3"/>
              <w:numPr>
                <w:ilvl w:val="1"/>
                <w:numId w:val="7"/>
              </w:numPr>
            </w:pPr>
            <w:r>
              <w:t>Abfallender Trend verlangsamt sich, Talsohle erreicht</w:t>
            </w:r>
          </w:p>
          <w:p>
            <w:pPr>
              <w:pStyle w:val="Liste2"/>
              <w:rPr>
                <w:lang w:val="de-DE"/>
              </w:rPr>
            </w:pPr>
            <w:r>
              <w:rPr>
                <w:lang w:val="de-DE"/>
              </w:rPr>
              <w:t>Karte mit 7-Tage-Inzidenz pro 100.000 Einwohner in Europa</w:t>
            </w:r>
          </w:p>
          <w:p>
            <w:pPr>
              <w:pStyle w:val="Liste3"/>
              <w:numPr>
                <w:ilvl w:val="1"/>
                <w:numId w:val="7"/>
              </w:numPr>
            </w:pPr>
            <w:r>
              <w:t>Australien ist wieder geöffnet, keine Zero-</w:t>
            </w:r>
            <w:proofErr w:type="spellStart"/>
            <w:r>
              <w:t>Covid</w:t>
            </w:r>
            <w:proofErr w:type="spellEnd"/>
            <w:r>
              <w:t>-Strategie, stabile Lage (Aufnahme in KH nicht gestiegen)</w:t>
            </w:r>
          </w:p>
          <w:p>
            <w:pPr>
              <w:pStyle w:val="Liste3"/>
              <w:numPr>
                <w:ilvl w:val="1"/>
                <w:numId w:val="7"/>
              </w:numPr>
            </w:pPr>
            <w:r>
              <w:t>Situation in Europa entspannt sich, dennoch hohe Inzidenzen</w:t>
            </w:r>
          </w:p>
          <w:p>
            <w:pPr>
              <w:pStyle w:val="2"/>
            </w:pPr>
            <w:r>
              <w:t xml:space="preserve">National </w:t>
            </w:r>
          </w:p>
          <w:p>
            <w:pPr>
              <w:pStyle w:val="Liste2"/>
            </w:pPr>
            <w:proofErr w:type="spellStart"/>
            <w:r>
              <w:t>Fallzahlen</w:t>
            </w:r>
            <w:proofErr w:type="spellEnd"/>
            <w:r>
              <w:t xml:space="preserve">, </w:t>
            </w:r>
            <w:proofErr w:type="spellStart"/>
            <w:r>
              <w:t>Todesfälle</w:t>
            </w:r>
            <w:proofErr w:type="spellEnd"/>
            <w:r>
              <w:t xml:space="preserve">, Trend, </w:t>
            </w:r>
            <w:proofErr w:type="spellStart"/>
            <w:r>
              <w:t>Folien</w:t>
            </w:r>
            <w:proofErr w:type="spellEnd"/>
            <w:r>
              <w:t xml:space="preserve"> </w:t>
            </w:r>
            <w:hyperlink r:id="rId15" w:history="1">
              <w:proofErr w:type="spellStart"/>
              <w:r>
                <w:rPr>
                  <w:rStyle w:val="Hyperlink"/>
                  <w:highlight w:val="yellow"/>
                </w:rPr>
                <w:t>hier</w:t>
              </w:r>
              <w:proofErr w:type="spellEnd"/>
            </w:hyperlink>
          </w:p>
          <w:p>
            <w:pPr>
              <w:pStyle w:val="Liste2"/>
              <w:rPr>
                <w:lang w:val="de-DE"/>
              </w:rPr>
            </w:pPr>
            <w:proofErr w:type="spellStart"/>
            <w:r>
              <w:rPr>
                <w:lang w:val="de-DE"/>
              </w:rPr>
              <w:t>SurvNet</w:t>
            </w:r>
            <w:proofErr w:type="spellEnd"/>
            <w:r>
              <w:rPr>
                <w:lang w:val="de-DE"/>
              </w:rPr>
              <w:t xml:space="preserve"> übermittelt: </w:t>
            </w:r>
            <w:proofErr w:type="spellStart"/>
            <w:r>
              <w:rPr>
                <w:lang w:val="de-DE"/>
              </w:rPr>
              <w:t>SurvNet</w:t>
            </w:r>
            <w:proofErr w:type="spellEnd"/>
            <w:r>
              <w:rPr>
                <w:lang w:val="de-DE"/>
              </w:rPr>
              <w:t xml:space="preserve"> übermittelt: 25.503.878 (+97.101), davon 136.987 (+231) Todesfälle </w:t>
            </w:r>
          </w:p>
          <w:p>
            <w:pPr>
              <w:pStyle w:val="Liste2"/>
            </w:pPr>
            <w:r>
              <w:t xml:space="preserve">7-Tage-Inzidenz:  507,1/100.000 </w:t>
            </w:r>
            <w:proofErr w:type="spellStart"/>
            <w:r>
              <w:t>Einw</w:t>
            </w:r>
            <w:proofErr w:type="spellEnd"/>
            <w:r>
              <w:t>.</w:t>
            </w:r>
          </w:p>
          <w:p>
            <w:pPr>
              <w:pStyle w:val="Liste2"/>
              <w:rPr>
                <w:lang w:val="de-DE"/>
              </w:rPr>
            </w:pPr>
            <w:proofErr w:type="spellStart"/>
            <w:r>
              <w:rPr>
                <w:lang w:val="de-DE"/>
              </w:rPr>
              <w:t>Impfmonitoring</w:t>
            </w:r>
            <w:proofErr w:type="spellEnd"/>
            <w:r>
              <w:rPr>
                <w:lang w:val="de-DE"/>
              </w:rPr>
              <w:t>: Geimpfte mit 1. Dosis 64.516.596 (77,6%), mit vollständiger Impfung 49.450.402 (59,5%)</w:t>
            </w:r>
          </w:p>
          <w:p>
            <w:pPr>
              <w:pStyle w:val="Liste2"/>
              <w:rPr>
                <w:lang w:val="de-DE"/>
              </w:rPr>
            </w:pPr>
            <w:r>
              <w:rPr>
                <w:lang w:val="de-DE"/>
              </w:rPr>
              <w:t>Verlauf der 7-Tage-Inzidenz der Bundesländer:</w:t>
            </w:r>
          </w:p>
          <w:p>
            <w:pPr>
              <w:pStyle w:val="Liste3"/>
              <w:numPr>
                <w:ilvl w:val="1"/>
                <w:numId w:val="7"/>
              </w:numPr>
            </w:pPr>
            <w:r>
              <w:t>Rückgang in allen BL, höchste 7-Tages-Inzidenz in SH, niedrigste 7-Tages-Inzidenz in TH, BB, SA</w:t>
            </w:r>
          </w:p>
          <w:p>
            <w:pPr>
              <w:pStyle w:val="Liste3"/>
              <w:numPr>
                <w:ilvl w:val="1"/>
                <w:numId w:val="7"/>
              </w:numPr>
            </w:pPr>
            <w:r>
              <w:t>Stärkster Rückgang Ende April, seitdem flacher</w:t>
            </w:r>
          </w:p>
          <w:p>
            <w:pPr>
              <w:pStyle w:val="Liste3"/>
              <w:numPr>
                <w:ilvl w:val="1"/>
                <w:numId w:val="7"/>
              </w:numPr>
            </w:pPr>
            <w:r>
              <w:t>Geographisch: in östlichen BL niedrigere 7-Tages-Inzidenz als in nördlichen BL (SH, NI)</w:t>
            </w:r>
          </w:p>
          <w:p>
            <w:pPr>
              <w:pStyle w:val="Liste3"/>
              <w:numPr>
                <w:ilvl w:val="1"/>
                <w:numId w:val="7"/>
              </w:numPr>
            </w:pPr>
            <w:r>
              <w:t>Hohe Inzidenzen im Rhein-Hunsrück-Kreis liegen an vermehrten Nachmeldungen</w:t>
            </w:r>
          </w:p>
          <w:p>
            <w:pPr>
              <w:pStyle w:val="Liste3"/>
              <w:numPr>
                <w:ilvl w:val="1"/>
                <w:numId w:val="7"/>
              </w:numPr>
            </w:pPr>
            <w:r>
              <w:t>Abfall um 150 Inzidenzpunkte von KW18 auf KW19</w:t>
            </w:r>
          </w:p>
          <w:p>
            <w:pPr>
              <w:pStyle w:val="Liste3"/>
              <w:numPr>
                <w:ilvl w:val="1"/>
                <w:numId w:val="7"/>
              </w:numPr>
            </w:pPr>
            <w:r>
              <w:t>Höchste 7-Tages-Inzidenz bei Schulkindern/jungen Erwachsenen, niedrigste Inzidenz in AG 70-79 Jahren</w:t>
            </w:r>
          </w:p>
          <w:p>
            <w:pPr>
              <w:pStyle w:val="Liste2"/>
              <w:rPr>
                <w:lang w:val="de-DE"/>
              </w:rPr>
            </w:pPr>
            <w:r>
              <w:rPr>
                <w:lang w:val="de-DE"/>
              </w:rPr>
              <w:t>COVID-19-Fälle nach Altersgruppe und Sterbedatum</w:t>
            </w:r>
          </w:p>
          <w:p>
            <w:pPr>
              <w:pStyle w:val="Liste3"/>
            </w:pPr>
            <w:r>
              <w:lastRenderedPageBreak/>
              <w:t>Unverändertes Niveau zu vorheriger Woche, leichter Rückgang, Veränderung durch Nacherfassung.</w:t>
            </w:r>
          </w:p>
          <w:p>
            <w:pPr>
              <w:pStyle w:val="Liste3"/>
            </w:pPr>
            <w:r>
              <w:t>Wöchentliche Sterbefallzahlen in Deutschland</w:t>
            </w:r>
          </w:p>
          <w:p>
            <w:pPr>
              <w:pStyle w:val="Liste3"/>
            </w:pPr>
            <w:r>
              <w:t>Destatis-Zahlen bestätigen keine Beobachtung von Übersterblichkeit</w:t>
            </w:r>
          </w:p>
          <w:p>
            <w:pPr>
              <w:pStyle w:val="Liste3"/>
              <w:numPr>
                <w:ilvl w:val="0"/>
                <w:numId w:val="0"/>
              </w:numPr>
              <w:ind w:left="1440"/>
            </w:pPr>
          </w:p>
          <w:p>
            <w:pPr>
              <w:pStyle w:val="Liste2"/>
              <w:rPr>
                <w:lang w:val="de-DE"/>
              </w:rPr>
            </w:pPr>
            <w:r>
              <w:rPr>
                <w:lang w:val="de-DE"/>
              </w:rPr>
              <w:t xml:space="preserve">ITS-Belegung und Spock (Folien </w:t>
            </w:r>
            <w:hyperlink r:id="rId16" w:history="1">
              <w:r>
                <w:rPr>
                  <w:rStyle w:val="Hyperlink"/>
                  <w:lang w:val="de-DE"/>
                </w:rPr>
                <w:t>hier</w:t>
              </w:r>
            </w:hyperlink>
            <w:r>
              <w:rPr>
                <w:lang w:val="de-DE"/>
              </w:rPr>
              <w:t xml:space="preserve">)  </w:t>
            </w:r>
          </w:p>
          <w:p>
            <w:pPr>
              <w:pStyle w:val="Liste3"/>
              <w:numPr>
                <w:ilvl w:val="1"/>
                <w:numId w:val="7"/>
              </w:numPr>
            </w:pPr>
            <w:r>
              <w:t xml:space="preserve">DIVI-Intensivregister </w:t>
            </w:r>
          </w:p>
          <w:p>
            <w:pPr>
              <w:pStyle w:val="Liste3"/>
              <w:numPr>
                <w:ilvl w:val="2"/>
                <w:numId w:val="7"/>
              </w:numPr>
            </w:pPr>
            <w:r>
              <w:t>Mit Stand 11.05.2022 werden 1.037 COVID-19-PatientInnen auf Intensivstationen der ca. 1300 Akutkrankenhäuser behandelt</w:t>
            </w:r>
          </w:p>
          <w:p>
            <w:pPr>
              <w:pStyle w:val="Liste3"/>
              <w:numPr>
                <w:ilvl w:val="2"/>
                <w:numId w:val="7"/>
              </w:numPr>
            </w:pPr>
            <w:r>
              <w:t>Leichter Rückgang in der COVID-ITS-Belegung</w:t>
            </w:r>
          </w:p>
          <w:p>
            <w:pPr>
              <w:pStyle w:val="Liste3"/>
              <w:numPr>
                <w:ilvl w:val="2"/>
                <w:numId w:val="7"/>
              </w:numPr>
            </w:pPr>
            <w:r>
              <w:t>ITS-COVID-Neuaufnahmen mit +1.012 in den letzten 7 Tagen</w:t>
            </w:r>
          </w:p>
          <w:p>
            <w:pPr>
              <w:pStyle w:val="Liste3"/>
              <w:numPr>
                <w:ilvl w:val="1"/>
                <w:numId w:val="7"/>
              </w:numPr>
            </w:pPr>
            <w:r>
              <w:t>Anteil der COVID-19-Patient*innen an der Gesamtzahl betreibbarer ITS-Betten</w:t>
            </w:r>
          </w:p>
          <w:p>
            <w:pPr>
              <w:pStyle w:val="Liste3"/>
              <w:numPr>
                <w:ilvl w:val="2"/>
                <w:numId w:val="7"/>
              </w:numPr>
            </w:pPr>
            <w:r>
              <w:t>Durchgehender Rückgang; leichter Anstieg wieder in Bremen, kann aber auch ein Varianzsprung sein</w:t>
            </w:r>
          </w:p>
          <w:p>
            <w:pPr>
              <w:pStyle w:val="Liste3"/>
              <w:numPr>
                <w:ilvl w:val="1"/>
                <w:numId w:val="7"/>
              </w:numPr>
            </w:pPr>
            <w:r>
              <w:t>Behandlungsbelegung COVID-19 nach Schweregrad</w:t>
            </w:r>
          </w:p>
          <w:p>
            <w:pPr>
              <w:pStyle w:val="Liste3"/>
              <w:numPr>
                <w:ilvl w:val="2"/>
                <w:numId w:val="7"/>
              </w:numPr>
            </w:pPr>
            <w:r>
              <w:t>Rückgang in allen Behandlungsgruppen. Nur noch sehr wenige ECMO-Patienten.</w:t>
            </w:r>
          </w:p>
          <w:p>
            <w:pPr>
              <w:pStyle w:val="Liste3"/>
              <w:numPr>
                <w:ilvl w:val="2"/>
                <w:numId w:val="7"/>
              </w:numPr>
            </w:pPr>
            <w:r>
              <w:t>ITS, die zuvor eine Einschränkung gemeldet haben, verlagern sich in „teilweise eingeschränkt“ und „regulär“, daher dort Anstieg</w:t>
            </w:r>
          </w:p>
          <w:p>
            <w:pPr>
              <w:pStyle w:val="Liste3"/>
              <w:numPr>
                <w:ilvl w:val="2"/>
                <w:numId w:val="7"/>
              </w:numPr>
            </w:pPr>
            <w:r>
              <w:t>Hohe Personalausfälle gehen zurück</w:t>
            </w:r>
          </w:p>
          <w:p>
            <w:pPr>
              <w:pStyle w:val="Liste3"/>
              <w:numPr>
                <w:ilvl w:val="1"/>
                <w:numId w:val="7"/>
              </w:numPr>
            </w:pPr>
            <w:r>
              <w:t>Altersgruppen</w:t>
            </w:r>
          </w:p>
          <w:p>
            <w:pPr>
              <w:pStyle w:val="Liste3"/>
              <w:numPr>
                <w:ilvl w:val="2"/>
                <w:numId w:val="7"/>
              </w:numPr>
            </w:pPr>
            <w:r>
              <w:t>In allen AG Rückgang, Trend scheint sich langsam auf Plateau einzupendeln, insbesondere für AG 60-69 und 80+</w:t>
            </w:r>
          </w:p>
          <w:p>
            <w:pPr>
              <w:pStyle w:val="Liste3"/>
              <w:numPr>
                <w:ilvl w:val="2"/>
                <w:numId w:val="7"/>
              </w:numPr>
            </w:pPr>
            <w:r>
              <w:t>Stark dominierend ist AG 60-69, 70-70 und 80+, diese bilden 75% der ITS-Belegung</w:t>
            </w:r>
          </w:p>
          <w:p>
            <w:pPr>
              <w:pStyle w:val="Liste3"/>
              <w:numPr>
                <w:ilvl w:val="2"/>
                <w:numId w:val="7"/>
              </w:numPr>
            </w:pPr>
            <w:proofErr w:type="spellStart"/>
            <w:r>
              <w:t>SPoCK</w:t>
            </w:r>
            <w:proofErr w:type="spellEnd"/>
            <w:r>
              <w:t xml:space="preserve">: Trend Rückgang setzt sich in allen 5 Kleeblättern fort </w:t>
            </w:r>
          </w:p>
          <w:p>
            <w:pPr>
              <w:pStyle w:val="Liste2"/>
              <w:rPr>
                <w:rStyle w:val="TagMiZchn"/>
                <w:b w:val="0"/>
                <w:bCs/>
                <w:lang w:val="de-DE"/>
              </w:rPr>
            </w:pPr>
            <w:r>
              <w:rPr>
                <w:rStyle w:val="3Zchn"/>
                <w:b w:val="0"/>
                <w:lang w:val="de-DE"/>
              </w:rPr>
              <w:t>Testkapazität und Testungen</w:t>
            </w:r>
            <w:r>
              <w:t xml:space="preserve"> </w:t>
            </w:r>
          </w:p>
          <w:p>
            <w:pPr>
              <w:pStyle w:val="Liste3"/>
            </w:pPr>
            <w:r>
              <w:t xml:space="preserve">PCR-Testzahlen haben sich im Vergleich zur Vorwoche nicht groß verändert, in etwa 1 Mio. Test mit einer </w:t>
            </w:r>
            <w:proofErr w:type="spellStart"/>
            <w:r>
              <w:t>Positivenrate</w:t>
            </w:r>
            <w:proofErr w:type="spellEnd"/>
            <w:r>
              <w:t xml:space="preserve"> von 42%</w:t>
            </w:r>
          </w:p>
          <w:p>
            <w:pPr>
              <w:pStyle w:val="Liste3"/>
            </w:pPr>
            <w:r>
              <w:t xml:space="preserve">Zahl der Testungen bleibt etwa gleich, </w:t>
            </w:r>
            <w:proofErr w:type="spellStart"/>
            <w:r>
              <w:t>Positivenrate</w:t>
            </w:r>
            <w:proofErr w:type="spellEnd"/>
            <w:r>
              <w:t xml:space="preserve"> geht deutlich zurück, Welle ist am </w:t>
            </w:r>
            <w:proofErr w:type="spellStart"/>
            <w:r>
              <w:t>ablingen</w:t>
            </w:r>
            <w:proofErr w:type="spellEnd"/>
          </w:p>
          <w:p>
            <w:pPr>
              <w:pStyle w:val="Liste3"/>
            </w:pPr>
            <w:r>
              <w:t>Bezüglich der Laborauslastung ist ein deutlicher Rückgang und keine aktuellen Engpässe zu verzeichnen</w:t>
            </w:r>
          </w:p>
          <w:p>
            <w:pPr>
              <w:pStyle w:val="Liste3"/>
            </w:pPr>
            <w:r>
              <w:t>Laborauslastung</w:t>
            </w:r>
          </w:p>
          <w:p>
            <w:pPr>
              <w:pStyle w:val="Liste3"/>
            </w:pPr>
            <w:r>
              <w:t>Deutlicher Rückgang der Laborauslastungen in allen BL</w:t>
            </w:r>
          </w:p>
          <w:p>
            <w:pPr>
              <w:pStyle w:val="Liste3"/>
            </w:pPr>
            <w:r>
              <w:t xml:space="preserve">Anzahl getestete Person und </w:t>
            </w:r>
            <w:proofErr w:type="spellStart"/>
            <w:r>
              <w:t>Positivenanteil</w:t>
            </w:r>
            <w:proofErr w:type="spellEnd"/>
            <w:r>
              <w:t xml:space="preserve"> nach Altersgruppe in allen AG Rückgang </w:t>
            </w:r>
          </w:p>
          <w:p>
            <w:pPr>
              <w:pStyle w:val="Liste3"/>
            </w:pPr>
            <w:proofErr w:type="spellStart"/>
            <w:r>
              <w:t>Positivenanteile</w:t>
            </w:r>
            <w:proofErr w:type="spellEnd"/>
            <w:r>
              <w:t xml:space="preserve"> nach Einrichtung und Alter: leicht geringerer </w:t>
            </w:r>
            <w:proofErr w:type="spellStart"/>
            <w:r>
              <w:t>Positivenanteil</w:t>
            </w:r>
            <w:proofErr w:type="spellEnd"/>
            <w:r>
              <w:t xml:space="preserve"> bei Älteren im Krankenhaus</w:t>
            </w:r>
          </w:p>
          <w:p>
            <w:pPr>
              <w:pStyle w:val="Liste3"/>
            </w:pPr>
            <w:r>
              <w:t>Tage zwischen Abnahme und Test sind 50% an demselben Tag, 50% einen Tag oder folgende Tage später</w:t>
            </w:r>
          </w:p>
          <w:p>
            <w:pPr>
              <w:pStyle w:val="Liste2"/>
            </w:pPr>
            <w:r>
              <w:t>VOC-</w:t>
            </w:r>
            <w:proofErr w:type="spellStart"/>
            <w:r>
              <w:t>Bericht</w:t>
            </w:r>
            <w:proofErr w:type="spellEnd"/>
          </w:p>
          <w:p>
            <w:pPr>
              <w:pStyle w:val="Liste3"/>
            </w:pPr>
            <w:r>
              <w:lastRenderedPageBreak/>
              <w:t>Omikron nach wie vor dominant mit 99,8%, BA.2 dominiert mit 17,6% und einer leichten Verringerung zur Vorwoche</w:t>
            </w:r>
          </w:p>
          <w:p>
            <w:pPr>
              <w:pStyle w:val="Liste3"/>
            </w:pPr>
            <w:r>
              <w:t xml:space="preserve">BA.1 macht inklusive </w:t>
            </w:r>
            <w:proofErr w:type="spellStart"/>
            <w:r>
              <w:t>Sublinie</w:t>
            </w:r>
            <w:proofErr w:type="spellEnd"/>
            <w:r>
              <w:t xml:space="preserve"> nur noch 1,6% aus</w:t>
            </w:r>
          </w:p>
          <w:p>
            <w:pPr>
              <w:pStyle w:val="Liste3"/>
            </w:pPr>
            <w:r>
              <w:t>BA.4 und BA.5 verbreitet sich stark in Südafrika, in DE noch seltener Nachweis</w:t>
            </w:r>
          </w:p>
          <w:p>
            <w:pPr>
              <w:pStyle w:val="Liste3"/>
            </w:pPr>
            <w:r>
              <w:t>BA.2.9 ist mit 18% die zweithäufigste Linie, die nachgewiesen wird, verhält sich jedoch nicht groß anders als BA.2</w:t>
            </w:r>
          </w:p>
          <w:p>
            <w:pPr>
              <w:pStyle w:val="Liste2"/>
              <w:numPr>
                <w:ilvl w:val="0"/>
                <w:numId w:val="0"/>
              </w:numPr>
              <w:rPr>
                <w:b/>
                <w:i/>
                <w:lang w:val="de-DE"/>
              </w:rPr>
            </w:pPr>
            <w:r>
              <w:rPr>
                <w:b/>
                <w:i/>
                <w:lang w:val="de-DE"/>
              </w:rPr>
              <w:t>Diskussion</w:t>
            </w:r>
          </w:p>
          <w:p>
            <w:pPr>
              <w:pStyle w:val="Liste2"/>
              <w:numPr>
                <w:ilvl w:val="0"/>
                <w:numId w:val="0"/>
              </w:numPr>
              <w:ind w:left="833" w:hanging="360"/>
              <w:rPr>
                <w:lang w:val="de-DE"/>
              </w:rPr>
            </w:pPr>
            <w:r>
              <w:rPr>
                <w:lang w:val="de-DE"/>
              </w:rPr>
              <w:t>Wunsch der Anpassung der Grafik der VOC im Wochenbericht</w:t>
            </w:r>
          </w:p>
          <w:p>
            <w:pPr>
              <w:pStyle w:val="Liste2"/>
              <w:rPr>
                <w:lang w:val="de-DE"/>
              </w:rPr>
            </w:pPr>
            <w:r>
              <w:rPr>
                <w:lang w:val="de-DE"/>
              </w:rPr>
              <w:t>Die alte Grafik soll ersetzt werden durch eine neue, die die aktuell zirkulierenden Linien und Sublinien zeigt, die einen Anteil von 1% und mehr in der Stichprobe haben. Alle nicht aufgeführten Sublinien werden wie gewohnt in der Tabelle aufgeführt. Die neue Grafik wäre somit übersichtlicher und erzeugt einen Puffer, dass Linien erst dann auftauchen, wenn sie etabliert sind</w:t>
            </w:r>
          </w:p>
          <w:p>
            <w:pPr>
              <w:pStyle w:val="Liste2"/>
              <w:rPr>
                <w:lang w:val="de-DE"/>
              </w:rPr>
            </w:pPr>
            <w:r>
              <w:rPr>
                <w:lang w:val="de-DE"/>
              </w:rPr>
              <w:t>Für einen besseren Übergang im nächsten Wochenbericht bitte die alte Grafik dennoch einfügen und kommunizieren, dass diese eine eingeschränkte Aussagekraft hat und in der nächsten Woche ersetzt wird</w:t>
            </w:r>
          </w:p>
          <w:p>
            <w:pPr>
              <w:pStyle w:val="Liste2"/>
              <w:numPr>
                <w:ilvl w:val="0"/>
                <w:numId w:val="0"/>
              </w:numPr>
              <w:ind w:left="833"/>
              <w:rPr>
                <w:lang w:val="de-DE"/>
              </w:rPr>
            </w:pPr>
          </w:p>
          <w:p>
            <w:pPr>
              <w:pStyle w:val="Liste2"/>
            </w:pPr>
            <w:proofErr w:type="spellStart"/>
            <w:r>
              <w:t>Syndromische</w:t>
            </w:r>
            <w:proofErr w:type="spellEnd"/>
            <w:r>
              <w:t xml:space="preserve"> Surveillance</w:t>
            </w:r>
            <w:r>
              <w:rPr>
                <w:rStyle w:val="TagMiZchn"/>
              </w:rPr>
              <w:t xml:space="preserve"> </w:t>
            </w:r>
          </w:p>
          <w:p>
            <w:pPr>
              <w:pStyle w:val="Liste3"/>
            </w:pPr>
            <w:proofErr w:type="spellStart"/>
            <w:r>
              <w:t>GrippeWeb</w:t>
            </w:r>
            <w:proofErr w:type="spellEnd"/>
          </w:p>
          <w:p>
            <w:pPr>
              <w:pStyle w:val="Liste3"/>
            </w:pPr>
            <w:r>
              <w:t>Der Wert (gesamt) lag in der 18. KW bei 4.200 ARE pro 100.000 Einwohnenden</w:t>
            </w:r>
          </w:p>
          <w:p>
            <w:pPr>
              <w:pStyle w:val="Liste3"/>
            </w:pPr>
            <w:r>
              <w:t>Dies entspricht einer Gesamtzahl von ca. 3,5 Mio. ARE in DE, unabhängig von einem Arztbesuch</w:t>
            </w:r>
          </w:p>
          <w:p>
            <w:pPr>
              <w:pStyle w:val="Liste3"/>
            </w:pPr>
            <w:r>
              <w:t>Im Vergleich zur 17. KW 2022: bei Kindern gestiegen, bei Erwachsenen leicht gesunken</w:t>
            </w:r>
          </w:p>
          <w:p>
            <w:pPr>
              <w:pStyle w:val="Liste3"/>
            </w:pPr>
            <w:r>
              <w:t>ARE-Rate in KW18 stabil bei 4,2 % (Vorwoche 4,2 %) liegt im vorpandemischen Bereich</w:t>
            </w:r>
          </w:p>
          <w:p>
            <w:pPr>
              <w:pStyle w:val="Liste3"/>
            </w:pPr>
            <w:r>
              <w:t>Bei Kindern nach den Ferien wieder deutlich gestiegen (von 7,9 % auf 10,2 %), bei den Erwachsenen leicht gesunken (von 3,6 % auf 3,3 %)</w:t>
            </w:r>
          </w:p>
          <w:p>
            <w:pPr>
              <w:pStyle w:val="Liste3"/>
            </w:pPr>
            <w:r>
              <w:t xml:space="preserve">5 AGs: Anstieg bei den 35-59J, in den anderen AG der Erwachsenen Rückgang; besonders bei Schulkindern Zunahme, bei den Kleinkindern gibt es einen leichten Rückgang.  </w:t>
            </w:r>
          </w:p>
          <w:p>
            <w:pPr>
              <w:pStyle w:val="Liste3"/>
            </w:pPr>
            <w:r>
              <w:t>ARE-Konsultationen/100.000 Einwohnenden</w:t>
            </w:r>
          </w:p>
          <w:p>
            <w:pPr>
              <w:pStyle w:val="Liste3"/>
            </w:pPr>
            <w:r>
              <w:t xml:space="preserve">17. KW: </w:t>
            </w:r>
            <w:proofErr w:type="spellStart"/>
            <w:r>
              <w:t>KonsInz</w:t>
            </w:r>
            <w:proofErr w:type="spellEnd"/>
            <w:r>
              <w:t xml:space="preserve"> leicht gesunken auf 1.087 (Vorwoche: 1.273 (nur bei Schulkindern gestiegen)</w:t>
            </w:r>
          </w:p>
          <w:p>
            <w:pPr>
              <w:pStyle w:val="Liste3"/>
            </w:pPr>
            <w:r>
              <w:t xml:space="preserve">Knapp 1.100 </w:t>
            </w:r>
            <w:proofErr w:type="spellStart"/>
            <w:r>
              <w:t>Artzkonsultationen</w:t>
            </w:r>
            <w:proofErr w:type="spellEnd"/>
            <w:r>
              <w:t xml:space="preserve"> wegen ARE pro 100.00 EW (= ca. 1 Mio. Arztbesuche wegen ARE in Deutschland)</w:t>
            </w:r>
          </w:p>
          <w:p>
            <w:pPr>
              <w:pStyle w:val="Liste3"/>
            </w:pPr>
            <w:proofErr w:type="spellStart"/>
            <w:r>
              <w:t>KonsInz</w:t>
            </w:r>
            <w:proofErr w:type="spellEnd"/>
            <w:r>
              <w:t xml:space="preserve"> (gesamt) liegt deutlich höher als in den letzten beiden Jahren (Pandemiejahre), aber auch höher als in allen anderen Vorsaisons zu dieser Zeit</w:t>
            </w:r>
          </w:p>
          <w:p>
            <w:pPr>
              <w:pStyle w:val="Liste3"/>
            </w:pPr>
            <w:r>
              <w:t>ARE-Konsultationen mit COVID-Diagnose</w:t>
            </w:r>
          </w:p>
          <w:p>
            <w:pPr>
              <w:pStyle w:val="Liste3"/>
              <w:rPr>
                <w:rFonts w:ascii="Cambria" w:hAnsi="Cambria"/>
              </w:rPr>
            </w:pPr>
            <w:r>
              <w:rPr>
                <w:rFonts w:ascii="Cambria" w:hAnsi="Cambria"/>
              </w:rPr>
              <w:t>Seit KW 12/2022 wird insgesamt ein Rückgang der Arztkonsultationen wegen COVID-ARE verzeichnet</w:t>
            </w:r>
          </w:p>
          <w:p>
            <w:pPr>
              <w:pStyle w:val="Liste3"/>
              <w:rPr>
                <w:rFonts w:ascii="Cambria" w:hAnsi="Cambria"/>
              </w:rPr>
            </w:pPr>
            <w:r>
              <w:rPr>
                <w:rFonts w:ascii="Cambria" w:hAnsi="Cambria"/>
              </w:rPr>
              <w:t>ARE mit COVID-19-Konsultationen bis zur 18.KW 2022 bei rund 250 Arztbesuchen</w:t>
            </w:r>
          </w:p>
          <w:p>
            <w:pPr>
              <w:pStyle w:val="Liste3"/>
            </w:pPr>
            <w:r>
              <w:lastRenderedPageBreak/>
              <w:t>ICOSARI-KH-Surveillance-SARI-Inzidenz</w:t>
            </w:r>
          </w:p>
          <w:p>
            <w:pPr>
              <w:pStyle w:val="Liste3"/>
              <w:rPr>
                <w:rFonts w:ascii="Cambria" w:hAnsi="Cambria"/>
              </w:rPr>
            </w:pPr>
            <w:r>
              <w:rPr>
                <w:rFonts w:ascii="Cambria" w:hAnsi="Cambria"/>
              </w:rPr>
              <w:t>Insgesamt eine Seitwärtsbewegung</w:t>
            </w:r>
          </w:p>
          <w:p>
            <w:pPr>
              <w:pStyle w:val="Liste3"/>
            </w:pPr>
            <w:r>
              <w:t xml:space="preserve">KH-Surveillance – Anteil COVID-19 an SARI-Fällen </w:t>
            </w:r>
          </w:p>
          <w:p>
            <w:pPr>
              <w:pStyle w:val="Liste3"/>
            </w:pPr>
            <w:r>
              <w:t xml:space="preserve">Anteil COVID-19 an SARI 26% (Vorwoche: 27%) </w:t>
            </w:r>
            <w:r>
              <w:sym w:font="Wingdings" w:char="F0E0"/>
            </w:r>
            <w:r>
              <w:t xml:space="preserve"> max. 79% in KW 52/2020</w:t>
            </w:r>
          </w:p>
          <w:p>
            <w:pPr>
              <w:pStyle w:val="Liste3"/>
            </w:pPr>
            <w:r>
              <w:t xml:space="preserve">Anteil Influenza an SARI 2-5% seit KW13/2022 </w:t>
            </w:r>
            <w:r>
              <w:sym w:font="Wingdings" w:char="F0E0"/>
            </w:r>
            <w:r>
              <w:t xml:space="preserve"> max. 30% in den Peaks 2018-2020</w:t>
            </w:r>
          </w:p>
          <w:p>
            <w:pPr>
              <w:pStyle w:val="Liste3"/>
              <w:rPr>
                <w:lang w:val="en-US"/>
              </w:rPr>
            </w:pPr>
            <w:r>
              <w:rPr>
                <w:lang w:val="en-US"/>
              </w:rPr>
              <w:t xml:space="preserve">ICOSARI-KH-Surveillance – SARI </w:t>
            </w:r>
            <w:proofErr w:type="spellStart"/>
            <w:r>
              <w:rPr>
                <w:lang w:val="en-US"/>
              </w:rPr>
              <w:t>Fälle</w:t>
            </w:r>
            <w:proofErr w:type="spellEnd"/>
            <w:r>
              <w:rPr>
                <w:lang w:val="en-US"/>
              </w:rPr>
              <w:t xml:space="preserve"> (J09-J22):</w:t>
            </w:r>
          </w:p>
          <w:p>
            <w:pPr>
              <w:pStyle w:val="Liste3"/>
            </w:pPr>
            <w:r>
              <w:t>SARI-Fallzahlen in allen Altersgruppen auf Sommerniveau, seit KW 13/2022 steigender Anteil Influenza</w:t>
            </w:r>
          </w:p>
          <w:p>
            <w:pPr>
              <w:pStyle w:val="Liste3"/>
            </w:pPr>
            <w:r>
              <w:t>Vorwiegend in den AG unter 35 Jahre, aber auch vereinzelte Fälle in den AG 35+; noch relativ niedriges Niveau Influenza</w:t>
            </w:r>
          </w:p>
          <w:p>
            <w:pPr>
              <w:pStyle w:val="Liste3"/>
            </w:pPr>
            <w:r>
              <w:t>in den AG ab 35 Jahre: um die 30% COVID-19-Diagnosen bei SARI</w:t>
            </w:r>
          </w:p>
          <w:p>
            <w:pPr>
              <w:pStyle w:val="Liste3"/>
            </w:pPr>
            <w:r>
              <w:t>Hospitalisierungsinzidenz COVID-SARI</w:t>
            </w:r>
          </w:p>
          <w:p>
            <w:pPr>
              <w:pStyle w:val="Liste3"/>
              <w:rPr>
                <w:rFonts w:ascii="Cambria" w:hAnsi="Cambria"/>
              </w:rPr>
            </w:pPr>
            <w:r>
              <w:rPr>
                <w:rFonts w:ascii="Cambria" w:hAnsi="Cambria"/>
              </w:rPr>
              <w:t xml:space="preserve">Insgesamt 2,8 COVID-SARI pro 100.000 </w:t>
            </w:r>
            <w:proofErr w:type="spellStart"/>
            <w:r>
              <w:rPr>
                <w:rFonts w:ascii="Cambria" w:hAnsi="Cambria"/>
              </w:rPr>
              <w:t>Einw</w:t>
            </w:r>
            <w:proofErr w:type="spellEnd"/>
            <w:r>
              <w:rPr>
                <w:rFonts w:ascii="Cambria" w:hAnsi="Cambria"/>
              </w:rPr>
              <w:t>., das entspricht ca. 2.300 Krankenhausaufnahmen aufgrund COVID-SARI in D.</w:t>
            </w:r>
          </w:p>
          <w:p>
            <w:pPr>
              <w:pStyle w:val="Liste3"/>
            </w:pPr>
            <w:r>
              <w:t>Entwicklung COVID-SARI 8.KW bis 18. KW 2022</w:t>
            </w:r>
          </w:p>
          <w:p>
            <w:pPr>
              <w:pStyle w:val="Liste3"/>
              <w:rPr>
                <w:rFonts w:ascii="Cambria" w:hAnsi="Cambria"/>
              </w:rPr>
            </w:pPr>
            <w:r>
              <w:rPr>
                <w:rFonts w:ascii="Cambria" w:hAnsi="Cambria"/>
              </w:rPr>
              <w:t>Kein weiterer Rückgang, Stabilisierung bzw. leichter Anstieg in AG 5-35</w:t>
            </w:r>
          </w:p>
          <w:p>
            <w:pPr>
              <w:rPr>
                <w:rFonts w:ascii="Cambria" w:hAnsi="Cambria"/>
                <w:b/>
                <w:sz w:val="22"/>
                <w:szCs w:val="22"/>
              </w:rPr>
            </w:pPr>
            <w:r>
              <w:rPr>
                <w:rFonts w:ascii="Cambria" w:hAnsi="Cambria"/>
                <w:b/>
                <w:sz w:val="22"/>
                <w:szCs w:val="22"/>
              </w:rPr>
              <w:t>Diskussion</w:t>
            </w:r>
          </w:p>
          <w:p>
            <w:pPr>
              <w:pStyle w:val="Liste2"/>
            </w:pPr>
            <w:r>
              <w:rPr>
                <w:lang w:val="de-DE"/>
              </w:rPr>
              <w:t xml:space="preserve">Herausnahme der Abbildung zu Ausbrüchen in Kindergärten/Schulen. Daten können aufgrund der schweren Nachvollziehbarkeit durch die GÄ schlecht bewertet werden. </w:t>
            </w:r>
            <w:proofErr w:type="spellStart"/>
            <w:r>
              <w:t>Vorschlag</w:t>
            </w:r>
            <w:proofErr w:type="spellEnd"/>
            <w:r>
              <w:t xml:space="preserve">, </w:t>
            </w:r>
            <w:proofErr w:type="spellStart"/>
            <w:r>
              <w:t>diesen</w:t>
            </w:r>
            <w:proofErr w:type="spellEnd"/>
            <w:r>
              <w:t xml:space="preserve"> </w:t>
            </w:r>
            <w:proofErr w:type="spellStart"/>
            <w:r>
              <w:t>anlassbezogen</w:t>
            </w:r>
            <w:proofErr w:type="spellEnd"/>
            <w:r>
              <w:t xml:space="preserve"> in den </w:t>
            </w:r>
            <w:proofErr w:type="spellStart"/>
            <w:r>
              <w:t>Wochenbericht</w:t>
            </w:r>
            <w:proofErr w:type="spellEnd"/>
            <w:r>
              <w:t xml:space="preserve"> </w:t>
            </w:r>
            <w:proofErr w:type="spellStart"/>
            <w:r>
              <w:t>mitaufzunehmen</w:t>
            </w:r>
            <w:proofErr w:type="spellEnd"/>
            <w:r>
              <w:t xml:space="preserve">. </w:t>
            </w:r>
          </w:p>
          <w:p>
            <w:pPr>
              <w:pStyle w:val="Liste2"/>
            </w:pPr>
            <w:r>
              <w:t>Zustimmung von Leitung</w:t>
            </w:r>
          </w:p>
          <w:p>
            <w:pPr>
              <w:pStyle w:val="Liste3"/>
              <w:numPr>
                <w:ilvl w:val="0"/>
                <w:numId w:val="0"/>
              </w:numPr>
            </w:pPr>
          </w:p>
          <w:p>
            <w:pPr>
              <w:pStyle w:val="Liste2"/>
              <w:rPr>
                <w:rStyle w:val="TagMiZchn"/>
                <w:b w:val="0"/>
                <w:lang w:val="de-DE"/>
              </w:rPr>
            </w:pPr>
            <w:r>
              <w:t xml:space="preserve">Virologische Surveillance, NRZ Influenza-Daten </w:t>
            </w:r>
          </w:p>
          <w:p>
            <w:pPr>
              <w:pStyle w:val="Liste3"/>
            </w:pPr>
            <w:r>
              <w:t>119 Einsendungen</w:t>
            </w:r>
          </w:p>
          <w:p>
            <w:pPr>
              <w:pStyle w:val="Liste3"/>
            </w:pPr>
            <w:r>
              <w:t>Rückgang von SARS-CoV-2 geht im Sentinel</w:t>
            </w:r>
          </w:p>
          <w:p>
            <w:pPr>
              <w:pStyle w:val="Liste3"/>
            </w:pPr>
            <w:proofErr w:type="spellStart"/>
            <w:r>
              <w:t>Positivenrate</w:t>
            </w:r>
            <w:proofErr w:type="spellEnd"/>
            <w:r>
              <w:t xml:space="preserve"> von 9% in KW 18</w:t>
            </w:r>
          </w:p>
          <w:p>
            <w:pPr>
              <w:pStyle w:val="Liste3"/>
            </w:pPr>
            <w:r>
              <w:t xml:space="preserve">Altersverteilung SARS-CoV-2 und Influenza: hohe </w:t>
            </w:r>
            <w:proofErr w:type="spellStart"/>
            <w:r>
              <w:t>Positivenrate</w:t>
            </w:r>
            <w:proofErr w:type="spellEnd"/>
            <w:r>
              <w:t xml:space="preserve"> bei AG 5-15, jedoch niedrige </w:t>
            </w:r>
            <w:proofErr w:type="spellStart"/>
            <w:r>
              <w:t>Positivenrate</w:t>
            </w:r>
            <w:proofErr w:type="spellEnd"/>
            <w:r>
              <w:t xml:space="preserve"> für SARS-CoV-2, spricht für eine Teilimmunität in der AG gegen SARS-CoV-2</w:t>
            </w:r>
          </w:p>
          <w:p>
            <w:pPr>
              <w:pStyle w:val="Liste3"/>
            </w:pPr>
            <w:r>
              <w:t>Anstieg des Influenza Nachweises (2% gegenüber der Vorwoche, jetzt Nachweis von 23%, H3N2). Entspricht Peak einer moderaten Saison</w:t>
            </w:r>
          </w:p>
          <w:p>
            <w:pPr>
              <w:pStyle w:val="Liste3"/>
            </w:pPr>
            <w:r>
              <w:t>HMPV ist rückläufig, RSV in der Vorwoche kein Nachweis, diese Woche 2 Nachweise</w:t>
            </w:r>
          </w:p>
          <w:p>
            <w:pPr>
              <w:pStyle w:val="Liste2"/>
              <w:numPr>
                <w:ilvl w:val="0"/>
                <w:numId w:val="0"/>
              </w:numPr>
              <w:rPr>
                <w:b/>
                <w:lang w:val="de-DE"/>
              </w:rPr>
            </w:pPr>
            <w:r>
              <w:rPr>
                <w:b/>
                <w:lang w:val="de-DE"/>
              </w:rPr>
              <w:t>Diskussion</w:t>
            </w:r>
          </w:p>
          <w:p>
            <w:pPr>
              <w:pStyle w:val="Liste2"/>
              <w:numPr>
                <w:ilvl w:val="0"/>
                <w:numId w:val="25"/>
              </w:numPr>
              <w:rPr>
                <w:lang w:val="de-DE"/>
              </w:rPr>
            </w:pPr>
            <w:r>
              <w:rPr>
                <w:lang w:val="de-DE"/>
              </w:rPr>
              <w:t>Klinische Aktivität ist niedriger als es normalerweise in saisonalen Grippewellen der Fall ist. Von virologischer Surveillance aus sind die Kriterien für eine Zirkulation erfüllt. Wie ist die Prognose, handelt es sich um eine Grippewelle? Sollen klinische Parameter in die Definition einer Grippewelle integriert werden?</w:t>
            </w:r>
          </w:p>
          <w:p>
            <w:pPr>
              <w:pStyle w:val="Liste2"/>
              <w:numPr>
                <w:ilvl w:val="0"/>
                <w:numId w:val="25"/>
              </w:numPr>
              <w:rPr>
                <w:lang w:val="de-DE"/>
              </w:rPr>
            </w:pPr>
            <w:r>
              <w:rPr>
                <w:lang w:val="de-DE"/>
              </w:rPr>
              <w:t>Die virologische Definition der Grippewelle besteht aus einer Kombi der Influenza-</w:t>
            </w:r>
            <w:proofErr w:type="spellStart"/>
            <w:r>
              <w:rPr>
                <w:lang w:val="de-DE"/>
              </w:rPr>
              <w:t>Positivenrate</w:t>
            </w:r>
            <w:proofErr w:type="spellEnd"/>
            <w:r>
              <w:rPr>
                <w:lang w:val="de-DE"/>
              </w:rPr>
              <w:t xml:space="preserve"> und dem Praxisindex. </w:t>
            </w:r>
          </w:p>
          <w:p>
            <w:pPr>
              <w:pStyle w:val="Liste2"/>
              <w:numPr>
                <w:ilvl w:val="0"/>
                <w:numId w:val="25"/>
              </w:numPr>
              <w:rPr>
                <w:lang w:val="de-DE"/>
              </w:rPr>
            </w:pPr>
            <w:r>
              <w:rPr>
                <w:lang w:val="de-DE"/>
              </w:rPr>
              <w:lastRenderedPageBreak/>
              <w:t xml:space="preserve">Vorgehen ECDC: Überschreitung der </w:t>
            </w:r>
            <w:proofErr w:type="spellStart"/>
            <w:r>
              <w:rPr>
                <w:lang w:val="de-DE"/>
              </w:rPr>
              <w:t>Influenzapositivenrate</w:t>
            </w:r>
            <w:proofErr w:type="spellEnd"/>
            <w:r>
              <w:rPr>
                <w:lang w:val="de-DE"/>
              </w:rPr>
              <w:t xml:space="preserve"> um 10% bedeutet Beginn der Saison</w:t>
            </w:r>
          </w:p>
          <w:p>
            <w:pPr>
              <w:pStyle w:val="Liste2"/>
              <w:numPr>
                <w:ilvl w:val="0"/>
                <w:numId w:val="25"/>
              </w:numPr>
              <w:rPr>
                <w:lang w:val="de-DE"/>
              </w:rPr>
            </w:pPr>
            <w:r>
              <w:rPr>
                <w:lang w:val="de-DE"/>
              </w:rPr>
              <w:t xml:space="preserve">Vorgehen RKI: Überschreitung des unteren Konfidenzintervalls der </w:t>
            </w:r>
            <w:proofErr w:type="spellStart"/>
            <w:r>
              <w:rPr>
                <w:lang w:val="de-DE"/>
              </w:rPr>
              <w:t>Positivenrate</w:t>
            </w:r>
            <w:proofErr w:type="spellEnd"/>
            <w:r>
              <w:rPr>
                <w:lang w:val="de-DE"/>
              </w:rPr>
              <w:t xml:space="preserve"> in zwei aufeinanderfolgenden Wochen um 10% definiert den Beginn der Saison</w:t>
            </w:r>
          </w:p>
          <w:p>
            <w:pPr>
              <w:pStyle w:val="Liste2"/>
              <w:numPr>
                <w:ilvl w:val="0"/>
                <w:numId w:val="25"/>
              </w:numPr>
              <w:rPr>
                <w:lang w:val="de-DE"/>
              </w:rPr>
            </w:pPr>
            <w:r>
              <w:rPr>
                <w:lang w:val="de-DE"/>
              </w:rPr>
              <w:t xml:space="preserve">Das untere Konfidenzintervall der </w:t>
            </w:r>
            <w:proofErr w:type="spellStart"/>
            <w:r>
              <w:rPr>
                <w:lang w:val="de-DE"/>
              </w:rPr>
              <w:t>Positivenrate</w:t>
            </w:r>
            <w:proofErr w:type="spellEnd"/>
            <w:r>
              <w:rPr>
                <w:lang w:val="de-DE"/>
              </w:rPr>
              <w:t xml:space="preserve"> hat in den KW17 und KW18 die 10% überschritten, nach virologischer Definition handelt es sich um eine Grippewelle</w:t>
            </w:r>
          </w:p>
          <w:p>
            <w:pPr>
              <w:pStyle w:val="Liste2"/>
              <w:numPr>
                <w:ilvl w:val="0"/>
                <w:numId w:val="25"/>
              </w:numPr>
              <w:rPr>
                <w:lang w:val="de-DE"/>
              </w:rPr>
            </w:pPr>
            <w:r>
              <w:rPr>
                <w:lang w:val="de-DE"/>
              </w:rPr>
              <w:t>Hintergrund: Saisonale Grippewellen beginnen häufig um den Jahreswechsel, hier werden allerdings weniger Proben eingesendet, daher bietet die Definition des unteren Konfidenzintervalls eine größere Sicherheit</w:t>
            </w:r>
          </w:p>
          <w:p>
            <w:pPr>
              <w:pStyle w:val="Liste2"/>
              <w:numPr>
                <w:ilvl w:val="0"/>
                <w:numId w:val="25"/>
              </w:numPr>
              <w:rPr>
                <w:lang w:val="de-DE"/>
              </w:rPr>
            </w:pPr>
            <w:r>
              <w:rPr>
                <w:lang w:val="de-DE"/>
              </w:rPr>
              <w:t xml:space="preserve">Die Beschreibung der Influenza </w:t>
            </w:r>
            <w:proofErr w:type="spellStart"/>
            <w:r>
              <w:rPr>
                <w:lang w:val="de-DE"/>
              </w:rPr>
              <w:t>Positivenrate</w:t>
            </w:r>
            <w:proofErr w:type="spellEnd"/>
            <w:r>
              <w:rPr>
                <w:lang w:val="de-DE"/>
              </w:rPr>
              <w:t xml:space="preserve"> ist im ARE-Wochenbericht ausführlich erklärt:</w:t>
            </w:r>
          </w:p>
          <w:p>
            <w:pPr>
              <w:pStyle w:val="Liste2"/>
              <w:numPr>
                <w:ilvl w:val="0"/>
                <w:numId w:val="0"/>
              </w:numPr>
              <w:ind w:left="720"/>
              <w:rPr>
                <w:lang w:val="de-DE"/>
              </w:rPr>
            </w:pPr>
            <w:hyperlink r:id="rId17" w:history="1">
              <w:r>
                <w:rPr>
                  <w:rStyle w:val="Hyperlink"/>
                  <w:lang w:val="de-DE"/>
                </w:rPr>
                <w:t>https://influenza.rki.de/wochenberichte.aspx</w:t>
              </w:r>
            </w:hyperlink>
          </w:p>
          <w:p>
            <w:pPr>
              <w:pStyle w:val="Liste2"/>
              <w:numPr>
                <w:ilvl w:val="0"/>
                <w:numId w:val="25"/>
              </w:numPr>
              <w:rPr>
                <w:lang w:val="de-DE"/>
              </w:rPr>
            </w:pPr>
            <w:r>
              <w:rPr>
                <w:lang w:val="de-DE"/>
              </w:rPr>
              <w:t>Es gibt eine verschobene Saisonalität in der Gruppe, die derzeit die geringste vorbestehende Immunität gegenüber Influenza hat (Kinder), die dies über ihre Familien wiederum in den Pflegebereich tragen können. Fokus liegt derzeit bei SARS-CoV-2, auch Influenza und derzeitigen Impfstatus in den Pflegeheimen berücksichtigen</w:t>
            </w:r>
          </w:p>
          <w:p>
            <w:pPr>
              <w:pStyle w:val="Liste2"/>
              <w:numPr>
                <w:ilvl w:val="0"/>
                <w:numId w:val="25"/>
              </w:numPr>
              <w:rPr>
                <w:lang w:val="de-DE"/>
              </w:rPr>
            </w:pPr>
            <w:r>
              <w:rPr>
                <w:lang w:val="de-DE"/>
              </w:rPr>
              <w:t>FG33 hat Daten veröffentlich, dass die Impfraten zu Influenza in den Pflegeheimen gleichbleibend hochgewesen sind, nun aber zeitlich bereits zurückliegt und eine Abnahme der Wirksamkeit erwartet wird. Es sollte eine Postexpositionsprophylaxe besprochen werden. Eine entsprechende Stellungnahme der STIKO gibt es hierzu nicht</w:t>
            </w:r>
          </w:p>
          <w:p>
            <w:pPr>
              <w:pStyle w:val="Liste2"/>
              <w:numPr>
                <w:ilvl w:val="0"/>
                <w:numId w:val="25"/>
              </w:numPr>
              <w:rPr>
                <w:lang w:val="de-DE"/>
              </w:rPr>
            </w:pPr>
            <w:r>
              <w:rPr>
                <w:lang w:val="de-DE"/>
              </w:rPr>
              <w:t>Dringender Appell, mit allen akuten Atemwegssymptomen und auch mit negativem COVID-Test zuhause zu bleiben, dies mit begleitender Kommunikation in Bevölkerung verankern</w:t>
            </w:r>
          </w:p>
          <w:p>
            <w:pPr>
              <w:pStyle w:val="Liste2"/>
              <w:numPr>
                <w:ilvl w:val="0"/>
                <w:numId w:val="25"/>
              </w:numPr>
              <w:rPr>
                <w:lang w:val="de-DE"/>
              </w:rPr>
            </w:pPr>
            <w:r>
              <w:rPr>
                <w:lang w:val="de-DE"/>
              </w:rPr>
              <w:t>Thema wird als Botschaft für Wochenbericht und Twitter (Presse) mitgetragen</w:t>
            </w:r>
          </w:p>
          <w:p>
            <w:pPr>
              <w:pStyle w:val="Liste2"/>
              <w:numPr>
                <w:ilvl w:val="0"/>
                <w:numId w:val="0"/>
              </w:numPr>
              <w:ind w:left="360"/>
              <w:rPr>
                <w:lang w:val="de-DE"/>
              </w:rPr>
            </w:pPr>
            <w:r>
              <w:rPr>
                <w:lang w:val="de-DE"/>
              </w:rPr>
              <w:t xml:space="preserve"> </w:t>
            </w:r>
          </w:p>
        </w:tc>
        <w:tc>
          <w:tcPr>
            <w:tcW w:w="1463" w:type="dxa"/>
          </w:tcPr>
          <w:p>
            <w:pPr>
              <w:rPr>
                <w:sz w:val="22"/>
                <w:szCs w:val="22"/>
              </w:rPr>
            </w:pPr>
          </w:p>
          <w:p>
            <w:pPr>
              <w:rPr>
                <w:sz w:val="22"/>
                <w:szCs w:val="22"/>
              </w:rPr>
            </w:pPr>
          </w:p>
          <w:p>
            <w:pPr>
              <w:rPr>
                <w:sz w:val="22"/>
                <w:szCs w:val="22"/>
              </w:rPr>
            </w:pPr>
            <w:r>
              <w:rPr>
                <w:sz w:val="22"/>
                <w:szCs w:val="22"/>
              </w:rPr>
              <w:t xml:space="preserve">ZIG1 </w:t>
            </w:r>
          </w:p>
          <w:p>
            <w:pPr>
              <w:rPr>
                <w:sz w:val="22"/>
                <w:szCs w:val="22"/>
              </w:rPr>
            </w:pPr>
            <w:r>
              <w:rPr>
                <w:sz w:val="22"/>
                <w:szCs w:val="22"/>
              </w:rPr>
              <w:t>(Rohde)</w:t>
            </w:r>
            <w:bookmarkStart w:id="1" w:name="_GoBack"/>
            <w:bookmarkEnd w:id="1"/>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FG32 </w:t>
            </w:r>
            <w:r>
              <w:rPr>
                <w:sz w:val="22"/>
                <w:szCs w:val="22"/>
              </w:rPr>
              <w:br/>
              <w:t>(Diercke)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M1</w:t>
            </w:r>
          </w:p>
          <w:p>
            <w:pPr>
              <w:rPr>
                <w:sz w:val="22"/>
                <w:szCs w:val="22"/>
              </w:rPr>
            </w:pPr>
            <w:r>
              <w:rPr>
                <w:sz w:val="22"/>
                <w:szCs w:val="22"/>
              </w:rPr>
              <w:t>(Fischer)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Abt.3</w:t>
            </w:r>
          </w:p>
          <w:p>
            <w:pPr>
              <w:rPr>
                <w:sz w:val="22"/>
                <w:szCs w:val="22"/>
              </w:rPr>
            </w:pPr>
            <w:r>
              <w:rPr>
                <w:sz w:val="22"/>
                <w:szCs w:val="22"/>
              </w:rPr>
              <w:t>(Hamouda)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FG33</w:t>
            </w:r>
          </w:p>
          <w:p>
            <w:pPr>
              <w:rPr>
                <w:sz w:val="22"/>
                <w:szCs w:val="22"/>
              </w:rPr>
            </w:pPr>
            <w:r>
              <w:rPr>
                <w:sz w:val="22"/>
                <w:szCs w:val="22"/>
              </w:rPr>
              <w:t>(Abu Sin)</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r>
              <w:rPr>
                <w:sz w:val="22"/>
                <w:szCs w:val="22"/>
              </w:rPr>
              <w:t>(Kröger)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r>
              <w:rPr>
                <w:sz w:val="22"/>
                <w:szCs w:val="22"/>
              </w:rPr>
              <w:t xml:space="preserve">(Buda)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FG17</w:t>
            </w:r>
          </w:p>
          <w:p>
            <w:pPr>
              <w:rPr>
                <w:sz w:val="22"/>
                <w:szCs w:val="22"/>
              </w:rPr>
            </w:pPr>
            <w:r>
              <w:rPr>
                <w:sz w:val="22"/>
                <w:szCs w:val="22"/>
              </w:rPr>
              <w:t>(Dürrwald)</w:t>
            </w: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2</w:t>
            </w:r>
          </w:p>
        </w:tc>
        <w:tc>
          <w:tcPr>
            <w:tcW w:w="6824" w:type="dxa"/>
          </w:tcPr>
          <w:p>
            <w:pPr>
              <w:spacing w:line="276" w:lineRule="auto"/>
              <w:rPr>
                <w:rStyle w:val="TagFrZchn"/>
              </w:rPr>
            </w:pPr>
            <w:r>
              <w:rPr>
                <w:rStyle w:val="1Zchn"/>
              </w:rPr>
              <w:t>Update Impfen</w:t>
            </w:r>
            <w:r>
              <w:rPr>
                <w:b/>
                <w:sz w:val="28"/>
              </w:rPr>
              <w:t xml:space="preserve"> </w:t>
            </w:r>
          </w:p>
          <w:p>
            <w:pPr>
              <w:pStyle w:val="Liste1"/>
            </w:pPr>
            <w:r>
              <w:t>(nicht berichtet)</w:t>
            </w:r>
          </w:p>
          <w:p>
            <w:pPr>
              <w:pStyle w:val="2"/>
            </w:pPr>
            <w:r>
              <w:t>STIKO</w:t>
            </w:r>
          </w:p>
          <w:p>
            <w:pPr>
              <w:spacing w:line="276" w:lineRule="auto"/>
              <w:rPr>
                <w:rStyle w:val="1Zchn"/>
              </w:rPr>
            </w:pPr>
            <w:r>
              <w:t>xxx</w:t>
            </w:r>
          </w:p>
        </w:tc>
        <w:tc>
          <w:tcPr>
            <w:tcW w:w="1463" w:type="dxa"/>
          </w:tcPr>
          <w:p>
            <w:pPr>
              <w:rPr>
                <w:sz w:val="22"/>
                <w:szCs w:val="22"/>
              </w:rPr>
            </w:pPr>
            <w:r>
              <w:rPr>
                <w:sz w:val="22"/>
                <w:szCs w:val="22"/>
              </w:rPr>
              <w:t>FG 33</w:t>
            </w:r>
          </w:p>
        </w:tc>
      </w:tr>
      <w:tr>
        <w:tc>
          <w:tcPr>
            <w:tcW w:w="684" w:type="dxa"/>
          </w:tcPr>
          <w:p>
            <w:pPr>
              <w:rPr>
                <w:b/>
              </w:rPr>
            </w:pPr>
            <w:r>
              <w:rPr>
                <w:b/>
              </w:rPr>
              <w:t>3</w:t>
            </w:r>
          </w:p>
        </w:tc>
        <w:tc>
          <w:tcPr>
            <w:tcW w:w="6824" w:type="dxa"/>
          </w:tcPr>
          <w:p>
            <w:pPr>
              <w:spacing w:line="276" w:lineRule="auto"/>
              <w:rPr>
                <w:rStyle w:val="TagFrZchn"/>
              </w:rPr>
            </w:pPr>
            <w:r>
              <w:rPr>
                <w:rStyle w:val="1Zchn"/>
              </w:rPr>
              <w:t>Internationales</w:t>
            </w:r>
            <w:r>
              <w:rPr>
                <w:b/>
                <w:color w:val="FF0000"/>
              </w:rPr>
              <w:t xml:space="preserve"> </w:t>
            </w:r>
          </w:p>
          <w:p>
            <w:pPr>
              <w:pStyle w:val="Liste1"/>
            </w:pPr>
            <w:proofErr w:type="spellStart"/>
            <w:proofErr w:type="gramStart"/>
            <w:r>
              <w:t>Kolleg:innen</w:t>
            </w:r>
            <w:proofErr w:type="spellEnd"/>
            <w:proofErr w:type="gramEnd"/>
            <w:r>
              <w:t xml:space="preserve"> vom RKI in Namibia und Usbekistan</w:t>
            </w:r>
          </w:p>
        </w:tc>
        <w:tc>
          <w:tcPr>
            <w:tcW w:w="1463" w:type="dxa"/>
          </w:tcPr>
          <w:p>
            <w:pPr>
              <w:rPr>
                <w:sz w:val="22"/>
                <w:szCs w:val="22"/>
              </w:rPr>
            </w:pPr>
          </w:p>
          <w:p>
            <w:pPr>
              <w:rPr>
                <w:sz w:val="22"/>
                <w:szCs w:val="22"/>
              </w:rPr>
            </w:pPr>
            <w:r>
              <w:rPr>
                <w:sz w:val="22"/>
                <w:szCs w:val="22"/>
              </w:rPr>
              <w:t>ZIG</w:t>
            </w:r>
          </w:p>
          <w:p>
            <w:pPr>
              <w:rPr>
                <w:sz w:val="22"/>
                <w:szCs w:val="22"/>
              </w:rPr>
            </w:pPr>
            <w:r>
              <w:rPr>
                <w:sz w:val="22"/>
                <w:szCs w:val="22"/>
              </w:rPr>
              <w:t>(Rohde)</w:t>
            </w:r>
            <w:r>
              <w:rPr>
                <w:sz w:val="22"/>
                <w:szCs w:val="22"/>
              </w:rPr>
              <w:br/>
            </w:r>
          </w:p>
          <w:p>
            <w:pPr>
              <w:rPr>
                <w:sz w:val="22"/>
                <w:szCs w:val="22"/>
              </w:rPr>
            </w:pPr>
          </w:p>
        </w:tc>
      </w:tr>
      <w:tr>
        <w:tc>
          <w:tcPr>
            <w:tcW w:w="684" w:type="dxa"/>
          </w:tcPr>
          <w:p>
            <w:pPr>
              <w:rPr>
                <w:b/>
              </w:rPr>
            </w:pPr>
            <w:r>
              <w:rPr>
                <w:b/>
              </w:rPr>
              <w:t>4</w:t>
            </w:r>
          </w:p>
        </w:tc>
        <w:tc>
          <w:tcPr>
            <w:tcW w:w="6824" w:type="dxa"/>
          </w:tcPr>
          <w:p>
            <w:pPr>
              <w:spacing w:line="276" w:lineRule="auto"/>
              <w:rPr>
                <w:b/>
                <w:i/>
                <w:color w:val="C2D69B" w:themeColor="accent3" w:themeTint="99"/>
              </w:rPr>
            </w:pPr>
            <w:r>
              <w:rPr>
                <w:rStyle w:val="1Zchn"/>
              </w:rPr>
              <w:t>Update digitale Projekte</w:t>
            </w:r>
            <w:r>
              <w:rPr>
                <w:b/>
                <w:sz w:val="28"/>
              </w:rPr>
              <w:t xml:space="preserve"> </w:t>
            </w:r>
          </w:p>
        </w:tc>
        <w:tc>
          <w:tcPr>
            <w:tcW w:w="1463" w:type="dxa"/>
          </w:tcPr>
          <w:p>
            <w:pPr>
              <w:rPr>
                <w:sz w:val="22"/>
                <w:szCs w:val="22"/>
              </w:rPr>
            </w:pPr>
          </w:p>
          <w:p>
            <w:pPr>
              <w:rPr>
                <w:sz w:val="22"/>
                <w:szCs w:val="22"/>
              </w:rPr>
            </w:pPr>
            <w:r>
              <w:rPr>
                <w:sz w:val="22"/>
                <w:szCs w:val="22"/>
              </w:rPr>
              <w:t>FG21</w:t>
            </w:r>
            <w:r>
              <w:rPr>
                <w:sz w:val="22"/>
                <w:szCs w:val="22"/>
              </w:rPr>
              <w:br/>
            </w:r>
          </w:p>
          <w:p>
            <w:pPr>
              <w:rPr>
                <w:sz w:val="22"/>
                <w:szCs w:val="22"/>
              </w:rPr>
            </w:pPr>
          </w:p>
        </w:tc>
      </w:tr>
      <w:tr>
        <w:tc>
          <w:tcPr>
            <w:tcW w:w="684" w:type="dxa"/>
          </w:tcPr>
          <w:p>
            <w:pPr>
              <w:rPr>
                <w:b/>
              </w:rPr>
            </w:pPr>
            <w:r>
              <w:rPr>
                <w:b/>
              </w:rPr>
              <w:t>5</w:t>
            </w:r>
          </w:p>
        </w:tc>
        <w:tc>
          <w:tcPr>
            <w:tcW w:w="6824" w:type="dxa"/>
          </w:tcPr>
          <w:p>
            <w:pPr>
              <w:pStyle w:val="1"/>
            </w:pPr>
            <w:r>
              <w:t>Aktuelle Risikobewertung</w:t>
            </w:r>
          </w:p>
          <w:p>
            <w:pPr>
              <w:pStyle w:val="Liste1"/>
            </w:pPr>
            <w:r>
              <w:t xml:space="preserve">Diskussion der Änderungsvorschläge zur Risikobewertung </w:t>
            </w:r>
          </w:p>
          <w:p>
            <w:pPr>
              <w:pStyle w:val="Liste2"/>
            </w:pPr>
            <w:r>
              <w:lastRenderedPageBreak/>
              <w:t>xxx</w:t>
            </w:r>
            <w:r>
              <w:br/>
            </w:r>
          </w:p>
        </w:tc>
        <w:tc>
          <w:tcPr>
            <w:tcW w:w="1463" w:type="dxa"/>
          </w:tcPr>
          <w:p>
            <w:pPr>
              <w:rPr>
                <w:sz w:val="22"/>
                <w:szCs w:val="22"/>
              </w:rPr>
            </w:pPr>
          </w:p>
          <w:p>
            <w:pPr>
              <w:rPr>
                <w:sz w:val="22"/>
                <w:szCs w:val="22"/>
              </w:rPr>
            </w:pPr>
            <w:r>
              <w:rPr>
                <w:sz w:val="22"/>
                <w:szCs w:val="22"/>
              </w:rPr>
              <w:t>Abt. 3</w:t>
            </w:r>
            <w:r>
              <w:rPr>
                <w:sz w:val="22"/>
                <w:szCs w:val="22"/>
              </w:rPr>
              <w:br/>
            </w:r>
          </w:p>
          <w:p>
            <w:pPr>
              <w:rPr>
                <w:sz w:val="22"/>
                <w:szCs w:val="22"/>
              </w:rPr>
            </w:pPr>
          </w:p>
        </w:tc>
      </w:tr>
      <w:tr>
        <w:tc>
          <w:tcPr>
            <w:tcW w:w="684" w:type="dxa"/>
          </w:tcPr>
          <w:p>
            <w:pPr>
              <w:rPr>
                <w:b/>
              </w:rPr>
            </w:pPr>
            <w:r>
              <w:rPr>
                <w:b/>
              </w:rPr>
              <w:t>6</w:t>
            </w:r>
          </w:p>
        </w:tc>
        <w:tc>
          <w:tcPr>
            <w:tcW w:w="6824" w:type="dxa"/>
          </w:tcPr>
          <w:p>
            <w:pPr>
              <w:pStyle w:val="1"/>
            </w:pPr>
            <w:r>
              <w:t xml:space="preserve">Expertenbeirat </w:t>
            </w:r>
            <w:r>
              <w:rPr>
                <w:i/>
                <w:color w:val="95B3D7" w:themeColor="accent1" w:themeTint="99"/>
                <w:sz w:val="20"/>
              </w:rPr>
              <w:t>(montags Vorbereitung, mittwochs Nachbereitung)</w:t>
            </w:r>
          </w:p>
          <w:p>
            <w:pPr>
              <w:pStyle w:val="Liste1"/>
            </w:pPr>
            <w:r>
              <w:t>Stellungnahme zu Long-COVID soll finalisiert werden</w:t>
            </w:r>
          </w:p>
          <w:p>
            <w:pPr>
              <w:pStyle w:val="Liste1"/>
            </w:pPr>
            <w:r>
              <w:t>Stellungnahme Pflege Finalisierung ist kurz vor Abschluss, derzeit in Task Force</w:t>
            </w:r>
          </w:p>
          <w:p>
            <w:pPr>
              <w:pStyle w:val="Liste1"/>
            </w:pPr>
            <w:r>
              <w:t>Stellungnahme Herbst/Winter: Matrix von Indikatoren zur Erfassung der Krankheitsschwere und Auslastung des Gesundheitssystems. Geplante Finalisierung am 31.05.2022</w:t>
            </w:r>
          </w:p>
          <w:p>
            <w:pPr>
              <w:pStyle w:val="1"/>
              <w:rPr>
                <w:sz w:val="22"/>
              </w:rPr>
            </w:pPr>
          </w:p>
        </w:tc>
        <w:tc>
          <w:tcPr>
            <w:tcW w:w="1463" w:type="dxa"/>
          </w:tcPr>
          <w:p>
            <w:pPr>
              <w:rPr>
                <w:sz w:val="22"/>
                <w:szCs w:val="22"/>
              </w:rPr>
            </w:pPr>
            <w:proofErr w:type="spellStart"/>
            <w:r>
              <w:rPr>
                <w:sz w:val="22"/>
                <w:szCs w:val="22"/>
              </w:rPr>
              <w:t>Präs</w:t>
            </w:r>
            <w:proofErr w:type="spellEnd"/>
            <w:r>
              <w:rPr>
                <w:sz w:val="22"/>
                <w:szCs w:val="22"/>
              </w:rPr>
              <w:t>.</w:t>
            </w:r>
          </w:p>
        </w:tc>
      </w:tr>
      <w:tr>
        <w:trPr>
          <w:trHeight w:val="518"/>
        </w:trPr>
        <w:tc>
          <w:tcPr>
            <w:tcW w:w="684" w:type="dxa"/>
          </w:tcPr>
          <w:p>
            <w:pPr>
              <w:rPr>
                <w:b/>
              </w:rPr>
            </w:pPr>
            <w:r>
              <w:rPr>
                <w:b/>
              </w:rPr>
              <w:t>7</w:t>
            </w:r>
          </w:p>
        </w:tc>
        <w:tc>
          <w:tcPr>
            <w:tcW w:w="6824" w:type="dxa"/>
          </w:tcPr>
          <w:p>
            <w:pPr>
              <w:pStyle w:val="1"/>
            </w:pPr>
            <w:r>
              <w:t>Kommunikation</w:t>
            </w:r>
          </w:p>
          <w:p>
            <w:pPr>
              <w:pStyle w:val="2"/>
            </w:pPr>
            <w:r>
              <w:t>BZgA</w:t>
            </w:r>
          </w:p>
          <w:p>
            <w:pPr>
              <w:pStyle w:val="Liste1"/>
            </w:pPr>
            <w:r>
              <w:t>Aktualisierung des Erregersteckbriefes, gerne Verlinkung:</w:t>
            </w:r>
          </w:p>
          <w:p>
            <w:pPr>
              <w:pStyle w:val="Liste1"/>
              <w:numPr>
                <w:ilvl w:val="0"/>
                <w:numId w:val="0"/>
              </w:numPr>
              <w:ind w:left="473"/>
              <w:rPr>
                <w:rStyle w:val="Hyperlink"/>
                <w:color w:val="auto"/>
                <w:u w:val="none"/>
              </w:rPr>
            </w:pPr>
            <w:hyperlink r:id="rId18" w:history="1">
              <w:r>
                <w:rPr>
                  <w:rStyle w:val="Hyperlink"/>
                </w:rPr>
                <w:t>https://www.infektionsschutz.de/erregersteckbriefe/coronavirus-sars-cov-2/</w:t>
              </w:r>
            </w:hyperlink>
          </w:p>
          <w:p>
            <w:pPr>
              <w:pStyle w:val="Liste1"/>
            </w:pPr>
            <w:r>
              <w:t xml:space="preserve">Geplant sind Übersetzung in 6 weiteren Fremdsprachen (u.a. ukrainisch), Dokument soll als </w:t>
            </w:r>
            <w:proofErr w:type="spellStart"/>
            <w:r>
              <w:t>living</w:t>
            </w:r>
            <w:proofErr w:type="spellEnd"/>
            <w:r>
              <w:t xml:space="preserve"> </w:t>
            </w:r>
            <w:proofErr w:type="spellStart"/>
            <w:r>
              <w:t>Document</w:t>
            </w:r>
            <w:proofErr w:type="spellEnd"/>
            <w:r>
              <w:t xml:space="preserve"> gestaltet werden</w:t>
            </w:r>
          </w:p>
          <w:p>
            <w:pPr>
              <w:pStyle w:val="Liste1"/>
            </w:pPr>
            <w:r>
              <w:t>Thema ÖGD-App: BZgA bekundet Interesse, Ansprechpartnerin wäre Astrid Rose</w:t>
            </w:r>
          </w:p>
          <w:p>
            <w:pPr>
              <w:pStyle w:val="Liste1"/>
            </w:pPr>
            <w:r>
              <w:t>ÖGD-App ist App der Akademie, BMG geht auf BZgA zu</w:t>
            </w:r>
          </w:p>
          <w:p>
            <w:pPr>
              <w:pStyle w:val="2"/>
            </w:pPr>
            <w:r>
              <w:t>Presse</w:t>
            </w:r>
          </w:p>
          <w:p>
            <w:pPr>
              <w:pStyle w:val="Liste1"/>
            </w:pPr>
            <w:r>
              <w:t>Verlinkt BZgA Link</w:t>
            </w:r>
          </w:p>
          <w:p>
            <w:pPr>
              <w:pStyle w:val="Liste1"/>
            </w:pPr>
            <w:r>
              <w:t>Twitter Thema Influenza</w:t>
            </w:r>
          </w:p>
          <w:p>
            <w:pPr>
              <w:pStyle w:val="2"/>
            </w:pPr>
            <w:r>
              <w:t>P1</w:t>
            </w:r>
          </w:p>
          <w:p>
            <w:pPr>
              <w:pStyle w:val="Liste1"/>
              <w:rPr>
                <w:i/>
              </w:rPr>
            </w:pPr>
            <w:r>
              <w:t>(nicht berichtet)</w:t>
            </w:r>
            <w:r>
              <w:br/>
            </w:r>
          </w:p>
        </w:tc>
        <w:tc>
          <w:tcPr>
            <w:tcW w:w="1463" w:type="dxa"/>
          </w:tcPr>
          <w:p>
            <w:pPr>
              <w:rPr>
                <w:sz w:val="22"/>
                <w:szCs w:val="22"/>
              </w:rPr>
            </w:pPr>
          </w:p>
          <w:p>
            <w:pPr>
              <w:rPr>
                <w:sz w:val="22"/>
                <w:szCs w:val="22"/>
              </w:rPr>
            </w:pPr>
            <w:r>
              <w:rPr>
                <w:sz w:val="22"/>
                <w:szCs w:val="22"/>
              </w:rPr>
              <w:t>BZgA</w:t>
            </w:r>
          </w:p>
          <w:p>
            <w:pPr>
              <w:rPr>
                <w:sz w:val="22"/>
                <w:szCs w:val="22"/>
              </w:rPr>
            </w:pPr>
            <w:r>
              <w:rPr>
                <w:sz w:val="22"/>
                <w:szCs w:val="22"/>
              </w:rPr>
              <w:t>(</w:t>
            </w:r>
            <w:proofErr w:type="spellStart"/>
            <w:r>
              <w:rPr>
                <w:sz w:val="22"/>
                <w:szCs w:val="22"/>
              </w:rPr>
              <w:t>Rückle</w:t>
            </w:r>
            <w:proofErr w:type="spellEnd"/>
            <w:r>
              <w:rPr>
                <w:sz w:val="22"/>
                <w:szCs w:val="22"/>
              </w:rPr>
              <w:t>)</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p>
            <w:pPr>
              <w:rPr>
                <w:sz w:val="22"/>
                <w:szCs w:val="22"/>
              </w:rPr>
            </w:pPr>
            <w:r>
              <w:rPr>
                <w:sz w:val="22"/>
                <w:szCs w:val="22"/>
              </w:rPr>
              <w:t>(Wenchel)</w:t>
            </w:r>
            <w:r>
              <w:rPr>
                <w:sz w:val="22"/>
                <w:szCs w:val="22"/>
              </w:rPr>
              <w:br/>
            </w:r>
          </w:p>
          <w:p>
            <w:pPr>
              <w:rPr>
                <w:sz w:val="22"/>
                <w:szCs w:val="22"/>
              </w:rPr>
            </w:pPr>
          </w:p>
          <w:p>
            <w:pPr>
              <w:rPr>
                <w:sz w:val="22"/>
                <w:szCs w:val="22"/>
              </w:rPr>
            </w:pPr>
            <w:r>
              <w:rPr>
                <w:sz w:val="22"/>
                <w:szCs w:val="22"/>
              </w:rPr>
              <w:t>P1</w:t>
            </w:r>
            <w:r>
              <w:rPr>
                <w:sz w:val="22"/>
                <w:szCs w:val="22"/>
              </w:rPr>
              <w:br/>
            </w:r>
          </w:p>
        </w:tc>
      </w:tr>
      <w:tr>
        <w:tc>
          <w:tcPr>
            <w:tcW w:w="684" w:type="dxa"/>
          </w:tcPr>
          <w:p>
            <w:pPr>
              <w:rPr>
                <w:b/>
              </w:rPr>
            </w:pPr>
            <w:r>
              <w:rPr>
                <w:b/>
              </w:rPr>
              <w:t>8</w:t>
            </w:r>
          </w:p>
        </w:tc>
        <w:tc>
          <w:tcPr>
            <w:tcW w:w="6824" w:type="dxa"/>
          </w:tcPr>
          <w:p>
            <w:pPr>
              <w:pStyle w:val="1"/>
            </w:pPr>
            <w:r>
              <w:t>RKI-Strategie Fragen</w:t>
            </w:r>
          </w:p>
          <w:p>
            <w:pPr>
              <w:pStyle w:val="2"/>
            </w:pPr>
            <w:r>
              <w:t>Allgemein</w:t>
            </w:r>
          </w:p>
          <w:p>
            <w:pPr>
              <w:pStyle w:val="Liste1"/>
            </w:pPr>
            <w:r>
              <w:t>(nicht berichtet)</w:t>
            </w:r>
          </w:p>
          <w:p>
            <w:pPr>
              <w:pStyle w:val="2"/>
              <w:rPr>
                <w:i/>
              </w:rPr>
            </w:pPr>
            <w:r>
              <w:t>RKI-intern</w:t>
            </w:r>
          </w:p>
          <w:p>
            <w:pPr>
              <w:pStyle w:val="Liste1"/>
            </w:pPr>
            <w:r>
              <w:t>(nicht berichtet)</w:t>
            </w:r>
          </w:p>
        </w:tc>
        <w:tc>
          <w:tcPr>
            <w:tcW w:w="1463" w:type="dxa"/>
          </w:tcPr>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lang w:val="en-GB"/>
              </w:rPr>
            </w:pPr>
            <w:r>
              <w:rPr>
                <w:sz w:val="22"/>
                <w:szCs w:val="22"/>
                <w:lang w:val="en-GB"/>
              </w:rPr>
              <w:t>Abt. 3</w:t>
            </w:r>
            <w:r>
              <w:rPr>
                <w:sz w:val="22"/>
                <w:szCs w:val="22"/>
                <w:lang w:val="en-GB"/>
              </w:rPr>
              <w:br/>
            </w:r>
          </w:p>
        </w:tc>
      </w:tr>
      <w:tr>
        <w:tc>
          <w:tcPr>
            <w:tcW w:w="684" w:type="dxa"/>
          </w:tcPr>
          <w:p>
            <w:pPr>
              <w:rPr>
                <w:b/>
              </w:rPr>
            </w:pPr>
            <w:r>
              <w:rPr>
                <w:b/>
              </w:rPr>
              <w:t>9</w:t>
            </w:r>
          </w:p>
        </w:tc>
        <w:tc>
          <w:tcPr>
            <w:tcW w:w="6824" w:type="dxa"/>
          </w:tcPr>
          <w:p>
            <w:pPr>
              <w:spacing w:line="276" w:lineRule="auto"/>
              <w:rPr>
                <w:b/>
                <w:sz w:val="28"/>
              </w:rPr>
            </w:pPr>
            <w:r>
              <w:rPr>
                <w:b/>
                <w:sz w:val="28"/>
              </w:rPr>
              <w:t>Dokumente</w:t>
            </w:r>
          </w:p>
          <w:p>
            <w:pPr>
              <w:pStyle w:val="Liste1"/>
            </w:pPr>
            <w:r>
              <w:t xml:space="preserve">Dokument </w:t>
            </w:r>
            <w:proofErr w:type="spellStart"/>
            <w:r>
              <w:t>Entlassmanagement</w:t>
            </w:r>
            <w:proofErr w:type="spellEnd"/>
            <w:r>
              <w:t xml:space="preserve"> im Pflege- und Krankenhaussetting</w:t>
            </w:r>
          </w:p>
          <w:p>
            <w:pPr>
              <w:pStyle w:val="Liste1"/>
            </w:pPr>
            <w:r>
              <w:t>Überlegung der Kürzung von 14 Tagen auf 10 Tagen für Asymptomatische wird von der AGI teilweise als zu wenig angesehen, Wunsch auf 5 Tage um Ungleichbehandlung zu vermeiden: In Pflegeheimen führt ein Zufallsbefund zur Einschränkung der Teilhabe, in Krankenhäusern zu logischsten Problemen und anschließender Isolation</w:t>
            </w:r>
          </w:p>
          <w:p>
            <w:pPr>
              <w:pStyle w:val="Liste1"/>
            </w:pPr>
            <w:r>
              <w:t xml:space="preserve">Entscheidender Unterschied bzgl. der Dauer ist die Allgemeinbevölkerung, bei der nicht zwingend jeder Fall </w:t>
            </w:r>
            <w:r>
              <w:lastRenderedPageBreak/>
              <w:t>verhindert werden muss und die vulnerablen Gruppen, die dringend geschützt werden müssen. Besondere Situationen und Schutzzielkonflikt müssen kommuniziert werden, dies im Begleittext erwähnen und im Diagramm auf Begleittext verweisen.</w:t>
            </w:r>
          </w:p>
          <w:p>
            <w:pPr>
              <w:pStyle w:val="Liste1"/>
              <w:numPr>
                <w:ilvl w:val="0"/>
                <w:numId w:val="0"/>
              </w:numPr>
              <w:ind w:left="473" w:hanging="360"/>
              <w:rPr>
                <w:b/>
              </w:rPr>
            </w:pPr>
            <w:r>
              <w:rPr>
                <w:b/>
              </w:rPr>
              <w:t>Diskussion</w:t>
            </w:r>
          </w:p>
          <w:p>
            <w:pPr>
              <w:pStyle w:val="Liste1"/>
              <w:numPr>
                <w:ilvl w:val="0"/>
                <w:numId w:val="26"/>
              </w:numPr>
            </w:pPr>
            <w:r>
              <w:t>Ab wann zählt die Absonderung, welcher Test ist hierfür ausschlaggebend? Wird der Tag des Testes als Tag 0 oder Tag 1 gewertet?</w:t>
            </w:r>
          </w:p>
          <w:p>
            <w:pPr>
              <w:pStyle w:val="Liste1"/>
              <w:numPr>
                <w:ilvl w:val="0"/>
                <w:numId w:val="26"/>
              </w:numPr>
            </w:pPr>
            <w:r>
              <w:t>BMG verweist in FAQ auf „Isolierung nach Testergebnis“, welcher Test ist nicht präzisiert</w:t>
            </w:r>
          </w:p>
          <w:p>
            <w:pPr>
              <w:pStyle w:val="Liste1"/>
              <w:numPr>
                <w:ilvl w:val="0"/>
                <w:numId w:val="26"/>
              </w:numPr>
            </w:pPr>
            <w:r>
              <w:t>RKI ist nicht für rechtliche Fragen verantwortlich, Verweis auf FAQ</w:t>
            </w:r>
          </w:p>
          <w:p>
            <w:pPr>
              <w:pStyle w:val="Liste1"/>
              <w:numPr>
                <w:ilvl w:val="0"/>
                <w:numId w:val="26"/>
              </w:numPr>
            </w:pPr>
            <w:r>
              <w:t>Tag des Testes wäre Tag 0, die Umsetzung hier ist Ländersache</w:t>
            </w:r>
          </w:p>
          <w:p>
            <w:pPr>
              <w:pStyle w:val="Liste1"/>
              <w:numPr>
                <w:ilvl w:val="0"/>
                <w:numId w:val="26"/>
              </w:numPr>
            </w:pPr>
            <w:r>
              <w:t xml:space="preserve">Kommunikation an das Rechtsreferates des BMG, dass dieses Problem des Öfteren angefragt wird </w:t>
            </w:r>
          </w:p>
          <w:p>
            <w:pPr>
              <w:pStyle w:val="Liste1"/>
              <w:numPr>
                <w:ilvl w:val="0"/>
                <w:numId w:val="26"/>
              </w:numPr>
            </w:pPr>
            <w:r>
              <w:t xml:space="preserve">RKI kommt häufiger in die Situation, Situationen fachlich zu begründen, die politischer Natur sind. Häufig kommen diese Anfragen auch über Erlass vom BMG rein, FG36 ist diesbezüglich stark belastet. </w:t>
            </w:r>
          </w:p>
          <w:p>
            <w:pPr>
              <w:pStyle w:val="Liste1"/>
              <w:numPr>
                <w:ilvl w:val="0"/>
                <w:numId w:val="26"/>
              </w:numPr>
            </w:pPr>
            <w:r>
              <w:t>Vorschlag, Anfragen von Ländern zu sammeln, kondensieren und als Tagesordnungspunkt in die AGI zu tragen. Dort kann ein Konsens hergestellt werden und mit den Ländern und BMG entschieden werden.</w:t>
            </w:r>
          </w:p>
          <w:p>
            <w:pPr>
              <w:pStyle w:val="Liste1"/>
              <w:numPr>
                <w:ilvl w:val="0"/>
                <w:numId w:val="26"/>
              </w:numPr>
            </w:pPr>
            <w:r>
              <w:t>Die Konkretisierung der Frage nach Beginn der Isolation kann in der nächsten AGI besprochen werden, Bitte um Teilnahme von FG36 an dieser Sitzung, Herr Beyer soll auf AGI verwiesen werden</w:t>
            </w:r>
          </w:p>
          <w:p>
            <w:pPr>
              <w:pStyle w:val="Liste1"/>
              <w:numPr>
                <w:ilvl w:val="0"/>
                <w:numId w:val="0"/>
              </w:numPr>
              <w:ind w:left="473" w:hanging="360"/>
              <w:rPr>
                <w:i/>
              </w:rPr>
            </w:pPr>
            <w:proofErr w:type="spellStart"/>
            <w:r>
              <w:rPr>
                <w:b/>
                <w:i/>
              </w:rPr>
              <w:t>To</w:t>
            </w:r>
            <w:proofErr w:type="spellEnd"/>
            <w:r>
              <w:rPr>
                <w:b/>
                <w:i/>
              </w:rPr>
              <w:t xml:space="preserve"> Do</w:t>
            </w:r>
          </w:p>
          <w:p>
            <w:pPr>
              <w:pStyle w:val="Liste1"/>
              <w:numPr>
                <w:ilvl w:val="0"/>
                <w:numId w:val="0"/>
              </w:numPr>
              <w:ind w:left="473" w:hanging="360"/>
              <w:rPr>
                <w:i/>
              </w:rPr>
            </w:pPr>
            <w:r>
              <w:rPr>
                <w:i/>
              </w:rPr>
              <w:t>Rückmeldung von EpiLag an Hrn. Beyer, dass die Konkretisierung in der nächsten AGI erfolgt.</w:t>
            </w:r>
          </w:p>
          <w:p>
            <w:pPr>
              <w:pStyle w:val="Liste1"/>
              <w:numPr>
                <w:ilvl w:val="0"/>
                <w:numId w:val="0"/>
              </w:numPr>
              <w:ind w:left="473" w:hanging="360"/>
            </w:pPr>
          </w:p>
          <w:p>
            <w:pPr>
              <w:pStyle w:val="Liste1"/>
              <w:numPr>
                <w:ilvl w:val="0"/>
                <w:numId w:val="28"/>
              </w:numPr>
            </w:pPr>
            <w:r>
              <w:t>Dokument organisatorische und personelle Maßnahmen für Einrichtungen des Gesundheitswesens sowie Alten- und Pflegeeinrichtungen während der COVID-19-Pandemie</w:t>
            </w:r>
          </w:p>
          <w:p>
            <w:pPr>
              <w:pStyle w:val="Liste1"/>
              <w:numPr>
                <w:ilvl w:val="0"/>
                <w:numId w:val="28"/>
              </w:numPr>
            </w:pPr>
            <w:r>
              <w:t>Straffung des Dokumentes, Verkürzung Isolierung für Kontaktpersonen (Pat. von 10 Tage auf 7 Tage, Test nach 5 Tagen möglich, Personal von 7 Tage auf 5 Tage)</w:t>
            </w:r>
          </w:p>
          <w:p>
            <w:pPr>
              <w:pStyle w:val="Liste1"/>
              <w:numPr>
                <w:ilvl w:val="0"/>
                <w:numId w:val="28"/>
              </w:numPr>
            </w:pPr>
            <w:r>
              <w:t>Dokument wurde bisher auf Seite des BMG gehostet, Wunsch des RKI, dies wieder auf die Seite des RKI rückzuführen</w:t>
            </w:r>
          </w:p>
        </w:tc>
        <w:tc>
          <w:tcPr>
            <w:tcW w:w="1463" w:type="dxa"/>
          </w:tcPr>
          <w:p>
            <w:pPr>
              <w:rPr>
                <w:sz w:val="22"/>
                <w:szCs w:val="22"/>
              </w:rPr>
            </w:pPr>
          </w:p>
          <w:p>
            <w:pPr>
              <w:rPr>
                <w:sz w:val="22"/>
                <w:szCs w:val="22"/>
              </w:rPr>
            </w:pPr>
            <w:r>
              <w:rPr>
                <w:sz w:val="22"/>
                <w:szCs w:val="22"/>
              </w:rPr>
              <w:t>Alle</w:t>
            </w:r>
          </w:p>
        </w:tc>
      </w:tr>
      <w:tr>
        <w:tc>
          <w:tcPr>
            <w:tcW w:w="684" w:type="dxa"/>
          </w:tcPr>
          <w:p>
            <w:pPr>
              <w:rPr>
                <w:b/>
              </w:rPr>
            </w:pPr>
            <w:r>
              <w:rPr>
                <w:b/>
              </w:rPr>
              <w:t>10</w:t>
            </w:r>
          </w:p>
        </w:tc>
        <w:tc>
          <w:tcPr>
            <w:tcW w:w="6824" w:type="dxa"/>
          </w:tcPr>
          <w:p>
            <w:pPr>
              <w:pStyle w:val="1"/>
            </w:pPr>
            <w:r>
              <w:t>Labordiagnostik</w:t>
            </w:r>
          </w:p>
          <w:p>
            <w:pPr>
              <w:pStyle w:val="2"/>
            </w:pPr>
            <w:r>
              <w:t>FG17</w:t>
            </w:r>
          </w:p>
          <w:p>
            <w:pPr>
              <w:pStyle w:val="Liste1"/>
            </w:pPr>
            <w:r>
              <w:t>Virologisches Sentinel hatte in den letzten 4 Wochen ## Proben, davon:</w:t>
            </w:r>
          </w:p>
          <w:p>
            <w:pPr>
              <w:pStyle w:val="Liste2"/>
            </w:pPr>
            <w:r>
              <w:t># SARS-CoV-2</w:t>
            </w:r>
          </w:p>
          <w:p>
            <w:pPr>
              <w:pStyle w:val="Liste2"/>
            </w:pPr>
            <w:r>
              <w:t>## Rhinovirus</w:t>
            </w:r>
          </w:p>
          <w:p>
            <w:pPr>
              <w:pStyle w:val="Liste2"/>
            </w:pPr>
            <w:r>
              <w:t>## Parainfluenzavirus</w:t>
            </w:r>
          </w:p>
          <w:p>
            <w:pPr>
              <w:pStyle w:val="Liste2"/>
            </w:pPr>
            <w:r>
              <w:t xml:space="preserve">## saisonale (endemische) Coronaviren </w:t>
            </w:r>
          </w:p>
          <w:p>
            <w:pPr>
              <w:pStyle w:val="Liste2"/>
            </w:pPr>
            <w:r>
              <w:t>## Metapneumovirus</w:t>
            </w:r>
          </w:p>
          <w:p>
            <w:pPr>
              <w:pStyle w:val="Liste2"/>
            </w:pPr>
            <w:r>
              <w:t xml:space="preserve">## </w:t>
            </w:r>
            <w:proofErr w:type="spellStart"/>
            <w:r>
              <w:t>Influenzavirus</w:t>
            </w:r>
            <w:proofErr w:type="spellEnd"/>
          </w:p>
          <w:p>
            <w:pPr>
              <w:pStyle w:val="Liste2"/>
            </w:pPr>
            <w:r>
              <w:lastRenderedPageBreak/>
              <w:t xml:space="preserve">Rest </w:t>
            </w:r>
            <w:proofErr w:type="spellStart"/>
            <w:r>
              <w:t>negativ</w:t>
            </w:r>
            <w:proofErr w:type="spellEnd"/>
          </w:p>
          <w:p>
            <w:pPr>
              <w:pStyle w:val="2"/>
            </w:pPr>
            <w:r>
              <w:t>ZBS1</w:t>
            </w:r>
          </w:p>
        </w:tc>
        <w:tc>
          <w:tcPr>
            <w:tcW w:w="1463" w:type="dxa"/>
          </w:tcPr>
          <w:p>
            <w:pPr>
              <w:rPr>
                <w:sz w:val="22"/>
                <w:szCs w:val="22"/>
              </w:rPr>
            </w:pPr>
          </w:p>
          <w:p>
            <w:pPr>
              <w:rPr>
                <w:sz w:val="22"/>
                <w:szCs w:val="22"/>
              </w:rPr>
            </w:pPr>
          </w:p>
          <w:p>
            <w:pPr>
              <w:rPr>
                <w:sz w:val="22"/>
                <w:szCs w:val="22"/>
              </w:rPr>
            </w:pPr>
            <w:r>
              <w:rPr>
                <w:sz w:val="22"/>
                <w:szCs w:val="22"/>
              </w:rPr>
              <w:t xml:space="preserve">FG17 </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lastRenderedPageBreak/>
              <w:t>ZBS1</w:t>
            </w:r>
            <w:r>
              <w:rPr>
                <w:sz w:val="22"/>
                <w:szCs w:val="22"/>
              </w:rPr>
              <w:br/>
            </w:r>
          </w:p>
          <w:p>
            <w:pPr>
              <w:rPr>
                <w:sz w:val="22"/>
                <w:szCs w:val="22"/>
              </w:rPr>
            </w:pPr>
          </w:p>
          <w:p>
            <w:pPr>
              <w:rPr>
                <w:sz w:val="22"/>
                <w:szCs w:val="22"/>
              </w:rPr>
            </w:pPr>
          </w:p>
          <w:p>
            <w:pPr>
              <w:rPr>
                <w:sz w:val="22"/>
                <w:szCs w:val="22"/>
              </w:rPr>
            </w:pPr>
          </w:p>
        </w:tc>
      </w:tr>
      <w:tr>
        <w:tc>
          <w:tcPr>
            <w:tcW w:w="684" w:type="dxa"/>
          </w:tcPr>
          <w:p>
            <w:pPr>
              <w:rPr>
                <w:b/>
              </w:rPr>
            </w:pPr>
            <w:r>
              <w:rPr>
                <w:b/>
              </w:rPr>
              <w:lastRenderedPageBreak/>
              <w:t>11</w:t>
            </w:r>
          </w:p>
        </w:tc>
        <w:tc>
          <w:tcPr>
            <w:tcW w:w="6824" w:type="dxa"/>
          </w:tcPr>
          <w:p>
            <w:pPr>
              <w:pStyle w:val="1"/>
            </w:pPr>
            <w:r>
              <w:t>Klinisches Management/Entlassungsmanagement</w:t>
            </w:r>
          </w:p>
          <w:p>
            <w:pPr>
              <w:pStyle w:val="Liste1"/>
            </w:pPr>
            <w:r>
              <w:t>(nicht berichtet)</w:t>
            </w:r>
          </w:p>
          <w:p>
            <w:pPr>
              <w:pStyle w:val="3"/>
              <w:spacing w:before="0"/>
              <w:ind w:left="1077" w:hanging="357"/>
              <w:rPr>
                <w:b w:val="0"/>
              </w:rPr>
            </w:pPr>
          </w:p>
        </w:tc>
        <w:tc>
          <w:tcPr>
            <w:tcW w:w="1463" w:type="dxa"/>
          </w:tcPr>
          <w:p>
            <w:pPr>
              <w:rPr>
                <w:sz w:val="22"/>
                <w:szCs w:val="22"/>
              </w:rPr>
            </w:pPr>
          </w:p>
          <w:p>
            <w:pPr>
              <w:rPr>
                <w:sz w:val="22"/>
                <w:szCs w:val="22"/>
              </w:rPr>
            </w:pPr>
            <w:r>
              <w:rPr>
                <w:sz w:val="22"/>
                <w:szCs w:val="22"/>
              </w:rPr>
              <w:t>ZBS7</w:t>
            </w:r>
            <w:r>
              <w:rPr>
                <w:sz w:val="22"/>
                <w:szCs w:val="22"/>
              </w:rPr>
              <w:br/>
            </w:r>
          </w:p>
          <w:p>
            <w:pPr>
              <w:rPr>
                <w:sz w:val="22"/>
                <w:szCs w:val="22"/>
              </w:rPr>
            </w:pPr>
          </w:p>
        </w:tc>
      </w:tr>
      <w:tr>
        <w:tc>
          <w:tcPr>
            <w:tcW w:w="684" w:type="dxa"/>
          </w:tcPr>
          <w:p>
            <w:pPr>
              <w:rPr>
                <w:b/>
              </w:rPr>
            </w:pPr>
            <w:r>
              <w:rPr>
                <w:b/>
              </w:rPr>
              <w:t>12</w:t>
            </w:r>
          </w:p>
        </w:tc>
        <w:tc>
          <w:tcPr>
            <w:tcW w:w="6824" w:type="dxa"/>
          </w:tcPr>
          <w:p>
            <w:pPr>
              <w:pStyle w:val="1"/>
            </w:pPr>
            <w:r>
              <w:t>Maßnahmen zum Infektionsschutz</w:t>
            </w:r>
          </w:p>
          <w:p>
            <w:pPr>
              <w:pStyle w:val="Liste1"/>
              <w:rPr>
                <w:i/>
              </w:rPr>
            </w:pPr>
            <w:r>
              <w:t>nicht berichtet</w:t>
            </w:r>
          </w:p>
        </w:tc>
        <w:tc>
          <w:tcPr>
            <w:tcW w:w="1463" w:type="dxa"/>
          </w:tcPr>
          <w:p>
            <w:pPr>
              <w:rPr>
                <w:sz w:val="22"/>
                <w:szCs w:val="22"/>
              </w:rPr>
            </w:pPr>
          </w:p>
          <w:p>
            <w:pPr>
              <w:rPr>
                <w:sz w:val="22"/>
                <w:szCs w:val="22"/>
              </w:rPr>
            </w:pPr>
            <w:r>
              <w:rPr>
                <w:sz w:val="22"/>
                <w:szCs w:val="22"/>
              </w:rPr>
              <w:t xml:space="preserve">FG14 </w:t>
            </w:r>
          </w:p>
        </w:tc>
      </w:tr>
      <w:tr>
        <w:tc>
          <w:tcPr>
            <w:tcW w:w="684" w:type="dxa"/>
          </w:tcPr>
          <w:p>
            <w:pPr>
              <w:rPr>
                <w:b/>
              </w:rPr>
            </w:pPr>
            <w:r>
              <w:rPr>
                <w:b/>
              </w:rPr>
              <w:t>13</w:t>
            </w:r>
          </w:p>
        </w:tc>
        <w:tc>
          <w:tcPr>
            <w:tcW w:w="6824" w:type="dxa"/>
          </w:tcPr>
          <w:p>
            <w:pPr>
              <w:pStyle w:val="1"/>
              <w:rPr>
                <w:sz w:val="22"/>
              </w:rPr>
            </w:pPr>
            <w:r>
              <w:t>Surveillance</w:t>
            </w:r>
          </w:p>
          <w:p>
            <w:pPr>
              <w:pStyle w:val="Liste1"/>
            </w:pPr>
            <w:r>
              <w:t>SORMAS-Übermittlungsprobleme:</w:t>
            </w:r>
          </w:p>
          <w:p>
            <w:pPr>
              <w:pStyle w:val="Liste1"/>
            </w:pPr>
            <w:r>
              <w:t xml:space="preserve">IT4 hat verschiedene Auswertungen gemacht und festgestellt, dass ein Fehler im Programm bei SORMAS vorliegt. Derzeit ist es schwierig, Algorithmen zu entwickeln, um die Daten zu löschen. Vorschlag ist, dass die SORMAS Daten ab Zeitpunkt des Fehlers (12.02.2022) aus der Berechnung ausgelassen werden und nicht bereinigt werden, da die Gemengelage der Fehler zu einer falschen Auswertung der Daten führen würde und </w:t>
            </w:r>
            <w:proofErr w:type="gramStart"/>
            <w:r>
              <w:t>einen Bias</w:t>
            </w:r>
            <w:proofErr w:type="gramEnd"/>
            <w:r>
              <w:t xml:space="preserve"> begünstigt. Dies wäre die schnellste umsetzbare Lösung.</w:t>
            </w:r>
          </w:p>
          <w:p>
            <w:pPr>
              <w:pStyle w:val="Liste1"/>
            </w:pPr>
            <w:r>
              <w:t xml:space="preserve">Ob mit den Daten vernünftig gerechnet werden kann, zeigt in absehbarer Zeit eine derzeitig durchgeführte Analyse der neuen Datensätze. </w:t>
            </w:r>
          </w:p>
          <w:p>
            <w:pPr>
              <w:pStyle w:val="Liste1"/>
              <w:numPr>
                <w:ilvl w:val="0"/>
                <w:numId w:val="0"/>
              </w:numPr>
              <w:ind w:left="473"/>
            </w:pPr>
          </w:p>
          <w:p>
            <w:pPr>
              <w:pStyle w:val="Liste1"/>
              <w:numPr>
                <w:ilvl w:val="0"/>
                <w:numId w:val="0"/>
              </w:numPr>
              <w:ind w:left="113"/>
              <w:rPr>
                <w:i/>
              </w:rPr>
            </w:pPr>
            <w:proofErr w:type="spellStart"/>
            <w:r>
              <w:rPr>
                <w:b/>
                <w:i/>
              </w:rPr>
              <w:t>ToDo</w:t>
            </w:r>
            <w:proofErr w:type="spellEnd"/>
            <w:r>
              <w:rPr>
                <w:i/>
              </w:rPr>
              <w:t xml:space="preserve">: SORMAS Fehler muss </w:t>
            </w:r>
            <w:proofErr w:type="spellStart"/>
            <w:r>
              <w:rPr>
                <w:i/>
              </w:rPr>
              <w:t>veraktet</w:t>
            </w:r>
            <w:proofErr w:type="spellEnd"/>
            <w:r>
              <w:rPr>
                <w:i/>
              </w:rPr>
              <w:t xml:space="preserve"> werden, Problem soll im Jour Fixe angesprochen werden. Für Jour Fixe bitte eine Folie erstellen, die beinhaltet, wie groß der Anteil der SORMAS Fälle auf die Gesamtfälle sind sowie eine markante Grafik aufzeigen, die zeigt, worin die Fehler in Zahlen bestehen bzw. wie groß der Anteil an Fällen mit unplausiblen Daten ist. Ebenso soll ein Textvorschlag für einen erläuternden Text erstellt werden.</w:t>
            </w:r>
          </w:p>
        </w:tc>
        <w:tc>
          <w:tcPr>
            <w:tcW w:w="1463" w:type="dxa"/>
          </w:tcPr>
          <w:p>
            <w:pPr>
              <w:rPr>
                <w:sz w:val="22"/>
                <w:szCs w:val="22"/>
              </w:rPr>
            </w:pPr>
          </w:p>
          <w:p>
            <w:pPr>
              <w:rPr>
                <w:sz w:val="22"/>
                <w:szCs w:val="22"/>
              </w:rPr>
            </w:pPr>
            <w:r>
              <w:rPr>
                <w:sz w:val="22"/>
                <w:szCs w:val="22"/>
              </w:rPr>
              <w:t>FG 32/ FG33</w:t>
            </w:r>
          </w:p>
          <w:p>
            <w:pPr>
              <w:rPr>
                <w:sz w:val="22"/>
                <w:szCs w:val="22"/>
              </w:rPr>
            </w:pPr>
          </w:p>
        </w:tc>
      </w:tr>
      <w:tr>
        <w:tc>
          <w:tcPr>
            <w:tcW w:w="684" w:type="dxa"/>
          </w:tcPr>
          <w:p>
            <w:pPr>
              <w:rPr>
                <w:b/>
              </w:rPr>
            </w:pPr>
            <w:r>
              <w:rPr>
                <w:b/>
              </w:rPr>
              <w:t>14</w:t>
            </w:r>
          </w:p>
        </w:tc>
        <w:tc>
          <w:tcPr>
            <w:tcW w:w="6824" w:type="dxa"/>
          </w:tcPr>
          <w:p>
            <w:pPr>
              <w:spacing w:after="120" w:line="276" w:lineRule="auto"/>
              <w:rPr>
                <w:b/>
                <w:sz w:val="28"/>
              </w:rPr>
            </w:pPr>
            <w:r>
              <w:rPr>
                <w:rStyle w:val="1Zchn"/>
              </w:rPr>
              <w:t>Transport und Grenzübergangsstellen</w:t>
            </w:r>
            <w:r>
              <w:rPr>
                <w:b/>
                <w:sz w:val="28"/>
              </w:rPr>
              <w:t xml:space="preserve"> </w:t>
            </w:r>
          </w:p>
          <w:p>
            <w:pPr>
              <w:pStyle w:val="Liste1"/>
            </w:pPr>
            <w:r>
              <w:t>nicht berichtet</w:t>
            </w:r>
          </w:p>
        </w:tc>
        <w:tc>
          <w:tcPr>
            <w:tcW w:w="1463" w:type="dxa"/>
          </w:tcPr>
          <w:p>
            <w:pPr>
              <w:rPr>
                <w:sz w:val="22"/>
                <w:szCs w:val="22"/>
              </w:rPr>
            </w:pPr>
          </w:p>
          <w:p>
            <w:pPr>
              <w:rPr>
                <w:sz w:val="22"/>
                <w:szCs w:val="22"/>
              </w:rPr>
            </w:pPr>
            <w:r>
              <w:rPr>
                <w:sz w:val="22"/>
                <w:szCs w:val="22"/>
              </w:rPr>
              <w:t xml:space="preserve">FG38 </w:t>
            </w:r>
            <w:r>
              <w:rPr>
                <w:sz w:val="22"/>
                <w:szCs w:val="22"/>
              </w:rPr>
              <w:br/>
            </w:r>
          </w:p>
        </w:tc>
      </w:tr>
      <w:tr>
        <w:tc>
          <w:tcPr>
            <w:tcW w:w="684" w:type="dxa"/>
          </w:tcPr>
          <w:p>
            <w:pPr>
              <w:rPr>
                <w:b/>
              </w:rPr>
            </w:pPr>
            <w:r>
              <w:rPr>
                <w:b/>
              </w:rPr>
              <w:t>15</w:t>
            </w:r>
          </w:p>
        </w:tc>
        <w:tc>
          <w:tcPr>
            <w:tcW w:w="6824" w:type="dxa"/>
          </w:tcPr>
          <w:p>
            <w:pPr>
              <w:spacing w:line="276" w:lineRule="auto"/>
              <w:rPr>
                <w:rStyle w:val="TagFrZchn"/>
              </w:rPr>
            </w:pPr>
            <w:r>
              <w:rPr>
                <w:rStyle w:val="1Zchn"/>
              </w:rPr>
              <w:t>Information aus dem Lagezentrum</w:t>
            </w:r>
            <w:r>
              <w:rPr>
                <w:b/>
                <w:sz w:val="28"/>
              </w:rPr>
              <w:t xml:space="preserve"> </w:t>
            </w:r>
          </w:p>
          <w:p>
            <w:pPr>
              <w:pStyle w:val="Liste1"/>
            </w:pPr>
            <w:r>
              <w:t>nicht berichtet</w:t>
            </w:r>
          </w:p>
          <w:p>
            <w:pPr>
              <w:pStyle w:val="Liste1"/>
              <w:numPr>
                <w:ilvl w:val="0"/>
                <w:numId w:val="0"/>
              </w:numPr>
              <w:ind w:left="473"/>
            </w:pPr>
          </w:p>
        </w:tc>
        <w:tc>
          <w:tcPr>
            <w:tcW w:w="1463" w:type="dxa"/>
          </w:tcPr>
          <w:p>
            <w:pPr>
              <w:rPr>
                <w:sz w:val="22"/>
                <w:szCs w:val="22"/>
              </w:rPr>
            </w:pPr>
          </w:p>
          <w:p>
            <w:pPr>
              <w:rPr>
                <w:sz w:val="22"/>
                <w:szCs w:val="22"/>
              </w:rPr>
            </w:pPr>
            <w:r>
              <w:rPr>
                <w:sz w:val="22"/>
                <w:szCs w:val="22"/>
              </w:rPr>
              <w:t>FG38</w:t>
            </w:r>
            <w:r>
              <w:rPr>
                <w:sz w:val="22"/>
                <w:szCs w:val="22"/>
              </w:rPr>
              <w:br/>
            </w:r>
          </w:p>
        </w:tc>
      </w:tr>
      <w:tr>
        <w:tc>
          <w:tcPr>
            <w:tcW w:w="684" w:type="dxa"/>
          </w:tcPr>
          <w:p>
            <w:pPr>
              <w:rPr>
                <w:b/>
              </w:rPr>
            </w:pPr>
            <w:r>
              <w:rPr>
                <w:b/>
              </w:rPr>
              <w:t>16</w:t>
            </w:r>
          </w:p>
        </w:tc>
        <w:tc>
          <w:tcPr>
            <w:tcW w:w="6824" w:type="dxa"/>
          </w:tcPr>
          <w:p>
            <w:pPr>
              <w:pStyle w:val="1"/>
            </w:pPr>
            <w:r>
              <w:t>Wichtige Termine</w:t>
            </w:r>
          </w:p>
          <w:p>
            <w:pPr>
              <w:pStyle w:val="Liste1"/>
            </w:pPr>
            <w:r>
              <w:t>Die Montagssitzungen des COVID-19 Krisenstabes werden gestrichen und es findet nur noch eine Besprechung am Mittwoch statt.</w:t>
            </w:r>
          </w:p>
        </w:tc>
        <w:tc>
          <w:tcPr>
            <w:tcW w:w="1463"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17</w:t>
            </w:r>
          </w:p>
        </w:tc>
        <w:tc>
          <w:tcPr>
            <w:tcW w:w="6824" w:type="dxa"/>
          </w:tcPr>
          <w:p>
            <w:pPr>
              <w:pStyle w:val="1"/>
            </w:pPr>
            <w:r>
              <w:t>Andere Themen</w:t>
            </w:r>
          </w:p>
          <w:p>
            <w:pPr>
              <w:pStyle w:val="Liste1"/>
            </w:pPr>
            <w:r>
              <w:t xml:space="preserve">Nächste Sitzung: Mittwoch, 18.05.2022, 11 Uhr, via </w:t>
            </w:r>
            <w:proofErr w:type="spellStart"/>
            <w:r>
              <w:t>Webex</w:t>
            </w:r>
            <w:proofErr w:type="spellEnd"/>
            <w:r>
              <w:br/>
            </w:r>
          </w:p>
        </w:tc>
        <w:tc>
          <w:tcPr>
            <w:tcW w:w="1463" w:type="dxa"/>
          </w:tcPr>
          <w:p>
            <w:pPr>
              <w:rPr>
                <w:sz w:val="22"/>
                <w:szCs w:val="22"/>
              </w:rPr>
            </w:pPr>
          </w:p>
          <w:p>
            <w:pPr>
              <w:rPr>
                <w:sz w:val="22"/>
                <w:szCs w:val="22"/>
              </w:rPr>
            </w:pPr>
          </w:p>
          <w:p>
            <w:pPr>
              <w:rPr>
                <w:sz w:val="22"/>
                <w:szCs w:val="22"/>
              </w:rPr>
            </w:pPr>
          </w:p>
        </w:tc>
      </w:tr>
    </w:tbl>
    <w:p>
      <w:pPr>
        <w:rPr>
          <w:b/>
        </w:rPr>
      </w:pPr>
    </w:p>
    <w:p>
      <w:pPr>
        <w:rPr>
          <w:b/>
        </w:rPr>
      </w:pPr>
      <w:r>
        <w:rPr>
          <w:b/>
        </w:rPr>
        <w:t>Ende: 13:06 Uhr</w:t>
      </w: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47B1C"/>
    <w:multiLevelType w:val="hybridMultilevel"/>
    <w:tmpl w:val="59826A46"/>
    <w:lvl w:ilvl="0" w:tplc="04070005">
      <w:start w:val="1"/>
      <w:numFmt w:val="bullet"/>
      <w:lvlText w:val=""/>
      <w:lvlJc w:val="left"/>
      <w:pPr>
        <w:ind w:left="2273" w:hanging="360"/>
      </w:pPr>
      <w:rPr>
        <w:rFonts w:ascii="Wingdings" w:hAnsi="Wingdings" w:hint="default"/>
      </w:rPr>
    </w:lvl>
    <w:lvl w:ilvl="1" w:tplc="04070003" w:tentative="1">
      <w:start w:val="1"/>
      <w:numFmt w:val="bullet"/>
      <w:lvlText w:val="o"/>
      <w:lvlJc w:val="left"/>
      <w:pPr>
        <w:ind w:left="2993" w:hanging="360"/>
      </w:pPr>
      <w:rPr>
        <w:rFonts w:ascii="Courier New" w:hAnsi="Courier New" w:cs="Courier New" w:hint="default"/>
      </w:rPr>
    </w:lvl>
    <w:lvl w:ilvl="2" w:tplc="04070005" w:tentative="1">
      <w:start w:val="1"/>
      <w:numFmt w:val="bullet"/>
      <w:lvlText w:val=""/>
      <w:lvlJc w:val="left"/>
      <w:pPr>
        <w:ind w:left="3713" w:hanging="360"/>
      </w:pPr>
      <w:rPr>
        <w:rFonts w:ascii="Wingdings" w:hAnsi="Wingdings" w:hint="default"/>
      </w:rPr>
    </w:lvl>
    <w:lvl w:ilvl="3" w:tplc="04070001" w:tentative="1">
      <w:start w:val="1"/>
      <w:numFmt w:val="bullet"/>
      <w:lvlText w:val=""/>
      <w:lvlJc w:val="left"/>
      <w:pPr>
        <w:ind w:left="4433" w:hanging="360"/>
      </w:pPr>
      <w:rPr>
        <w:rFonts w:ascii="Symbol" w:hAnsi="Symbol" w:hint="default"/>
      </w:rPr>
    </w:lvl>
    <w:lvl w:ilvl="4" w:tplc="04070003" w:tentative="1">
      <w:start w:val="1"/>
      <w:numFmt w:val="bullet"/>
      <w:lvlText w:val="o"/>
      <w:lvlJc w:val="left"/>
      <w:pPr>
        <w:ind w:left="5153" w:hanging="360"/>
      </w:pPr>
      <w:rPr>
        <w:rFonts w:ascii="Courier New" w:hAnsi="Courier New" w:cs="Courier New" w:hint="default"/>
      </w:rPr>
    </w:lvl>
    <w:lvl w:ilvl="5" w:tplc="04070005" w:tentative="1">
      <w:start w:val="1"/>
      <w:numFmt w:val="bullet"/>
      <w:lvlText w:val=""/>
      <w:lvlJc w:val="left"/>
      <w:pPr>
        <w:ind w:left="5873" w:hanging="360"/>
      </w:pPr>
      <w:rPr>
        <w:rFonts w:ascii="Wingdings" w:hAnsi="Wingdings" w:hint="default"/>
      </w:rPr>
    </w:lvl>
    <w:lvl w:ilvl="6" w:tplc="04070001" w:tentative="1">
      <w:start w:val="1"/>
      <w:numFmt w:val="bullet"/>
      <w:lvlText w:val=""/>
      <w:lvlJc w:val="left"/>
      <w:pPr>
        <w:ind w:left="6593" w:hanging="360"/>
      </w:pPr>
      <w:rPr>
        <w:rFonts w:ascii="Symbol" w:hAnsi="Symbol" w:hint="default"/>
      </w:rPr>
    </w:lvl>
    <w:lvl w:ilvl="7" w:tplc="04070003" w:tentative="1">
      <w:start w:val="1"/>
      <w:numFmt w:val="bullet"/>
      <w:lvlText w:val="o"/>
      <w:lvlJc w:val="left"/>
      <w:pPr>
        <w:ind w:left="7313" w:hanging="360"/>
      </w:pPr>
      <w:rPr>
        <w:rFonts w:ascii="Courier New" w:hAnsi="Courier New" w:cs="Courier New" w:hint="default"/>
      </w:rPr>
    </w:lvl>
    <w:lvl w:ilvl="8" w:tplc="04070005" w:tentative="1">
      <w:start w:val="1"/>
      <w:numFmt w:val="bullet"/>
      <w:lvlText w:val=""/>
      <w:lvlJc w:val="left"/>
      <w:pPr>
        <w:ind w:left="8033" w:hanging="360"/>
      </w:pPr>
      <w:rPr>
        <w:rFonts w:ascii="Wingdings" w:hAnsi="Wingdings" w:hint="default"/>
      </w:rPr>
    </w:lvl>
  </w:abstractNum>
  <w:abstractNum w:abstractNumId="1" w15:restartNumberingAfterBreak="0">
    <w:nsid w:val="0ADF30A9"/>
    <w:multiLevelType w:val="hybridMultilevel"/>
    <w:tmpl w:val="9E546818"/>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0B9A4441"/>
    <w:multiLevelType w:val="hybridMultilevel"/>
    <w:tmpl w:val="7D34D4FC"/>
    <w:lvl w:ilvl="0" w:tplc="04070003">
      <w:start w:val="1"/>
      <w:numFmt w:val="bullet"/>
      <w:lvlText w:val="o"/>
      <w:lvlJc w:val="left"/>
      <w:pPr>
        <w:ind w:left="1553" w:hanging="360"/>
      </w:pPr>
      <w:rPr>
        <w:rFonts w:ascii="Courier New" w:hAnsi="Courier New" w:cs="Courier New" w:hint="default"/>
      </w:rPr>
    </w:lvl>
    <w:lvl w:ilvl="1" w:tplc="04070003" w:tentative="1">
      <w:start w:val="1"/>
      <w:numFmt w:val="bullet"/>
      <w:lvlText w:val="o"/>
      <w:lvlJc w:val="left"/>
      <w:pPr>
        <w:ind w:left="2273" w:hanging="360"/>
      </w:pPr>
      <w:rPr>
        <w:rFonts w:ascii="Courier New" w:hAnsi="Courier New" w:cs="Courier New" w:hint="default"/>
      </w:rPr>
    </w:lvl>
    <w:lvl w:ilvl="2" w:tplc="04070005" w:tentative="1">
      <w:start w:val="1"/>
      <w:numFmt w:val="bullet"/>
      <w:lvlText w:val=""/>
      <w:lvlJc w:val="left"/>
      <w:pPr>
        <w:ind w:left="2993" w:hanging="360"/>
      </w:pPr>
      <w:rPr>
        <w:rFonts w:ascii="Wingdings" w:hAnsi="Wingdings" w:hint="default"/>
      </w:rPr>
    </w:lvl>
    <w:lvl w:ilvl="3" w:tplc="04070001" w:tentative="1">
      <w:start w:val="1"/>
      <w:numFmt w:val="bullet"/>
      <w:lvlText w:val=""/>
      <w:lvlJc w:val="left"/>
      <w:pPr>
        <w:ind w:left="3713" w:hanging="360"/>
      </w:pPr>
      <w:rPr>
        <w:rFonts w:ascii="Symbol" w:hAnsi="Symbol" w:hint="default"/>
      </w:rPr>
    </w:lvl>
    <w:lvl w:ilvl="4" w:tplc="04070003" w:tentative="1">
      <w:start w:val="1"/>
      <w:numFmt w:val="bullet"/>
      <w:lvlText w:val="o"/>
      <w:lvlJc w:val="left"/>
      <w:pPr>
        <w:ind w:left="4433" w:hanging="360"/>
      </w:pPr>
      <w:rPr>
        <w:rFonts w:ascii="Courier New" w:hAnsi="Courier New" w:cs="Courier New" w:hint="default"/>
      </w:rPr>
    </w:lvl>
    <w:lvl w:ilvl="5" w:tplc="04070005" w:tentative="1">
      <w:start w:val="1"/>
      <w:numFmt w:val="bullet"/>
      <w:lvlText w:val=""/>
      <w:lvlJc w:val="left"/>
      <w:pPr>
        <w:ind w:left="5153" w:hanging="360"/>
      </w:pPr>
      <w:rPr>
        <w:rFonts w:ascii="Wingdings" w:hAnsi="Wingdings" w:hint="default"/>
      </w:rPr>
    </w:lvl>
    <w:lvl w:ilvl="6" w:tplc="04070001" w:tentative="1">
      <w:start w:val="1"/>
      <w:numFmt w:val="bullet"/>
      <w:lvlText w:val=""/>
      <w:lvlJc w:val="left"/>
      <w:pPr>
        <w:ind w:left="5873" w:hanging="360"/>
      </w:pPr>
      <w:rPr>
        <w:rFonts w:ascii="Symbol" w:hAnsi="Symbol" w:hint="default"/>
      </w:rPr>
    </w:lvl>
    <w:lvl w:ilvl="7" w:tplc="04070003" w:tentative="1">
      <w:start w:val="1"/>
      <w:numFmt w:val="bullet"/>
      <w:lvlText w:val="o"/>
      <w:lvlJc w:val="left"/>
      <w:pPr>
        <w:ind w:left="6593" w:hanging="360"/>
      </w:pPr>
      <w:rPr>
        <w:rFonts w:ascii="Courier New" w:hAnsi="Courier New" w:cs="Courier New" w:hint="default"/>
      </w:rPr>
    </w:lvl>
    <w:lvl w:ilvl="8" w:tplc="04070005" w:tentative="1">
      <w:start w:val="1"/>
      <w:numFmt w:val="bullet"/>
      <w:lvlText w:val=""/>
      <w:lvlJc w:val="left"/>
      <w:pPr>
        <w:ind w:left="7313" w:hanging="360"/>
      </w:pPr>
      <w:rPr>
        <w:rFonts w:ascii="Wingdings" w:hAnsi="Wingdings" w:hint="default"/>
      </w:rPr>
    </w:lvl>
  </w:abstractNum>
  <w:abstractNum w:abstractNumId="3" w15:restartNumberingAfterBreak="0">
    <w:nsid w:val="0EBB418E"/>
    <w:multiLevelType w:val="hybridMultilevel"/>
    <w:tmpl w:val="4B1013A6"/>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10812AE"/>
    <w:multiLevelType w:val="hybridMultilevel"/>
    <w:tmpl w:val="E9564C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6A856BC"/>
    <w:multiLevelType w:val="hybridMultilevel"/>
    <w:tmpl w:val="6D666E1A"/>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1EAB4352"/>
    <w:multiLevelType w:val="hybridMultilevel"/>
    <w:tmpl w:val="35B610C4"/>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8" w15:restartNumberingAfterBreak="0">
    <w:nsid w:val="22AC5A26"/>
    <w:multiLevelType w:val="hybridMultilevel"/>
    <w:tmpl w:val="9858F654"/>
    <w:lvl w:ilvl="0" w:tplc="EB4451E8">
      <w:start w:val="1"/>
      <w:numFmt w:val="bullet"/>
      <w:pStyle w:val="Liste1"/>
      <w:lvlText w:val=""/>
      <w:lvlJc w:val="left"/>
      <w:pPr>
        <w:ind w:left="473" w:hanging="360"/>
      </w:pPr>
      <w:rPr>
        <w:rFonts w:ascii="Symbol" w:hAnsi="Symbol" w:hint="default"/>
      </w:rPr>
    </w:lvl>
    <w:lvl w:ilvl="1" w:tplc="7A4C4BB4">
      <w:start w:val="1"/>
      <w:numFmt w:val="bullet"/>
      <w:pStyle w:val="Liste3"/>
      <w:lvlText w:val=""/>
      <w:lvlJc w:val="left"/>
      <w:pPr>
        <w:ind w:left="1193" w:hanging="360"/>
      </w:pPr>
      <w:rPr>
        <w:rFonts w:ascii="Wingdings" w:hAnsi="Wingdings"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9" w15:restartNumberingAfterBreak="0">
    <w:nsid w:val="2B397807"/>
    <w:multiLevelType w:val="hybridMultilevel"/>
    <w:tmpl w:val="4DC03620"/>
    <w:lvl w:ilvl="0" w:tplc="D49CFACC">
      <w:start w:val="1"/>
      <w:numFmt w:val="bullet"/>
      <w:pStyle w:val="3"/>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E8C6729E">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2C2075EC"/>
    <w:multiLevelType w:val="hybridMultilevel"/>
    <w:tmpl w:val="66C89FE2"/>
    <w:lvl w:ilvl="0" w:tplc="04070003">
      <w:start w:val="1"/>
      <w:numFmt w:val="bullet"/>
      <w:lvlText w:val="o"/>
      <w:lvlJc w:val="left"/>
      <w:pPr>
        <w:ind w:left="1553" w:hanging="360"/>
      </w:pPr>
      <w:rPr>
        <w:rFonts w:ascii="Courier New" w:hAnsi="Courier New" w:cs="Courier New" w:hint="default"/>
      </w:rPr>
    </w:lvl>
    <w:lvl w:ilvl="1" w:tplc="04070003" w:tentative="1">
      <w:start w:val="1"/>
      <w:numFmt w:val="bullet"/>
      <w:lvlText w:val="o"/>
      <w:lvlJc w:val="left"/>
      <w:pPr>
        <w:ind w:left="2273" w:hanging="360"/>
      </w:pPr>
      <w:rPr>
        <w:rFonts w:ascii="Courier New" w:hAnsi="Courier New" w:cs="Courier New" w:hint="default"/>
      </w:rPr>
    </w:lvl>
    <w:lvl w:ilvl="2" w:tplc="04070005" w:tentative="1">
      <w:start w:val="1"/>
      <w:numFmt w:val="bullet"/>
      <w:lvlText w:val=""/>
      <w:lvlJc w:val="left"/>
      <w:pPr>
        <w:ind w:left="2993" w:hanging="360"/>
      </w:pPr>
      <w:rPr>
        <w:rFonts w:ascii="Wingdings" w:hAnsi="Wingdings" w:hint="default"/>
      </w:rPr>
    </w:lvl>
    <w:lvl w:ilvl="3" w:tplc="04070001" w:tentative="1">
      <w:start w:val="1"/>
      <w:numFmt w:val="bullet"/>
      <w:lvlText w:val=""/>
      <w:lvlJc w:val="left"/>
      <w:pPr>
        <w:ind w:left="3713" w:hanging="360"/>
      </w:pPr>
      <w:rPr>
        <w:rFonts w:ascii="Symbol" w:hAnsi="Symbol" w:hint="default"/>
      </w:rPr>
    </w:lvl>
    <w:lvl w:ilvl="4" w:tplc="04070003" w:tentative="1">
      <w:start w:val="1"/>
      <w:numFmt w:val="bullet"/>
      <w:lvlText w:val="o"/>
      <w:lvlJc w:val="left"/>
      <w:pPr>
        <w:ind w:left="4433" w:hanging="360"/>
      </w:pPr>
      <w:rPr>
        <w:rFonts w:ascii="Courier New" w:hAnsi="Courier New" w:cs="Courier New" w:hint="default"/>
      </w:rPr>
    </w:lvl>
    <w:lvl w:ilvl="5" w:tplc="04070005" w:tentative="1">
      <w:start w:val="1"/>
      <w:numFmt w:val="bullet"/>
      <w:lvlText w:val=""/>
      <w:lvlJc w:val="left"/>
      <w:pPr>
        <w:ind w:left="5153" w:hanging="360"/>
      </w:pPr>
      <w:rPr>
        <w:rFonts w:ascii="Wingdings" w:hAnsi="Wingdings" w:hint="default"/>
      </w:rPr>
    </w:lvl>
    <w:lvl w:ilvl="6" w:tplc="04070001" w:tentative="1">
      <w:start w:val="1"/>
      <w:numFmt w:val="bullet"/>
      <w:lvlText w:val=""/>
      <w:lvlJc w:val="left"/>
      <w:pPr>
        <w:ind w:left="5873" w:hanging="360"/>
      </w:pPr>
      <w:rPr>
        <w:rFonts w:ascii="Symbol" w:hAnsi="Symbol" w:hint="default"/>
      </w:rPr>
    </w:lvl>
    <w:lvl w:ilvl="7" w:tplc="04070003" w:tentative="1">
      <w:start w:val="1"/>
      <w:numFmt w:val="bullet"/>
      <w:lvlText w:val="o"/>
      <w:lvlJc w:val="left"/>
      <w:pPr>
        <w:ind w:left="6593" w:hanging="360"/>
      </w:pPr>
      <w:rPr>
        <w:rFonts w:ascii="Courier New" w:hAnsi="Courier New" w:cs="Courier New" w:hint="default"/>
      </w:rPr>
    </w:lvl>
    <w:lvl w:ilvl="8" w:tplc="04070005" w:tentative="1">
      <w:start w:val="1"/>
      <w:numFmt w:val="bullet"/>
      <w:lvlText w:val=""/>
      <w:lvlJc w:val="left"/>
      <w:pPr>
        <w:ind w:left="7313" w:hanging="360"/>
      </w:pPr>
      <w:rPr>
        <w:rFonts w:ascii="Wingdings" w:hAnsi="Wingdings" w:hint="default"/>
      </w:rPr>
    </w:lvl>
  </w:abstractNum>
  <w:abstractNum w:abstractNumId="11" w15:restartNumberingAfterBreak="0">
    <w:nsid w:val="36B45C5C"/>
    <w:multiLevelType w:val="hybridMultilevel"/>
    <w:tmpl w:val="132A9946"/>
    <w:lvl w:ilvl="0" w:tplc="04070003">
      <w:start w:val="1"/>
      <w:numFmt w:val="bullet"/>
      <w:lvlText w:val="o"/>
      <w:lvlJc w:val="left"/>
      <w:pPr>
        <w:ind w:left="1193" w:hanging="360"/>
      </w:pPr>
      <w:rPr>
        <w:rFonts w:ascii="Courier New" w:hAnsi="Courier New" w:cs="Courier New" w:hint="default"/>
      </w:rPr>
    </w:lvl>
    <w:lvl w:ilvl="1" w:tplc="04070003" w:tentative="1">
      <w:start w:val="1"/>
      <w:numFmt w:val="bullet"/>
      <w:lvlText w:val="o"/>
      <w:lvlJc w:val="left"/>
      <w:pPr>
        <w:ind w:left="1913" w:hanging="360"/>
      </w:pPr>
      <w:rPr>
        <w:rFonts w:ascii="Courier New" w:hAnsi="Courier New" w:cs="Courier New" w:hint="default"/>
      </w:rPr>
    </w:lvl>
    <w:lvl w:ilvl="2" w:tplc="04070005" w:tentative="1">
      <w:start w:val="1"/>
      <w:numFmt w:val="bullet"/>
      <w:lvlText w:val=""/>
      <w:lvlJc w:val="left"/>
      <w:pPr>
        <w:ind w:left="2633" w:hanging="360"/>
      </w:pPr>
      <w:rPr>
        <w:rFonts w:ascii="Wingdings" w:hAnsi="Wingdings" w:hint="default"/>
      </w:rPr>
    </w:lvl>
    <w:lvl w:ilvl="3" w:tplc="04070001" w:tentative="1">
      <w:start w:val="1"/>
      <w:numFmt w:val="bullet"/>
      <w:lvlText w:val=""/>
      <w:lvlJc w:val="left"/>
      <w:pPr>
        <w:ind w:left="3353" w:hanging="360"/>
      </w:pPr>
      <w:rPr>
        <w:rFonts w:ascii="Symbol" w:hAnsi="Symbol" w:hint="default"/>
      </w:rPr>
    </w:lvl>
    <w:lvl w:ilvl="4" w:tplc="04070003" w:tentative="1">
      <w:start w:val="1"/>
      <w:numFmt w:val="bullet"/>
      <w:lvlText w:val="o"/>
      <w:lvlJc w:val="left"/>
      <w:pPr>
        <w:ind w:left="4073" w:hanging="360"/>
      </w:pPr>
      <w:rPr>
        <w:rFonts w:ascii="Courier New" w:hAnsi="Courier New" w:cs="Courier New" w:hint="default"/>
      </w:rPr>
    </w:lvl>
    <w:lvl w:ilvl="5" w:tplc="04070005" w:tentative="1">
      <w:start w:val="1"/>
      <w:numFmt w:val="bullet"/>
      <w:lvlText w:val=""/>
      <w:lvlJc w:val="left"/>
      <w:pPr>
        <w:ind w:left="4793" w:hanging="360"/>
      </w:pPr>
      <w:rPr>
        <w:rFonts w:ascii="Wingdings" w:hAnsi="Wingdings" w:hint="default"/>
      </w:rPr>
    </w:lvl>
    <w:lvl w:ilvl="6" w:tplc="04070001" w:tentative="1">
      <w:start w:val="1"/>
      <w:numFmt w:val="bullet"/>
      <w:lvlText w:val=""/>
      <w:lvlJc w:val="left"/>
      <w:pPr>
        <w:ind w:left="5513" w:hanging="360"/>
      </w:pPr>
      <w:rPr>
        <w:rFonts w:ascii="Symbol" w:hAnsi="Symbol" w:hint="default"/>
      </w:rPr>
    </w:lvl>
    <w:lvl w:ilvl="7" w:tplc="04070003" w:tentative="1">
      <w:start w:val="1"/>
      <w:numFmt w:val="bullet"/>
      <w:lvlText w:val="o"/>
      <w:lvlJc w:val="left"/>
      <w:pPr>
        <w:ind w:left="6233" w:hanging="360"/>
      </w:pPr>
      <w:rPr>
        <w:rFonts w:ascii="Courier New" w:hAnsi="Courier New" w:cs="Courier New" w:hint="default"/>
      </w:rPr>
    </w:lvl>
    <w:lvl w:ilvl="8" w:tplc="04070005" w:tentative="1">
      <w:start w:val="1"/>
      <w:numFmt w:val="bullet"/>
      <w:lvlText w:val=""/>
      <w:lvlJc w:val="left"/>
      <w:pPr>
        <w:ind w:left="6953" w:hanging="360"/>
      </w:pPr>
      <w:rPr>
        <w:rFonts w:ascii="Wingdings" w:hAnsi="Wingdings" w:hint="default"/>
      </w:rPr>
    </w:lvl>
  </w:abstractNum>
  <w:abstractNum w:abstractNumId="12" w15:restartNumberingAfterBreak="0">
    <w:nsid w:val="390B1504"/>
    <w:multiLevelType w:val="hybridMultilevel"/>
    <w:tmpl w:val="7CF2C65C"/>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DBE693B"/>
    <w:multiLevelType w:val="hybridMultilevel"/>
    <w:tmpl w:val="1548B7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8AB08AF"/>
    <w:multiLevelType w:val="hybridMultilevel"/>
    <w:tmpl w:val="A0926B72"/>
    <w:lvl w:ilvl="0" w:tplc="71F40AC2">
      <w:start w:val="1"/>
      <w:numFmt w:val="bullet"/>
      <w:pStyle w:val="Liste2"/>
      <w:lvlText w:val="o"/>
      <w:lvlJc w:val="left"/>
      <w:pPr>
        <w:ind w:left="833" w:hanging="360"/>
      </w:pPr>
      <w:rPr>
        <w:rFonts w:ascii="Courier New" w:hAnsi="Courier New" w:cs="Courier New" w:hint="default"/>
        <w:color w:val="auto"/>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6" w15:restartNumberingAfterBreak="0">
    <w:nsid w:val="49DB0A98"/>
    <w:multiLevelType w:val="hybridMultilevel"/>
    <w:tmpl w:val="2CCC03F8"/>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7"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0AF0694"/>
    <w:multiLevelType w:val="hybridMultilevel"/>
    <w:tmpl w:val="F2985C4E"/>
    <w:lvl w:ilvl="0" w:tplc="76D0821E">
      <w:start w:val="1"/>
      <w:numFmt w:val="bullet"/>
      <w:lvlText w:val="•"/>
      <w:lvlJc w:val="left"/>
      <w:pPr>
        <w:tabs>
          <w:tab w:val="num" w:pos="720"/>
        </w:tabs>
        <w:ind w:left="720" w:hanging="360"/>
      </w:pPr>
      <w:rPr>
        <w:rFonts w:ascii="Arial" w:hAnsi="Arial" w:hint="default"/>
      </w:rPr>
    </w:lvl>
    <w:lvl w:ilvl="1" w:tplc="32CC10A2" w:tentative="1">
      <w:start w:val="1"/>
      <w:numFmt w:val="bullet"/>
      <w:lvlText w:val="•"/>
      <w:lvlJc w:val="left"/>
      <w:pPr>
        <w:tabs>
          <w:tab w:val="num" w:pos="1440"/>
        </w:tabs>
        <w:ind w:left="1440" w:hanging="360"/>
      </w:pPr>
      <w:rPr>
        <w:rFonts w:ascii="Arial" w:hAnsi="Arial" w:hint="default"/>
      </w:rPr>
    </w:lvl>
    <w:lvl w:ilvl="2" w:tplc="72A0EFBA" w:tentative="1">
      <w:start w:val="1"/>
      <w:numFmt w:val="bullet"/>
      <w:lvlText w:val="•"/>
      <w:lvlJc w:val="left"/>
      <w:pPr>
        <w:tabs>
          <w:tab w:val="num" w:pos="2160"/>
        </w:tabs>
        <w:ind w:left="2160" w:hanging="360"/>
      </w:pPr>
      <w:rPr>
        <w:rFonts w:ascii="Arial" w:hAnsi="Arial" w:hint="default"/>
      </w:rPr>
    </w:lvl>
    <w:lvl w:ilvl="3" w:tplc="57247FD4" w:tentative="1">
      <w:start w:val="1"/>
      <w:numFmt w:val="bullet"/>
      <w:lvlText w:val="•"/>
      <w:lvlJc w:val="left"/>
      <w:pPr>
        <w:tabs>
          <w:tab w:val="num" w:pos="2880"/>
        </w:tabs>
        <w:ind w:left="2880" w:hanging="360"/>
      </w:pPr>
      <w:rPr>
        <w:rFonts w:ascii="Arial" w:hAnsi="Arial" w:hint="default"/>
      </w:rPr>
    </w:lvl>
    <w:lvl w:ilvl="4" w:tplc="4EA68470" w:tentative="1">
      <w:start w:val="1"/>
      <w:numFmt w:val="bullet"/>
      <w:lvlText w:val="•"/>
      <w:lvlJc w:val="left"/>
      <w:pPr>
        <w:tabs>
          <w:tab w:val="num" w:pos="3600"/>
        </w:tabs>
        <w:ind w:left="3600" w:hanging="360"/>
      </w:pPr>
      <w:rPr>
        <w:rFonts w:ascii="Arial" w:hAnsi="Arial" w:hint="default"/>
      </w:rPr>
    </w:lvl>
    <w:lvl w:ilvl="5" w:tplc="1E146658" w:tentative="1">
      <w:start w:val="1"/>
      <w:numFmt w:val="bullet"/>
      <w:lvlText w:val="•"/>
      <w:lvlJc w:val="left"/>
      <w:pPr>
        <w:tabs>
          <w:tab w:val="num" w:pos="4320"/>
        </w:tabs>
        <w:ind w:left="4320" w:hanging="360"/>
      </w:pPr>
      <w:rPr>
        <w:rFonts w:ascii="Arial" w:hAnsi="Arial" w:hint="default"/>
      </w:rPr>
    </w:lvl>
    <w:lvl w:ilvl="6" w:tplc="D8A6EC3C" w:tentative="1">
      <w:start w:val="1"/>
      <w:numFmt w:val="bullet"/>
      <w:lvlText w:val="•"/>
      <w:lvlJc w:val="left"/>
      <w:pPr>
        <w:tabs>
          <w:tab w:val="num" w:pos="5040"/>
        </w:tabs>
        <w:ind w:left="5040" w:hanging="360"/>
      </w:pPr>
      <w:rPr>
        <w:rFonts w:ascii="Arial" w:hAnsi="Arial" w:hint="default"/>
      </w:rPr>
    </w:lvl>
    <w:lvl w:ilvl="7" w:tplc="82AED844" w:tentative="1">
      <w:start w:val="1"/>
      <w:numFmt w:val="bullet"/>
      <w:lvlText w:val="•"/>
      <w:lvlJc w:val="left"/>
      <w:pPr>
        <w:tabs>
          <w:tab w:val="num" w:pos="5760"/>
        </w:tabs>
        <w:ind w:left="5760" w:hanging="360"/>
      </w:pPr>
      <w:rPr>
        <w:rFonts w:ascii="Arial" w:hAnsi="Arial" w:hint="default"/>
      </w:rPr>
    </w:lvl>
    <w:lvl w:ilvl="8" w:tplc="3B04904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4BF61C2"/>
    <w:multiLevelType w:val="hybridMultilevel"/>
    <w:tmpl w:val="A9780B88"/>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0"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0">
    <w:nsid w:val="591B1E24"/>
    <w:multiLevelType w:val="hybridMultilevel"/>
    <w:tmpl w:val="3692ED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E65042D"/>
    <w:multiLevelType w:val="hybridMultilevel"/>
    <w:tmpl w:val="A10E11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1B07A13"/>
    <w:multiLevelType w:val="hybridMultilevel"/>
    <w:tmpl w:val="E6C80DAC"/>
    <w:lvl w:ilvl="0" w:tplc="04070001">
      <w:start w:val="1"/>
      <w:numFmt w:val="bullet"/>
      <w:lvlText w:val=""/>
      <w:lvlJc w:val="left"/>
      <w:pPr>
        <w:ind w:left="833" w:hanging="360"/>
      </w:pPr>
      <w:rPr>
        <w:rFonts w:ascii="Symbol" w:hAnsi="Symbol"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24" w15:restartNumberingAfterBreak="0">
    <w:nsid w:val="714C4ABE"/>
    <w:multiLevelType w:val="hybridMultilevel"/>
    <w:tmpl w:val="3B86D4F8"/>
    <w:lvl w:ilvl="0" w:tplc="04070005">
      <w:start w:val="1"/>
      <w:numFmt w:val="bullet"/>
      <w:lvlText w:val=""/>
      <w:lvlJc w:val="left"/>
      <w:pPr>
        <w:ind w:left="833" w:hanging="360"/>
      </w:pPr>
      <w:rPr>
        <w:rFonts w:ascii="Wingdings" w:hAnsi="Wingdings" w:hint="default"/>
        <w:color w:val="auto"/>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25" w15:restartNumberingAfterBreak="0">
    <w:nsid w:val="76237DE3"/>
    <w:multiLevelType w:val="hybridMultilevel"/>
    <w:tmpl w:val="7BEA4BC8"/>
    <w:lvl w:ilvl="0" w:tplc="C1AC9CCE">
      <w:start w:val="1"/>
      <w:numFmt w:val="bullet"/>
      <w:lvlText w:val=""/>
      <w:lvlJc w:val="left"/>
      <w:pPr>
        <w:tabs>
          <w:tab w:val="num" w:pos="720"/>
        </w:tabs>
        <w:ind w:left="720" w:hanging="360"/>
      </w:pPr>
      <w:rPr>
        <w:rFonts w:ascii="Wingdings" w:hAnsi="Wingdings" w:hint="default"/>
      </w:rPr>
    </w:lvl>
    <w:lvl w:ilvl="1" w:tplc="F084B266" w:tentative="1">
      <w:start w:val="1"/>
      <w:numFmt w:val="bullet"/>
      <w:lvlText w:val=""/>
      <w:lvlJc w:val="left"/>
      <w:pPr>
        <w:tabs>
          <w:tab w:val="num" w:pos="1440"/>
        </w:tabs>
        <w:ind w:left="1440" w:hanging="360"/>
      </w:pPr>
      <w:rPr>
        <w:rFonts w:ascii="Wingdings" w:hAnsi="Wingdings" w:hint="default"/>
      </w:rPr>
    </w:lvl>
    <w:lvl w:ilvl="2" w:tplc="71F8D5DE" w:tentative="1">
      <w:start w:val="1"/>
      <w:numFmt w:val="bullet"/>
      <w:lvlText w:val=""/>
      <w:lvlJc w:val="left"/>
      <w:pPr>
        <w:tabs>
          <w:tab w:val="num" w:pos="2160"/>
        </w:tabs>
        <w:ind w:left="2160" w:hanging="360"/>
      </w:pPr>
      <w:rPr>
        <w:rFonts w:ascii="Wingdings" w:hAnsi="Wingdings" w:hint="default"/>
      </w:rPr>
    </w:lvl>
    <w:lvl w:ilvl="3" w:tplc="3A4003EE" w:tentative="1">
      <w:start w:val="1"/>
      <w:numFmt w:val="bullet"/>
      <w:lvlText w:val=""/>
      <w:lvlJc w:val="left"/>
      <w:pPr>
        <w:tabs>
          <w:tab w:val="num" w:pos="2880"/>
        </w:tabs>
        <w:ind w:left="2880" w:hanging="360"/>
      </w:pPr>
      <w:rPr>
        <w:rFonts w:ascii="Wingdings" w:hAnsi="Wingdings" w:hint="default"/>
      </w:rPr>
    </w:lvl>
    <w:lvl w:ilvl="4" w:tplc="0324EB1E" w:tentative="1">
      <w:start w:val="1"/>
      <w:numFmt w:val="bullet"/>
      <w:lvlText w:val=""/>
      <w:lvlJc w:val="left"/>
      <w:pPr>
        <w:tabs>
          <w:tab w:val="num" w:pos="3600"/>
        </w:tabs>
        <w:ind w:left="3600" w:hanging="360"/>
      </w:pPr>
      <w:rPr>
        <w:rFonts w:ascii="Wingdings" w:hAnsi="Wingdings" w:hint="default"/>
      </w:rPr>
    </w:lvl>
    <w:lvl w:ilvl="5" w:tplc="8984235A" w:tentative="1">
      <w:start w:val="1"/>
      <w:numFmt w:val="bullet"/>
      <w:lvlText w:val=""/>
      <w:lvlJc w:val="left"/>
      <w:pPr>
        <w:tabs>
          <w:tab w:val="num" w:pos="4320"/>
        </w:tabs>
        <w:ind w:left="4320" w:hanging="360"/>
      </w:pPr>
      <w:rPr>
        <w:rFonts w:ascii="Wingdings" w:hAnsi="Wingdings" w:hint="default"/>
      </w:rPr>
    </w:lvl>
    <w:lvl w:ilvl="6" w:tplc="80D885CE" w:tentative="1">
      <w:start w:val="1"/>
      <w:numFmt w:val="bullet"/>
      <w:lvlText w:val=""/>
      <w:lvlJc w:val="left"/>
      <w:pPr>
        <w:tabs>
          <w:tab w:val="num" w:pos="5040"/>
        </w:tabs>
        <w:ind w:left="5040" w:hanging="360"/>
      </w:pPr>
      <w:rPr>
        <w:rFonts w:ascii="Wingdings" w:hAnsi="Wingdings" w:hint="default"/>
      </w:rPr>
    </w:lvl>
    <w:lvl w:ilvl="7" w:tplc="B2FCF476" w:tentative="1">
      <w:start w:val="1"/>
      <w:numFmt w:val="bullet"/>
      <w:lvlText w:val=""/>
      <w:lvlJc w:val="left"/>
      <w:pPr>
        <w:tabs>
          <w:tab w:val="num" w:pos="5760"/>
        </w:tabs>
        <w:ind w:left="5760" w:hanging="360"/>
      </w:pPr>
      <w:rPr>
        <w:rFonts w:ascii="Wingdings" w:hAnsi="Wingdings" w:hint="default"/>
      </w:rPr>
    </w:lvl>
    <w:lvl w:ilvl="8" w:tplc="F4AE3996"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ABC48F1"/>
    <w:multiLevelType w:val="hybridMultilevel"/>
    <w:tmpl w:val="382C7F10"/>
    <w:lvl w:ilvl="0" w:tplc="04070001">
      <w:start w:val="1"/>
      <w:numFmt w:val="bullet"/>
      <w:lvlText w:val=""/>
      <w:lvlJc w:val="left"/>
      <w:pPr>
        <w:ind w:left="833" w:hanging="360"/>
      </w:pPr>
      <w:rPr>
        <w:rFonts w:ascii="Symbol" w:hAnsi="Symbol"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27" w15:restartNumberingAfterBreak="0">
    <w:nsid w:val="7BB75E02"/>
    <w:multiLevelType w:val="hybridMultilevel"/>
    <w:tmpl w:val="7602B956"/>
    <w:lvl w:ilvl="0" w:tplc="04070001">
      <w:start w:val="1"/>
      <w:numFmt w:val="bullet"/>
      <w:lvlText w:val=""/>
      <w:lvlJc w:val="left"/>
      <w:pPr>
        <w:ind w:left="720" w:hanging="360"/>
      </w:pPr>
      <w:rPr>
        <w:rFonts w:ascii="Symbol" w:hAnsi="Symbol"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4"/>
  </w:num>
  <w:num w:numId="4">
    <w:abstractNumId w:val="17"/>
  </w:num>
  <w:num w:numId="5">
    <w:abstractNumId w:val="9"/>
  </w:num>
  <w:num w:numId="6">
    <w:abstractNumId w:val="8"/>
  </w:num>
  <w:num w:numId="7">
    <w:abstractNumId w:val="15"/>
  </w:num>
  <w:num w:numId="8">
    <w:abstractNumId w:val="12"/>
  </w:num>
  <w:num w:numId="9">
    <w:abstractNumId w:val="6"/>
  </w:num>
  <w:num w:numId="10">
    <w:abstractNumId w:val="14"/>
  </w:num>
  <w:num w:numId="11">
    <w:abstractNumId w:val="10"/>
  </w:num>
  <w:num w:numId="12">
    <w:abstractNumId w:val="0"/>
  </w:num>
  <w:num w:numId="13">
    <w:abstractNumId w:val="2"/>
  </w:num>
  <w:num w:numId="14">
    <w:abstractNumId w:val="11"/>
  </w:num>
  <w:num w:numId="15">
    <w:abstractNumId w:val="3"/>
  </w:num>
  <w:num w:numId="16">
    <w:abstractNumId w:val="27"/>
  </w:num>
  <w:num w:numId="17">
    <w:abstractNumId w:val="16"/>
  </w:num>
  <w:num w:numId="18">
    <w:abstractNumId w:val="19"/>
  </w:num>
  <w:num w:numId="19">
    <w:abstractNumId w:val="7"/>
  </w:num>
  <w:num w:numId="20">
    <w:abstractNumId w:val="21"/>
  </w:num>
  <w:num w:numId="21">
    <w:abstractNumId w:val="1"/>
  </w:num>
  <w:num w:numId="22">
    <w:abstractNumId w:val="18"/>
  </w:num>
  <w:num w:numId="23">
    <w:abstractNumId w:val="25"/>
  </w:num>
  <w:num w:numId="24">
    <w:abstractNumId w:val="24"/>
  </w:num>
  <w:num w:numId="25">
    <w:abstractNumId w:val="22"/>
  </w:num>
  <w:num w:numId="26">
    <w:abstractNumId w:val="23"/>
  </w:num>
  <w:num w:numId="27">
    <w:abstractNumId w:val="20"/>
  </w:num>
  <w:num w:numId="28">
    <w:abstractNumId w:val="2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6963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9633"/>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6"/>
      </w:numPr>
      <w:spacing w:after="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7"/>
      </w:numPr>
      <w:spacing w:after="0"/>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numPr>
        <w:ilvl w:val="1"/>
        <w:numId w:val="6"/>
      </w:numPr>
      <w:spacing w:after="0"/>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258804753">
      <w:bodyDiv w:val="1"/>
      <w:marLeft w:val="0"/>
      <w:marRight w:val="0"/>
      <w:marTop w:val="0"/>
      <w:marBottom w:val="0"/>
      <w:divBdr>
        <w:top w:val="none" w:sz="0" w:space="0" w:color="auto"/>
        <w:left w:val="none" w:sz="0" w:space="0" w:color="auto"/>
        <w:bottom w:val="none" w:sz="0" w:space="0" w:color="auto"/>
        <w:right w:val="none" w:sz="0" w:space="0" w:color="auto"/>
      </w:divBdr>
      <w:divsChild>
        <w:div w:id="1623876602">
          <w:marLeft w:val="274"/>
          <w:marRight w:val="0"/>
          <w:marTop w:val="0"/>
          <w:marBottom w:val="0"/>
          <w:divBdr>
            <w:top w:val="none" w:sz="0" w:space="0" w:color="auto"/>
            <w:left w:val="none" w:sz="0" w:space="0" w:color="auto"/>
            <w:bottom w:val="none" w:sz="0" w:space="0" w:color="auto"/>
            <w:right w:val="none" w:sz="0" w:space="0" w:color="auto"/>
          </w:divBdr>
        </w:div>
        <w:div w:id="519901879">
          <w:marLeft w:val="274"/>
          <w:marRight w:val="0"/>
          <w:marTop w:val="0"/>
          <w:marBottom w:val="0"/>
          <w:divBdr>
            <w:top w:val="none" w:sz="0" w:space="0" w:color="auto"/>
            <w:left w:val="none" w:sz="0" w:space="0" w:color="auto"/>
            <w:bottom w:val="none" w:sz="0" w:space="0" w:color="auto"/>
            <w:right w:val="none" w:sz="0" w:space="0" w:color="auto"/>
          </w:divBdr>
        </w:div>
        <w:div w:id="367342119">
          <w:marLeft w:val="274"/>
          <w:marRight w:val="0"/>
          <w:marTop w:val="0"/>
          <w:marBottom w:val="0"/>
          <w:divBdr>
            <w:top w:val="none" w:sz="0" w:space="0" w:color="auto"/>
            <w:left w:val="none" w:sz="0" w:space="0" w:color="auto"/>
            <w:bottom w:val="none" w:sz="0" w:space="0" w:color="auto"/>
            <w:right w:val="none" w:sz="0" w:space="0" w:color="auto"/>
          </w:divBdr>
        </w:div>
      </w:divsChild>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33925607">
      <w:bodyDiv w:val="1"/>
      <w:marLeft w:val="0"/>
      <w:marRight w:val="0"/>
      <w:marTop w:val="0"/>
      <w:marBottom w:val="0"/>
      <w:divBdr>
        <w:top w:val="none" w:sz="0" w:space="0" w:color="auto"/>
        <w:left w:val="none" w:sz="0" w:space="0" w:color="auto"/>
        <w:bottom w:val="none" w:sz="0" w:space="0" w:color="auto"/>
        <w:right w:val="none" w:sz="0" w:space="0" w:color="auto"/>
      </w:divBdr>
    </w:div>
    <w:div w:id="1064986588">
      <w:bodyDiv w:val="1"/>
      <w:marLeft w:val="0"/>
      <w:marRight w:val="0"/>
      <w:marTop w:val="0"/>
      <w:marBottom w:val="0"/>
      <w:divBdr>
        <w:top w:val="none" w:sz="0" w:space="0" w:color="auto"/>
        <w:left w:val="none" w:sz="0" w:space="0" w:color="auto"/>
        <w:bottom w:val="none" w:sz="0" w:space="0" w:color="auto"/>
        <w:right w:val="none" w:sz="0" w:space="0" w:color="auto"/>
      </w:divBdr>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762487284">
      <w:bodyDiv w:val="1"/>
      <w:marLeft w:val="0"/>
      <w:marRight w:val="0"/>
      <w:marTop w:val="0"/>
      <w:marBottom w:val="0"/>
      <w:divBdr>
        <w:top w:val="none" w:sz="0" w:space="0" w:color="auto"/>
        <w:left w:val="none" w:sz="0" w:space="0" w:color="auto"/>
        <w:bottom w:val="none" w:sz="0" w:space="0" w:color="auto"/>
        <w:right w:val="none" w:sz="0" w:space="0" w:color="auto"/>
      </w:divBdr>
      <w:divsChild>
        <w:div w:id="1318849048">
          <w:marLeft w:val="274"/>
          <w:marRight w:val="0"/>
          <w:marTop w:val="0"/>
          <w:marBottom w:val="0"/>
          <w:divBdr>
            <w:top w:val="none" w:sz="0" w:space="0" w:color="auto"/>
            <w:left w:val="none" w:sz="0" w:space="0" w:color="auto"/>
            <w:bottom w:val="none" w:sz="0" w:space="0" w:color="auto"/>
            <w:right w:val="none" w:sz="0" w:space="0" w:color="auto"/>
          </w:divBdr>
        </w:div>
        <w:div w:id="1110778934">
          <w:marLeft w:val="274"/>
          <w:marRight w:val="0"/>
          <w:marTop w:val="0"/>
          <w:marBottom w:val="0"/>
          <w:divBdr>
            <w:top w:val="none" w:sz="0" w:space="0" w:color="auto"/>
            <w:left w:val="none" w:sz="0" w:space="0" w:color="auto"/>
            <w:bottom w:val="none" w:sz="0" w:space="0" w:color="auto"/>
            <w:right w:val="none" w:sz="0" w:space="0" w:color="auto"/>
          </w:divBdr>
        </w:div>
        <w:div w:id="736392960">
          <w:marLeft w:val="274"/>
          <w:marRight w:val="0"/>
          <w:marTop w:val="0"/>
          <w:marBottom w:val="0"/>
          <w:divBdr>
            <w:top w:val="none" w:sz="0" w:space="0" w:color="auto"/>
            <w:left w:val="none" w:sz="0" w:space="0" w:color="auto"/>
            <w:bottom w:val="none" w:sz="0" w:space="0" w:color="auto"/>
            <w:right w:val="none" w:sz="0" w:space="0" w:color="auto"/>
          </w:divBdr>
        </w:div>
      </w:divsChild>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infektionsschutz.de/erregersteckbriefe/coronavirus-sars-cov-2/"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influenza.rki.de/wochenberichte.aspx" TargetMode="External"/><Relationship Id="rId2" Type="http://schemas.openxmlformats.org/officeDocument/2006/relationships/numbering" Target="numbering.xml"/><Relationship Id="rId16" Type="http://schemas.openxmlformats.org/officeDocument/2006/relationships/hyperlink" Target="2022-05-11_Intensivregister_SPoCK.pptx"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LageNational_2022-05-11.pptx"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COVID-19_internat.%20Lage_2022-05-11.ppt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B37895-9FE2-410D-AD4F-A0A9B63E5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2303</Words>
  <Characters>14509</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Wolter, Amrei</cp:lastModifiedBy>
  <cp:revision>20</cp:revision>
  <cp:lastPrinted>2020-05-06T16:43:00Z</cp:lastPrinted>
  <dcterms:created xsi:type="dcterms:W3CDTF">2022-05-11T14:49:00Z</dcterms:created>
  <dcterms:modified xsi:type="dcterms:W3CDTF">2022-05-12T08:06:00Z</dcterms:modified>
</cp:coreProperties>
</file>