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29.06.2022,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sectPr>
          <w:headerReference w:type="default" r:id="rId8"/>
          <w:footerReference w:type="even" r:id="rId9"/>
          <w:footerReference w:type="default" r:id="rId10"/>
          <w:pgSz w:w="11900" w:h="16840"/>
          <w:pgMar w:top="1440" w:right="1800" w:bottom="1440" w:left="1800" w:header="708" w:footer="708" w:gutter="0"/>
          <w:cols w:space="708"/>
        </w:sectPr>
      </w:pPr>
      <w:r>
        <w:rPr>
          <w:b/>
          <w:sz w:val="22"/>
        </w:rPr>
        <w:t xml:space="preserve">Moderation: Lars Schaade/ Annette </w:t>
      </w:r>
      <w:proofErr w:type="spellStart"/>
      <w:r>
        <w:rPr>
          <w:b/>
          <w:sz w:val="22"/>
        </w:rPr>
        <w:t>Mankertz</w:t>
      </w:r>
      <w:proofErr w:type="spellEnd"/>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0"/>
          <w:numId w:val="2"/>
        </w:numPr>
        <w:spacing w:after="0"/>
        <w:contextualSpacing w:val="0"/>
        <w:rPr>
          <w:sz w:val="22"/>
          <w:szCs w:val="22"/>
        </w:rPr>
      </w:pPr>
      <w:r>
        <w:rPr>
          <w:sz w:val="22"/>
          <w:szCs w:val="22"/>
        </w:rPr>
        <w:t>FG11</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0"/>
          <w:numId w:val="3"/>
        </w:numPr>
        <w:spacing w:after="0"/>
        <w:contextualSpacing w:val="0"/>
        <w:rPr>
          <w:sz w:val="22"/>
          <w:szCs w:val="22"/>
        </w:rPr>
      </w:pPr>
      <w:r>
        <w:rPr>
          <w:sz w:val="22"/>
          <w:szCs w:val="22"/>
        </w:rPr>
        <w:t>FG17</w:t>
      </w:r>
    </w:p>
    <w:p>
      <w:pPr>
        <w:pStyle w:val="Listenabsatz"/>
        <w:numPr>
          <w:ilvl w:val="1"/>
          <w:numId w:val="3"/>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1"/>
          <w:numId w:val="2"/>
        </w:numPr>
        <w:spacing w:after="0"/>
        <w:contextualSpacing w:val="0"/>
        <w:jc w:val="both"/>
        <w:rPr>
          <w:sz w:val="22"/>
          <w:szCs w:val="22"/>
        </w:rPr>
      </w:pPr>
      <w:r>
        <w:rPr>
          <w:sz w:val="22"/>
          <w:szCs w:val="22"/>
        </w:rPr>
        <w:t>Julia Hermes</w:t>
      </w:r>
    </w:p>
    <w:p>
      <w:pPr>
        <w:pStyle w:val="Listenabsatz"/>
        <w:numPr>
          <w:ilvl w:val="0"/>
          <w:numId w:val="3"/>
        </w:numPr>
        <w:spacing w:after="0"/>
        <w:contextualSpacing w:val="0"/>
        <w:rPr>
          <w:sz w:val="22"/>
          <w:szCs w:val="22"/>
        </w:rPr>
      </w:pPr>
      <w:r>
        <w:rPr>
          <w:sz w:val="22"/>
          <w:szCs w:val="22"/>
        </w:rPr>
        <w:t>ZBS1</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MF2</w:t>
      </w:r>
    </w:p>
    <w:p>
      <w:pPr>
        <w:pStyle w:val="Listenabsatz"/>
        <w:numPr>
          <w:ilvl w:val="0"/>
          <w:numId w:val="3"/>
        </w:numPr>
        <w:spacing w:after="0"/>
        <w:contextualSpacing w:val="0"/>
        <w:rPr>
          <w:sz w:val="22"/>
          <w:szCs w:val="22"/>
        </w:rPr>
      </w:pPr>
      <w:r>
        <w:rPr>
          <w:sz w:val="22"/>
          <w:szCs w:val="22"/>
        </w:rPr>
        <w:t>MF3</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Ronja Wenchel</w:t>
      </w:r>
    </w:p>
    <w:p>
      <w:pPr>
        <w:pStyle w:val="Listenabsatz"/>
        <w:numPr>
          <w:ilvl w:val="1"/>
          <w:numId w:val="3"/>
        </w:numPr>
        <w:rPr>
          <w:sz w:val="22"/>
          <w:szCs w:val="22"/>
        </w:rPr>
      </w:pPr>
      <w:r>
        <w:rPr>
          <w:sz w:val="22"/>
          <w:szCs w:val="22"/>
        </w:rPr>
        <w:t xml:space="preserve">Susanne Glasmacher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0"/>
          <w:numId w:val="2"/>
        </w:numPr>
        <w:spacing w:after="0"/>
        <w:contextualSpacing w:val="0"/>
        <w:rPr>
          <w:rStyle w:val="highlight"/>
          <w:sz w:val="22"/>
          <w:szCs w:val="22"/>
        </w:rPr>
      </w:pPr>
      <w:r>
        <w:rPr>
          <w:rStyle w:val="highlight"/>
          <w:sz w:val="22"/>
          <w:szCs w:val="22"/>
        </w:rPr>
        <w:t>ZIG4</w:t>
      </w:r>
    </w:p>
    <w:p>
      <w:pPr>
        <w:pStyle w:val="Listenabsatz"/>
        <w:numPr>
          <w:ilvl w:val="0"/>
          <w:numId w:val="2"/>
        </w:numPr>
        <w:spacing w:after="0"/>
        <w:contextualSpacing w:val="0"/>
        <w:rPr>
          <w:sz w:val="22"/>
          <w:szCs w:val="22"/>
        </w:rPr>
      </w:pPr>
      <w:r>
        <w:rPr>
          <w:sz w:val="22"/>
          <w:szCs w:val="22"/>
        </w:rPr>
        <w:t xml:space="preserve">BZgA </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pPr>
            <w:proofErr w:type="spellStart"/>
            <w:r>
              <w:t>Folien</w:t>
            </w:r>
            <w:proofErr w:type="spellEnd"/>
            <w:r>
              <w:t xml:space="preserve"> </w:t>
            </w:r>
            <w:hyperlink r:id="rId11" w:history="1">
              <w:proofErr w:type="spellStart"/>
              <w:r>
                <w:rPr>
                  <w:rStyle w:val="Hyperlink"/>
                </w:rPr>
                <w:t>hier</w:t>
              </w:r>
              <w:proofErr w:type="spellEnd"/>
            </w:hyperlink>
          </w:p>
          <w:p>
            <w:pPr>
              <w:pStyle w:val="Liste2"/>
            </w:pPr>
            <w:proofErr w:type="spellStart"/>
            <w:r>
              <w:t>Datenstand</w:t>
            </w:r>
            <w:proofErr w:type="spellEnd"/>
            <w:r>
              <w:t>: WHO, 28.06.2022</w:t>
            </w:r>
          </w:p>
          <w:p>
            <w:pPr>
              <w:pStyle w:val="Liste2"/>
              <w:rPr>
                <w:lang w:val="de-DE"/>
              </w:rPr>
            </w:pPr>
            <w:r>
              <w:rPr>
                <w:lang w:val="de-DE"/>
              </w:rPr>
              <w:t>Globaler Anstieg (+17% i. Vgl. zur Vorwoche); Todesfallzahlen bleiben stabil</w:t>
            </w:r>
          </w:p>
          <w:p>
            <w:pPr>
              <w:pStyle w:val="Liste2"/>
              <w:rPr>
                <w:lang w:val="de-DE"/>
              </w:rPr>
            </w:pPr>
            <w:r>
              <w:rPr>
                <w:lang w:val="de-DE"/>
              </w:rPr>
              <w:t>Abnahme Fälle in Afrika, Ozeanien, Asien</w:t>
            </w:r>
          </w:p>
          <w:p>
            <w:pPr>
              <w:pStyle w:val="Liste2"/>
              <w:rPr>
                <w:lang w:val="de-DE"/>
              </w:rPr>
            </w:pPr>
            <w:r>
              <w:rPr>
                <w:lang w:val="de-DE"/>
              </w:rPr>
              <w:t>Anstieg in Amerika, Europa</w:t>
            </w:r>
          </w:p>
          <w:p>
            <w:pPr>
              <w:pStyle w:val="Liste2"/>
              <w:rPr>
                <w:lang w:val="de-DE"/>
              </w:rPr>
            </w:pPr>
            <w:r>
              <w:rPr>
                <w:lang w:val="de-DE"/>
              </w:rPr>
              <w:t xml:space="preserve">7-Tages-Inzidenz in Europa: Deutlich steigende Fallzahlen (+35%) bei zeitgleich sinkenden Todesfällen (-10%): Höchste 7-T-Inzidenzen in Portugal, Luxemburg, Griechenland, Österreich, Malta, Deutschland, Italien und Frankreich (absteigende Reihenfolge; alle bei einer7-T- Inzidenz zwischen 500 – 750 pro. 100.000 </w:t>
            </w:r>
            <w:proofErr w:type="spellStart"/>
            <w:r>
              <w:rPr>
                <w:lang w:val="de-DE"/>
              </w:rPr>
              <w:t>Einw</w:t>
            </w:r>
            <w:proofErr w:type="spellEnd"/>
            <w:r>
              <w:rPr>
                <w:lang w:val="de-DE"/>
              </w:rPr>
              <w:t>.)</w:t>
            </w:r>
          </w:p>
          <w:p>
            <w:pPr>
              <w:pStyle w:val="Liste2"/>
              <w:rPr>
                <w:lang w:val="de-DE"/>
              </w:rPr>
            </w:pPr>
            <w:r>
              <w:rPr>
                <w:lang w:val="de-DE"/>
              </w:rPr>
              <w:t>Virusvarianten weltweit &amp; BA.2.12.1/BA.5</w:t>
            </w:r>
          </w:p>
          <w:p>
            <w:pPr>
              <w:pStyle w:val="Liste2"/>
              <w:numPr>
                <w:ilvl w:val="0"/>
                <w:numId w:val="0"/>
              </w:numPr>
              <w:ind w:left="833"/>
              <w:rPr>
                <w:lang w:val="de-DE"/>
              </w:rPr>
            </w:pPr>
            <w:r>
              <w:rPr>
                <w:lang w:val="de-DE"/>
              </w:rPr>
              <w:t xml:space="preserve">BA.1: &lt; 1%, BA.2: 36%, BA.2.12.1: 31% </w:t>
            </w:r>
            <w:r>
              <w:rPr>
                <w:lang w:val="de-DE"/>
              </w:rPr>
              <w:sym w:font="Wingdings" w:char="F0E0"/>
            </w:r>
            <w:r>
              <w:rPr>
                <w:lang w:val="de-DE"/>
              </w:rPr>
              <w:t xml:space="preserve"> 17% (69 Länder), BA.4: 6% </w:t>
            </w:r>
            <w:r>
              <w:rPr>
                <w:lang w:val="de-DE"/>
              </w:rPr>
              <w:sym w:font="Wingdings" w:char="F0E0"/>
            </w:r>
            <w:r>
              <w:rPr>
                <w:lang w:val="de-DE"/>
              </w:rPr>
              <w:t xml:space="preserve"> 9% (58 Länder), BA.5: 16% </w:t>
            </w:r>
            <w:r>
              <w:rPr>
                <w:lang w:val="de-DE"/>
              </w:rPr>
              <w:sym w:font="Wingdings" w:char="F0E0"/>
            </w:r>
            <w:r>
              <w:rPr>
                <w:lang w:val="de-DE"/>
              </w:rPr>
              <w:t xml:space="preserve"> 25% (62 Länder)</w:t>
            </w:r>
          </w:p>
          <w:p>
            <w:pPr>
              <w:pStyle w:val="Liste2"/>
              <w:rPr>
                <w:lang w:val="de-DE"/>
              </w:rPr>
            </w:pPr>
            <w:r>
              <w:rPr>
                <w:lang w:val="de-DE"/>
              </w:rPr>
              <w:t>Länderfokus USA: BA.2.12.1 hat Peak in KW21 erreicht, sinkt seitdem und ist aktuell bei 42%; BA.5 steigt seit Ende April und ist aktuell bei 37%</w:t>
            </w:r>
          </w:p>
          <w:p>
            <w:pPr>
              <w:pStyle w:val="Liste2"/>
              <w:rPr>
                <w:lang w:val="de-DE"/>
              </w:rPr>
            </w:pPr>
            <w:r>
              <w:rPr>
                <w:lang w:val="de-DE"/>
              </w:rPr>
              <w:t xml:space="preserve">USA: Fall- und Todesfallzahlen seit Ende Mai stabil; Zunahme bei Hospitalisierungen &amp; IST-Belegung seit Mitte April </w:t>
            </w:r>
          </w:p>
          <w:p>
            <w:pPr>
              <w:pStyle w:val="2"/>
            </w:pPr>
            <w:r>
              <w:t xml:space="preserve">National </w:t>
            </w:r>
          </w:p>
          <w:p>
            <w:pPr>
              <w:pStyle w:val="Liste2"/>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r>
              <w:rPr>
                <w:lang w:val="de-DE"/>
              </w:rPr>
              <w:t>7-Tages-Inzidenz weiter leicht steigend</w:t>
            </w:r>
          </w:p>
          <w:p>
            <w:pPr>
              <w:pStyle w:val="Liste2"/>
              <w:rPr>
                <w:lang w:val="de-DE"/>
              </w:rPr>
            </w:pPr>
            <w:r>
              <w:rPr>
                <w:lang w:val="de-DE"/>
              </w:rPr>
              <w:t xml:space="preserve">28.048.190 Fälle insgesamt (+133.950), Todesfälle 141.022 (+175), </w:t>
            </w:r>
          </w:p>
          <w:p>
            <w:pPr>
              <w:pStyle w:val="Liste2"/>
            </w:pPr>
            <w:r>
              <w:t xml:space="preserve">7-Tage-Inzidenz: 646/100.000 </w:t>
            </w:r>
            <w:proofErr w:type="spellStart"/>
            <w:r>
              <w:t>Einw</w:t>
            </w:r>
            <w:proofErr w:type="spellEnd"/>
            <w:r>
              <w:t>.</w:t>
            </w:r>
          </w:p>
          <w:p>
            <w:pPr>
              <w:pStyle w:val="Liste2"/>
              <w:rPr>
                <w:lang w:val="de-DE"/>
              </w:rPr>
            </w:pPr>
            <w:r>
              <w:rPr>
                <w:lang w:val="de-DE"/>
              </w:rPr>
              <w:t>Impfmonitoring: mit vollständiger Impfung 63.342.616 (76,2%)</w:t>
            </w:r>
          </w:p>
          <w:p>
            <w:pPr>
              <w:pStyle w:val="Liste2"/>
              <w:rPr>
                <w:lang w:val="de-DE"/>
              </w:rPr>
            </w:pPr>
            <w:r>
              <w:rPr>
                <w:lang w:val="de-DE"/>
              </w:rPr>
              <w:t>SARS-CoV-2-Meldungen zuletzt stärker gestiegen als an das RKI übermittelte COVID-19-Fälle</w:t>
            </w:r>
          </w:p>
          <w:p>
            <w:pPr>
              <w:pStyle w:val="Liste2"/>
              <w:rPr>
                <w:lang w:val="de-DE"/>
              </w:rPr>
            </w:pPr>
            <w:r>
              <w:rPr>
                <w:lang w:val="de-DE"/>
              </w:rPr>
              <w:t>Verlauf der 7-Tage-Inzidenz der Bundesländer:</w:t>
            </w:r>
          </w:p>
          <w:p>
            <w:pPr>
              <w:pStyle w:val="Liste3"/>
            </w:pPr>
            <w:r>
              <w:t xml:space="preserve">Differenz zwischen BL geht sehr stark auseinander: in SH + NI 7-T-Inzidenzen von bis zu 1.000 / 100.000 </w:t>
            </w:r>
            <w:proofErr w:type="spellStart"/>
            <w:r>
              <w:t>Einw</w:t>
            </w:r>
            <w:proofErr w:type="spellEnd"/>
            <w:r>
              <w:t>. während östliche BL deutlich geringer.</w:t>
            </w:r>
          </w:p>
          <w:p>
            <w:pPr>
              <w:pStyle w:val="Liste2"/>
              <w:rPr>
                <w:lang w:val="de-DE"/>
              </w:rPr>
            </w:pPr>
            <w:r>
              <w:rPr>
                <w:lang w:val="de-DE"/>
              </w:rPr>
              <w:t>Geografische Verteilung: Deutliches Ost-West-Gefälle sowie Nord-Süd-Gefälle. Weiterhin am stärksten betroffen sind die nördlichen BL/LK.</w:t>
            </w:r>
          </w:p>
          <w:p>
            <w:pPr>
              <w:pStyle w:val="Liste2"/>
              <w:rPr>
                <w:lang w:val="de-DE"/>
              </w:rPr>
            </w:pPr>
            <w:r>
              <w:rPr>
                <w:lang w:val="de-DE"/>
              </w:rPr>
              <w:t>Am stärksten betroffene AG: 25-29-Jährige mit Inzidenzen von bis zu 1.000</w:t>
            </w:r>
          </w:p>
          <w:p>
            <w:pPr>
              <w:pStyle w:val="Liste2"/>
              <w:rPr>
                <w:lang w:val="de-DE"/>
              </w:rPr>
            </w:pPr>
            <w:r>
              <w:rPr>
                <w:lang w:val="de-DE"/>
              </w:rPr>
              <w:t>Am geringsten betroffene AG: 0-4-Jährige; jedoch Anstieg in allen AG</w:t>
            </w:r>
          </w:p>
          <w:p>
            <w:pPr>
              <w:pStyle w:val="Liste2"/>
              <w:rPr>
                <w:lang w:val="de-DE"/>
              </w:rPr>
            </w:pPr>
            <w:r>
              <w:rPr>
                <w:lang w:val="de-DE"/>
              </w:rPr>
              <w:t>Sterbefälle in vergangenen Wochen auf ähnlichem Niveau; mit Anstieg der Fallzahlen ist auch ein Anstieg hier zu erwarten</w:t>
            </w:r>
          </w:p>
          <w:p>
            <w:pPr>
              <w:pStyle w:val="Liste2"/>
              <w:rPr>
                <w:lang w:val="de-DE"/>
              </w:rPr>
            </w:pPr>
            <w:r>
              <w:rPr>
                <w:lang w:val="de-DE"/>
              </w:rPr>
              <w:t>Destatis Sterbefallzahlen zeigen aktuell keine Übersterblichkeit</w:t>
            </w:r>
          </w:p>
          <w:p>
            <w:pPr>
              <w:pStyle w:val="Liste3"/>
              <w:numPr>
                <w:ilvl w:val="0"/>
                <w:numId w:val="0"/>
              </w:numPr>
              <w:ind w:left="1193"/>
            </w:pPr>
          </w:p>
          <w:p>
            <w:pPr>
              <w:pStyle w:val="Liste3"/>
              <w:numPr>
                <w:ilvl w:val="0"/>
                <w:numId w:val="0"/>
              </w:numPr>
              <w:ind w:left="1193" w:hanging="360"/>
            </w:pPr>
          </w:p>
          <w:p>
            <w:pPr>
              <w:pStyle w:val="Liste2"/>
              <w:rPr>
                <w:bCs/>
                <w:i/>
                <w:color w:val="D99594" w:themeColor="accent2" w:themeTint="99"/>
                <w:lang w:val="de-DE"/>
              </w:rPr>
            </w:pPr>
            <w:r>
              <w:rPr>
                <w:rStyle w:val="3Zchn"/>
                <w:b w:val="0"/>
                <w:lang w:val="de-DE"/>
              </w:rPr>
              <w:t xml:space="preserve">Testkapazität und Testungen: Folien </w:t>
            </w:r>
            <w:hyperlink r:id="rId13" w:history="1">
              <w:r>
                <w:rPr>
                  <w:rStyle w:val="Hyperlink"/>
                  <w:lang w:val="de-DE"/>
                </w:rPr>
                <w:t>hier</w:t>
              </w:r>
            </w:hyperlink>
            <w:r>
              <w:rPr>
                <w:lang w:val="de-DE"/>
              </w:rPr>
              <w:t xml:space="preserve"> </w:t>
            </w:r>
          </w:p>
          <w:p>
            <w:pPr>
              <w:pStyle w:val="Liste2"/>
              <w:numPr>
                <w:ilvl w:val="0"/>
                <w:numId w:val="0"/>
              </w:numPr>
              <w:ind w:left="833"/>
              <w:rPr>
                <w:rStyle w:val="TagMiZchn"/>
                <w:b w:val="0"/>
                <w:bCs/>
                <w:i w:val="0"/>
                <w:color w:val="auto"/>
                <w:lang w:val="de-DE"/>
              </w:rPr>
            </w:pPr>
            <w:r>
              <w:rPr>
                <w:rStyle w:val="TagMiZchn"/>
                <w:b w:val="0"/>
                <w:bCs/>
                <w:i w:val="0"/>
                <w:color w:val="auto"/>
                <w:lang w:val="de-DE"/>
              </w:rPr>
              <w:t xml:space="preserve">Deutliche Zunahme um 200.000 in KW25 (insgesamt 888.500 Testungen). </w:t>
            </w:r>
            <w:proofErr w:type="spellStart"/>
            <w:r>
              <w:rPr>
                <w:rStyle w:val="TagMiZchn"/>
                <w:b w:val="0"/>
                <w:bCs/>
                <w:i w:val="0"/>
                <w:color w:val="auto"/>
                <w:lang w:val="de-DE"/>
              </w:rPr>
              <w:t>Positivenanteil</w:t>
            </w:r>
            <w:proofErr w:type="spellEnd"/>
            <w:r>
              <w:rPr>
                <w:rStyle w:val="TagMiZchn"/>
                <w:b w:val="0"/>
                <w:bCs/>
                <w:i w:val="0"/>
                <w:color w:val="auto"/>
                <w:lang w:val="de-DE"/>
              </w:rPr>
              <w:t xml:space="preserve"> mit steigender Tendenz bei aktuell 50%. </w:t>
            </w:r>
            <w:proofErr w:type="spellStart"/>
            <w:r>
              <w:rPr>
                <w:rStyle w:val="TagMiZchn"/>
                <w:b w:val="0"/>
                <w:bCs/>
                <w:i w:val="0"/>
                <w:color w:val="auto"/>
                <w:lang w:val="de-DE"/>
              </w:rPr>
              <w:t>Positivenanteile</w:t>
            </w:r>
            <w:proofErr w:type="spellEnd"/>
            <w:r>
              <w:rPr>
                <w:rStyle w:val="TagMiZchn"/>
                <w:b w:val="0"/>
                <w:bCs/>
                <w:i w:val="0"/>
                <w:color w:val="auto"/>
                <w:lang w:val="de-DE"/>
              </w:rPr>
              <w:t xml:space="preserve"> und Anzahl getesteter Personen in allen Altersgruppen ansteigend.</w:t>
            </w:r>
          </w:p>
          <w:p>
            <w:pPr>
              <w:pStyle w:val="Liste2"/>
              <w:numPr>
                <w:ilvl w:val="0"/>
                <w:numId w:val="0"/>
              </w:numPr>
              <w:ind w:left="833"/>
              <w:rPr>
                <w:bCs/>
                <w:lang w:val="de-DE"/>
              </w:rPr>
            </w:pPr>
            <w:r>
              <w:rPr>
                <w:rStyle w:val="TagMiZchn"/>
                <w:b w:val="0"/>
                <w:bCs/>
                <w:i w:val="0"/>
                <w:color w:val="auto"/>
                <w:lang w:val="de-DE"/>
              </w:rPr>
              <w:t xml:space="preserve">Anzahl der aktiven Ausbrüche nehmen sowohl in den medizinischen Einrichtungen zu als auch in den Alten- und Pflegeheimen. Bericht zu Impfquoten in Pflegeinrichtungen (9.395 </w:t>
            </w:r>
            <w:proofErr w:type="spellStart"/>
            <w:r>
              <w:rPr>
                <w:rStyle w:val="TagMiZchn"/>
                <w:b w:val="0"/>
                <w:bCs/>
                <w:i w:val="0"/>
                <w:color w:val="auto"/>
                <w:lang w:val="de-DE"/>
              </w:rPr>
              <w:t>übermittelne</w:t>
            </w:r>
            <w:proofErr w:type="spellEnd"/>
            <w:r>
              <w:rPr>
                <w:rStyle w:val="TagMiZchn"/>
                <w:b w:val="0"/>
                <w:bCs/>
                <w:i w:val="0"/>
                <w:color w:val="auto"/>
                <w:lang w:val="de-DE"/>
              </w:rPr>
              <w:t xml:space="preserve"> Einrichtungen) (April 2022): Regionale Unterschiede, im Osten geringer als im Westen. Sowohl bei Bewohnenden als auch Beschäftigten.</w:t>
            </w:r>
          </w:p>
          <w:p>
            <w:pPr>
              <w:pStyle w:val="Liste2"/>
              <w:rPr>
                <w:lang w:val="de-DE"/>
              </w:rPr>
            </w:pPr>
            <w:r>
              <w:rPr>
                <w:lang w:val="de-DE"/>
              </w:rPr>
              <w:t xml:space="preserve">VOC-Bericht und </w:t>
            </w:r>
            <w:proofErr w:type="spellStart"/>
            <w:r>
              <w:rPr>
                <w:lang w:val="de-DE"/>
              </w:rPr>
              <w:t>mol</w:t>
            </w:r>
            <w:proofErr w:type="spellEnd"/>
            <w:r>
              <w:rPr>
                <w:lang w:val="de-DE"/>
              </w:rPr>
              <w:t xml:space="preserve">. Surveillance (Folien </w:t>
            </w:r>
            <w:hyperlink r:id="rId14" w:history="1">
              <w:r>
                <w:rPr>
                  <w:rStyle w:val="Hyperlink"/>
                  <w:lang w:val="de-DE"/>
                </w:rPr>
                <w:t>hi</w:t>
              </w:r>
              <w:r>
                <w:rPr>
                  <w:rStyle w:val="Hyperlink"/>
                  <w:lang w:val="de-DE"/>
                </w:rPr>
                <w:t>e</w:t>
              </w:r>
              <w:r>
                <w:rPr>
                  <w:rStyle w:val="Hyperlink"/>
                  <w:lang w:val="de-DE"/>
                </w:rPr>
                <w:t>r</w:t>
              </w:r>
            </w:hyperlink>
            <w:r>
              <w:rPr>
                <w:lang w:val="de-DE"/>
              </w:rPr>
              <w:t>)</w:t>
            </w:r>
          </w:p>
          <w:p>
            <w:pPr>
              <w:pStyle w:val="Liste2"/>
              <w:numPr>
                <w:ilvl w:val="0"/>
                <w:numId w:val="0"/>
              </w:numPr>
              <w:ind w:left="833"/>
              <w:rPr>
                <w:lang w:val="de-DE"/>
              </w:rPr>
            </w:pPr>
            <w:r>
              <w:rPr>
                <w:lang w:val="de-DE"/>
              </w:rPr>
              <w:t>Datenstand 27.06.2022: VOC-Anteile von Omikron. KW24:  BA.1 &lt;0,1%, BA.2 26,6%, BA.3 0%, BA.4 7,4% BA.5 65,7% und BA.2.12.1 3,9% (passend zum internationalen Bild).</w:t>
            </w:r>
          </w:p>
          <w:p>
            <w:pPr>
              <w:pStyle w:val="Liste2"/>
              <w:numPr>
                <w:ilvl w:val="0"/>
                <w:numId w:val="0"/>
              </w:numPr>
              <w:ind w:left="833"/>
              <w:rPr>
                <w:lang w:val="de-DE"/>
              </w:rPr>
            </w:pPr>
            <w:r>
              <w:rPr>
                <w:lang w:val="de-DE"/>
              </w:rPr>
              <w:t xml:space="preserve">BA.5 wurde in den letzten 2 Wochen zur dominierenden </w:t>
            </w:r>
            <w:proofErr w:type="spellStart"/>
            <w:r>
              <w:rPr>
                <w:lang w:val="de-DE"/>
              </w:rPr>
              <w:t>Sublinie</w:t>
            </w:r>
            <w:proofErr w:type="spellEnd"/>
            <w:r>
              <w:rPr>
                <w:lang w:val="de-DE"/>
              </w:rPr>
              <w:t>. Nachweise der Rekombinanten mit stabilem Bild. Die Daten zu Anzahl und Anteilen der Rekombinanten aus der Stichprobe sind nun als Tabelle zum Download aufgeführt und werden im Berichtstext nicht separat aufgeführt.</w:t>
            </w:r>
          </w:p>
          <w:p>
            <w:pPr>
              <w:pStyle w:val="Liste2"/>
              <w:numPr>
                <w:ilvl w:val="0"/>
                <w:numId w:val="0"/>
              </w:numPr>
              <w:ind w:left="833"/>
              <w:rPr>
                <w:lang w:val="de-DE"/>
              </w:rPr>
            </w:pPr>
            <w:r>
              <w:rPr>
                <w:lang w:val="de-DE"/>
              </w:rPr>
              <w:t>BA.5: 8191 Fälle in KW25, Hospitalisiert: 92 (1%), 4732(58%) NA, Verstorben: 1, Infektionsort: Afrika (2), Amerika (2), Asien (4)</w:t>
            </w:r>
          </w:p>
          <w:p>
            <w:pPr>
              <w:pStyle w:val="Liste2"/>
              <w:numPr>
                <w:ilvl w:val="0"/>
                <w:numId w:val="0"/>
              </w:numPr>
              <w:ind w:left="833"/>
              <w:rPr>
                <w:lang w:val="de-DE"/>
              </w:rPr>
            </w:pPr>
            <w:r>
              <w:rPr>
                <w:lang w:val="de-DE"/>
              </w:rPr>
              <w:t>BA.4: 1232 Fälle in KW25, Hospitalisiert: 15(1%), 784(59%) NA, Verstorben: 1, Infektionsort: Afrika (2), Amerika (2)</w:t>
            </w:r>
          </w:p>
          <w:p>
            <w:pPr>
              <w:pStyle w:val="Liste2"/>
              <w:numPr>
                <w:ilvl w:val="0"/>
                <w:numId w:val="0"/>
              </w:numPr>
              <w:ind w:left="833"/>
              <w:rPr>
                <w:lang w:val="de-DE"/>
              </w:rPr>
            </w:pPr>
            <w:r>
              <w:rPr>
                <w:lang w:val="de-DE"/>
              </w:rPr>
              <w:t>25.06.2022: 983.331 Vollgenomsequenzierungen</w:t>
            </w:r>
          </w:p>
          <w:p>
            <w:pPr>
              <w:pStyle w:val="Liste2"/>
              <w:numPr>
                <w:ilvl w:val="0"/>
                <w:numId w:val="0"/>
              </w:numPr>
              <w:ind w:left="833"/>
              <w:rPr>
                <w:lang w:val="de-DE"/>
              </w:rPr>
            </w:pPr>
            <w:proofErr w:type="spellStart"/>
            <w:r>
              <w:rPr>
                <w:lang w:val="de-DE"/>
              </w:rPr>
              <w:t>CorSurV</w:t>
            </w:r>
            <w:proofErr w:type="spellEnd"/>
            <w:r>
              <w:rPr>
                <w:lang w:val="de-DE"/>
              </w:rPr>
              <w:t xml:space="preserve"> verlängert ab 01.07.2022: Einschränkung der Anlässe, Einschränkung der Vergütung (150€), Abstufung des Umfangs angepasst.</w:t>
            </w:r>
          </w:p>
          <w:p>
            <w:pPr>
              <w:pStyle w:val="Liste2"/>
              <w:rPr>
                <w:rStyle w:val="TagMiZchn"/>
                <w:b w:val="0"/>
                <w:i w:val="0"/>
                <w:color w:val="auto"/>
              </w:rPr>
            </w:pPr>
            <w:proofErr w:type="spellStart"/>
            <w:r>
              <w:t>Syndromische</w:t>
            </w:r>
            <w:proofErr w:type="spellEnd"/>
            <w:r>
              <w:t xml:space="preserve"> Surveillance (</w:t>
            </w:r>
            <w:proofErr w:type="spellStart"/>
            <w:r>
              <w:t>Folien</w:t>
            </w:r>
            <w:proofErr w:type="spellEnd"/>
            <w:r>
              <w:t xml:space="preserve"> </w:t>
            </w:r>
            <w:hyperlink r:id="rId15" w:history="1">
              <w:proofErr w:type="spellStart"/>
              <w:r>
                <w:rPr>
                  <w:rStyle w:val="Hyperlink"/>
                </w:rPr>
                <w:t>hier</w:t>
              </w:r>
              <w:proofErr w:type="spellEnd"/>
            </w:hyperlink>
            <w:r>
              <w:t>)</w:t>
            </w:r>
          </w:p>
          <w:p>
            <w:pPr>
              <w:pStyle w:val="Liste2"/>
              <w:numPr>
                <w:ilvl w:val="0"/>
                <w:numId w:val="0"/>
              </w:numPr>
              <w:ind w:left="833"/>
              <w:rPr>
                <w:lang w:val="de-DE"/>
              </w:rPr>
            </w:pPr>
            <w:r>
              <w:rPr>
                <w:u w:val="single"/>
                <w:lang w:val="de-DE"/>
              </w:rPr>
              <w:t>Grippeweb</w:t>
            </w:r>
            <w:r>
              <w:rPr>
                <w:lang w:val="de-DE"/>
              </w:rPr>
              <w:t xml:space="preserve">: ARE Raten leicht gestiegen bzw. stabil. Deutlich über den vorpandemischen Werten. Der Wert (gesamt) lag in der 25. KW 2022 bei 5.400 ARE (Vorwoche: 5.400) pro 100.000 Einwohner; Entspricht einer Gesamtzahl von </w:t>
            </w:r>
          </w:p>
          <w:p>
            <w:pPr>
              <w:pStyle w:val="Liste2"/>
              <w:numPr>
                <w:ilvl w:val="0"/>
                <w:numId w:val="0"/>
              </w:numPr>
              <w:ind w:left="833"/>
              <w:rPr>
                <w:lang w:val="de-DE"/>
              </w:rPr>
            </w:pPr>
            <w:r>
              <w:rPr>
                <w:lang w:val="de-DE"/>
              </w:rPr>
              <w:t>4,5 Mio. ARE in Deutschland, unabhängig von einem Arztbesuch (24. KW: 4,5 Millionen); Altersgruppe 35-59-Jährige besonders starker Anstieg (4,4% auf 5,1%); Rückgang bei Kindern (von 11,1 % auf 8,6%), bei Erwachsenen insgesamt gestiegen (von 4,5 % auf 4,9 %)</w:t>
            </w:r>
          </w:p>
          <w:p>
            <w:pPr>
              <w:pStyle w:val="Liste2"/>
              <w:numPr>
                <w:ilvl w:val="0"/>
                <w:numId w:val="0"/>
              </w:numPr>
              <w:ind w:left="833"/>
              <w:rPr>
                <w:lang w:val="de-DE"/>
              </w:rPr>
            </w:pPr>
            <w:r>
              <w:rPr>
                <w:u w:val="single"/>
                <w:lang w:val="de-DE"/>
              </w:rPr>
              <w:t>AGI, Arztkonsultationen</w:t>
            </w:r>
            <w:r>
              <w:rPr>
                <w:lang w:val="de-DE"/>
              </w:rPr>
              <w:t>: Im Vergleich zur 24. KW 2022: Anstieg in allen Altersgruppen</w:t>
            </w:r>
          </w:p>
          <w:p>
            <w:pPr>
              <w:pStyle w:val="Liste2"/>
              <w:numPr>
                <w:ilvl w:val="0"/>
                <w:numId w:val="0"/>
              </w:numPr>
              <w:ind w:left="833"/>
              <w:rPr>
                <w:lang w:val="de-DE"/>
              </w:rPr>
            </w:pPr>
            <w:r>
              <w:rPr>
                <w:lang w:val="de-DE"/>
              </w:rPr>
              <w:t>ca. 1.500 Arztkonsultationen wegen ARE pro 100.000 EW; ca. 1,2 Mio. Arztbesuche wegen ARE in Deutschland.</w:t>
            </w:r>
          </w:p>
          <w:p>
            <w:pPr>
              <w:pStyle w:val="Liste2"/>
              <w:numPr>
                <w:ilvl w:val="0"/>
                <w:numId w:val="0"/>
              </w:numPr>
              <w:ind w:left="833"/>
              <w:rPr>
                <w:lang w:val="de-DE"/>
              </w:rPr>
            </w:pPr>
            <w:r>
              <w:rPr>
                <w:lang w:val="de-DE"/>
              </w:rPr>
              <w:t xml:space="preserve"> Werte deutlich höher als zeitgleich in vorpandemischen Saisons. KI im Vergleich zur Vorwoche insgesamt: deutlich gestiegen (Anstieg: 30 %). </w:t>
            </w:r>
          </w:p>
          <w:p>
            <w:pPr>
              <w:pStyle w:val="Liste2"/>
              <w:numPr>
                <w:ilvl w:val="0"/>
                <w:numId w:val="0"/>
              </w:numPr>
              <w:ind w:left="833"/>
              <w:rPr>
                <w:lang w:val="de-DE"/>
              </w:rPr>
            </w:pPr>
            <w:r>
              <w:rPr>
                <w:lang w:val="de-DE"/>
              </w:rPr>
              <w:t>Liegt in KW 25 insgesamt mit 1.442 (Vorwoche: 1.112) über dem Bereich der Vorjahre zur 25. KW, aber auch in allen AGs deutlich höher.</w:t>
            </w:r>
          </w:p>
          <w:p>
            <w:pPr>
              <w:pStyle w:val="Liste2"/>
              <w:numPr>
                <w:ilvl w:val="0"/>
                <w:numId w:val="0"/>
              </w:numPr>
              <w:ind w:left="833"/>
              <w:rPr>
                <w:u w:val="single"/>
                <w:lang w:val="de-DE"/>
              </w:rPr>
            </w:pPr>
            <w:r>
              <w:rPr>
                <w:u w:val="single"/>
                <w:lang w:val="de-DE"/>
              </w:rPr>
              <w:t>ARE mit COVID-19 Konsultationen:</w:t>
            </w:r>
          </w:p>
          <w:p>
            <w:pPr>
              <w:pStyle w:val="Liste2"/>
              <w:numPr>
                <w:ilvl w:val="0"/>
                <w:numId w:val="0"/>
              </w:numPr>
              <w:ind w:left="833"/>
              <w:rPr>
                <w:lang w:val="de-DE"/>
              </w:rPr>
            </w:pPr>
            <w:r>
              <w:rPr>
                <w:lang w:val="de-DE"/>
              </w:rPr>
              <w:lastRenderedPageBreak/>
              <w:t>in KW 25/2022 sind die Werte in allen Altersgruppen unter 80 Jahre deutlich gestiegen, bei den ab 80-Jährigen stabil geblieben</w:t>
            </w:r>
          </w:p>
          <w:p>
            <w:pPr>
              <w:pStyle w:val="Liste2"/>
              <w:numPr>
                <w:ilvl w:val="0"/>
                <w:numId w:val="0"/>
              </w:numPr>
              <w:ind w:left="833"/>
              <w:rPr>
                <w:lang w:val="de-DE"/>
              </w:rPr>
            </w:pPr>
            <w:r>
              <w:rPr>
                <w:lang w:val="de-DE"/>
              </w:rPr>
              <w:t>seit KW 22/2022 z.T. deutlicher Anstieg der Werte, insbesondere in den Altersgruppen 15-79 Jahre</w:t>
            </w:r>
          </w:p>
          <w:p>
            <w:pPr>
              <w:pStyle w:val="Liste2"/>
              <w:numPr>
                <w:ilvl w:val="0"/>
                <w:numId w:val="0"/>
              </w:numPr>
              <w:ind w:left="833" w:hanging="360"/>
              <w:rPr>
                <w:lang w:val="de-DE"/>
              </w:rPr>
            </w:pPr>
            <w:r>
              <w:rPr>
                <w:lang w:val="de-DE"/>
              </w:rPr>
              <w:t xml:space="preserve">       </w:t>
            </w:r>
            <w:r>
              <w:rPr>
                <w:u w:val="single"/>
                <w:lang w:val="de-DE"/>
              </w:rPr>
              <w:t>ICSARI, SARI Inzidenz</w:t>
            </w:r>
            <w:r>
              <w:rPr>
                <w:lang w:val="de-DE"/>
              </w:rPr>
              <w:t xml:space="preserve">: keine großen Veränderungen; </w:t>
            </w:r>
          </w:p>
          <w:p>
            <w:pPr>
              <w:pStyle w:val="Liste2"/>
              <w:numPr>
                <w:ilvl w:val="0"/>
                <w:numId w:val="0"/>
              </w:numPr>
              <w:ind w:left="833"/>
              <w:rPr>
                <w:lang w:val="de-DE"/>
              </w:rPr>
            </w:pPr>
            <w:r>
              <w:rPr>
                <w:lang w:val="de-DE"/>
              </w:rPr>
              <w:t>SARI-Fallzahlen in KW 25 weiter eher stabil auf Sommerniveau.</w:t>
            </w:r>
          </w:p>
          <w:p>
            <w:pPr>
              <w:pStyle w:val="Liste2"/>
              <w:numPr>
                <w:ilvl w:val="0"/>
                <w:numId w:val="0"/>
              </w:numPr>
              <w:ind w:left="833" w:hanging="360"/>
              <w:rPr>
                <w:lang w:val="de-DE"/>
              </w:rPr>
            </w:pPr>
            <w:r>
              <w:rPr>
                <w:lang w:val="de-DE"/>
              </w:rPr>
              <w:t xml:space="preserve">        SARI-ICU nach Anstieg in Vorwoche etwas über den üblichen Werten, aber weiter auf Sommerniveau.</w:t>
            </w:r>
          </w:p>
          <w:p>
            <w:pPr>
              <w:pStyle w:val="Liste2"/>
              <w:numPr>
                <w:ilvl w:val="0"/>
                <w:numId w:val="0"/>
              </w:numPr>
              <w:ind w:left="833"/>
              <w:rPr>
                <w:lang w:val="de-DE"/>
              </w:rPr>
            </w:pPr>
            <w:r>
              <w:rPr>
                <w:lang w:val="de-DE"/>
              </w:rPr>
              <w:t>Anteil COVID-19 an SARI 36% (Vorwoche: 24%) seit Tiefpunkt in KW 22 (13%) wieder deutlich gestiegen; Anstieg betrifft alle Altersgruppen</w:t>
            </w:r>
          </w:p>
          <w:p>
            <w:pPr>
              <w:pStyle w:val="Liste2"/>
              <w:numPr>
                <w:ilvl w:val="0"/>
                <w:numId w:val="0"/>
              </w:numPr>
              <w:ind w:left="833"/>
              <w:rPr>
                <w:lang w:val="de-DE"/>
              </w:rPr>
            </w:pPr>
            <w:r>
              <w:rPr>
                <w:lang w:val="de-DE"/>
              </w:rPr>
              <w:t>Anteil COVID-19 an SARI mit Intensivbehandlung 35% (Vorwoche: 32%), ebenfalls starker Anstieg ab KW 24/2022</w:t>
            </w:r>
          </w:p>
          <w:p>
            <w:pPr>
              <w:pStyle w:val="Liste2"/>
              <w:numPr>
                <w:ilvl w:val="0"/>
                <w:numId w:val="0"/>
              </w:numPr>
              <w:ind w:left="833" w:hanging="360"/>
              <w:rPr>
                <w:lang w:val="de-DE"/>
              </w:rPr>
            </w:pPr>
            <w:r>
              <w:rPr>
                <w:lang w:val="de-DE"/>
              </w:rPr>
              <w:t xml:space="preserve">       Anteil Influenza in den letzten Wochen zwischen 1 – 2% (SARI) bzw. unter 1% (SARI-Intensiv)</w:t>
            </w:r>
          </w:p>
          <w:p>
            <w:pPr>
              <w:pStyle w:val="Liste2"/>
              <w:numPr>
                <w:ilvl w:val="0"/>
                <w:numId w:val="0"/>
              </w:numPr>
              <w:ind w:left="833" w:hanging="360"/>
              <w:rPr>
                <w:lang w:val="de-DE"/>
              </w:rPr>
            </w:pPr>
            <w:r>
              <w:rPr>
                <w:lang w:val="de-DE"/>
              </w:rPr>
              <w:t xml:space="preserve">       COVID-SARI Hospitalisierungsinzidenz: deutlicher Anstieg in KW 25/2022 insgesamt; starker Anstieg insbes. in AG unter 15 und ab 60 Jahre.</w:t>
            </w:r>
          </w:p>
          <w:p>
            <w:pPr>
              <w:pStyle w:val="Liste2"/>
              <w:numPr>
                <w:ilvl w:val="0"/>
                <w:numId w:val="0"/>
              </w:numPr>
              <w:ind w:left="833"/>
              <w:rPr>
                <w:lang w:val="de-DE"/>
              </w:rPr>
            </w:pPr>
            <w:r>
              <w:rPr>
                <w:lang w:val="de-DE"/>
              </w:rPr>
              <w:t>Anstieg der COVID-SARI-Fälle insbesondere in den Altersgruppen 60-79 und 80 gleichermaßen deutlich (auch mit Intensivbehandlung)</w:t>
            </w:r>
          </w:p>
          <w:p>
            <w:pPr>
              <w:pStyle w:val="Liste2"/>
              <w:numPr>
                <w:ilvl w:val="0"/>
                <w:numId w:val="0"/>
              </w:numPr>
              <w:ind w:left="833" w:hanging="360"/>
              <w:rPr>
                <w:lang w:val="de-DE"/>
              </w:rPr>
            </w:pPr>
            <w:r>
              <w:rPr>
                <w:lang w:val="de-DE"/>
              </w:rPr>
              <w:t xml:space="preserve">       Anstieg Todesfälle in AG 80+ (KW 24, Nachmeldungen für KW 25 wahrscheinlich</w:t>
            </w:r>
          </w:p>
          <w:p>
            <w:pPr>
              <w:pStyle w:val="Liste2"/>
              <w:numPr>
                <w:ilvl w:val="0"/>
                <w:numId w:val="0"/>
              </w:numPr>
              <w:ind w:left="833"/>
              <w:rPr>
                <w:rStyle w:val="TagMiZchn"/>
                <w:b w:val="0"/>
                <w:u w:val="single"/>
                <w:lang w:val="de-DE"/>
              </w:rPr>
            </w:pPr>
            <w:r>
              <w:rPr>
                <w:u w:val="single"/>
                <w:lang w:val="de-DE"/>
              </w:rPr>
              <w:t xml:space="preserve">Virologische Surveillance, NRZ Influenza-Daten </w:t>
            </w:r>
          </w:p>
          <w:p>
            <w:pPr>
              <w:pStyle w:val="Liste2"/>
              <w:numPr>
                <w:ilvl w:val="0"/>
                <w:numId w:val="0"/>
              </w:numPr>
              <w:ind w:left="833"/>
              <w:rPr>
                <w:rStyle w:val="TagMiZchn"/>
                <w:b w:val="0"/>
                <w:i w:val="0"/>
                <w:color w:val="auto"/>
                <w:lang w:val="de-DE"/>
              </w:rPr>
            </w:pPr>
            <w:r>
              <w:rPr>
                <w:rStyle w:val="TagMiZchn"/>
                <w:b w:val="0"/>
                <w:i w:val="0"/>
                <w:color w:val="auto"/>
                <w:lang w:val="de-DE"/>
              </w:rPr>
              <w:t xml:space="preserve">Anstieg SARS-CoV2 </w:t>
            </w:r>
            <w:proofErr w:type="spellStart"/>
            <w:r>
              <w:rPr>
                <w:rStyle w:val="TagMiZchn"/>
                <w:b w:val="0"/>
                <w:i w:val="0"/>
                <w:color w:val="auto"/>
                <w:lang w:val="de-DE"/>
              </w:rPr>
              <w:t>Positivenrate</w:t>
            </w:r>
            <w:proofErr w:type="spellEnd"/>
            <w:r>
              <w:rPr>
                <w:rStyle w:val="TagMiZchn"/>
                <w:b w:val="0"/>
                <w:i w:val="0"/>
                <w:color w:val="auto"/>
                <w:lang w:val="de-DE"/>
              </w:rPr>
              <w:t xml:space="preserve"> (64%), zwischen 80-90</w:t>
            </w:r>
          </w:p>
          <w:p>
            <w:pPr>
              <w:pStyle w:val="Liste2"/>
              <w:numPr>
                <w:ilvl w:val="0"/>
                <w:numId w:val="0"/>
              </w:numPr>
              <w:ind w:left="833"/>
              <w:rPr>
                <w:rStyle w:val="TagMiZchn"/>
                <w:b w:val="0"/>
                <w:i w:val="0"/>
                <w:color w:val="auto"/>
                <w:lang w:val="de-DE"/>
              </w:rPr>
            </w:pPr>
            <w:r>
              <w:rPr>
                <w:rStyle w:val="TagMiZchn"/>
                <w:b w:val="0"/>
                <w:i w:val="0"/>
                <w:color w:val="auto"/>
                <w:lang w:val="de-DE"/>
              </w:rPr>
              <w:t>Proben eingesandt. Meiste Einsendungen aus Kinderarztpraxen. Mit 19,5% sind SARS-Cov-2 Viren dominant (steigende Tendenz zuletzt).</w:t>
            </w:r>
          </w:p>
          <w:p>
            <w:pPr>
              <w:pStyle w:val="Liste2"/>
              <w:numPr>
                <w:ilvl w:val="0"/>
                <w:numId w:val="0"/>
              </w:numPr>
              <w:ind w:left="833"/>
              <w:rPr>
                <w:rStyle w:val="TagMiZchn"/>
                <w:b w:val="0"/>
                <w:i w:val="0"/>
                <w:color w:val="auto"/>
                <w:lang w:val="de-DE"/>
              </w:rPr>
            </w:pPr>
            <w:r>
              <w:rPr>
                <w:rStyle w:val="TagMiZchn"/>
                <w:b w:val="0"/>
                <w:i w:val="0"/>
                <w:color w:val="auto"/>
                <w:lang w:val="de-DE"/>
              </w:rPr>
              <w:t>Andere humane Coronaviren spielen kaum eine Rolle. H3N2 Plateau auf einem Niveau von 8%. Nachweise: leichter Anstieg bei Parainfluenza-Viren (PIV), nur wenige HRV, HMPV-Nachweis. Kein RSV.</w:t>
            </w:r>
          </w:p>
          <w:p>
            <w:pPr>
              <w:pStyle w:val="Liste2"/>
              <w:rPr>
                <w:rStyle w:val="TagMiZchn"/>
                <w:b w:val="0"/>
                <w:bCs/>
                <w:lang w:val="de-DE"/>
              </w:rPr>
            </w:pPr>
            <w:r>
              <w:rPr>
                <w:lang w:val="de-DE"/>
              </w:rPr>
              <w:t xml:space="preserve">Zahlen zum DIVI-Intensivregister (Folien </w:t>
            </w:r>
            <w:hyperlink r:id="rId16" w:history="1">
              <w:r>
                <w:rPr>
                  <w:rStyle w:val="Hyperlink"/>
                  <w:lang w:val="de-DE"/>
                </w:rPr>
                <w:t>hier</w:t>
              </w:r>
            </w:hyperlink>
            <w:r>
              <w:rPr>
                <w:lang w:val="de-DE"/>
              </w:rPr>
              <w:t>)</w:t>
            </w:r>
          </w:p>
          <w:p>
            <w:pPr>
              <w:pStyle w:val="Liste2"/>
              <w:numPr>
                <w:ilvl w:val="0"/>
                <w:numId w:val="0"/>
              </w:numPr>
              <w:ind w:left="833"/>
              <w:rPr>
                <w:lang w:val="de-DE"/>
              </w:rPr>
            </w:pPr>
            <w:r>
              <w:rPr>
                <w:lang w:val="de-DE"/>
              </w:rPr>
              <w:t xml:space="preserve">Anstieg zu verzeichnen, 980 PatientInnen (780 Vorwoche); Neuaufnahmen: 905 in den letzten 7 Tagen (Vorwoche 705). </w:t>
            </w:r>
          </w:p>
          <w:p>
            <w:pPr>
              <w:pStyle w:val="Liste2"/>
              <w:numPr>
                <w:ilvl w:val="0"/>
                <w:numId w:val="0"/>
              </w:numPr>
              <w:ind w:left="833"/>
              <w:rPr>
                <w:lang w:val="de-DE"/>
              </w:rPr>
            </w:pPr>
            <w:r>
              <w:rPr>
                <w:lang w:val="de-DE"/>
              </w:rPr>
              <w:t xml:space="preserve">Inzwischen ist auch ein leichter Anstieg der verstorbenen ITS-Patient Innen zu verzeichnen. Anstieg des Anteils der COVID-19-Patient*innen ist relativ gleichmäßig über Deutschland verteilt. Inzwischen auch ein Anstieg bei Patienten*innen mit schwerer Behandlung und invasiver Beatmung. Mit dem Anstieg der COVID-19 Zahlen steigt auch die Auslastung/Belastung sowie der Personalmangel. In den absoluten Zahlen wird der Anstieg durch die älteren Patienten*innen (60+) vorangetrieben. 77% der aktuellen IST-Belegung sind Person mit 60+ Jahren. Der größte Zuwachs ist aktuell bei Personen im Alter 80+ zu verzeichnen. Die Prognosen sagen allgemeine einen Zuwachs der IST-Belegung im Kleeblatt Ost voraus. </w:t>
            </w:r>
          </w:p>
          <w:p>
            <w:pPr>
              <w:pStyle w:val="Liste2"/>
              <w:numPr>
                <w:ilvl w:val="0"/>
                <w:numId w:val="47"/>
              </w:numPr>
              <w:rPr>
                <w:lang w:val="de-DE"/>
              </w:rPr>
            </w:pPr>
            <w:r>
              <w:rPr>
                <w:lang w:val="de-DE"/>
              </w:rPr>
              <w:t>Psychische Gesundheit:</w:t>
            </w:r>
          </w:p>
          <w:p>
            <w:pPr>
              <w:pStyle w:val="Liste2"/>
              <w:numPr>
                <w:ilvl w:val="0"/>
                <w:numId w:val="0"/>
              </w:numPr>
              <w:ind w:left="720"/>
              <w:rPr>
                <w:lang w:val="de-DE"/>
              </w:rPr>
            </w:pPr>
            <w:r>
              <w:rPr>
                <w:lang w:val="de-DE"/>
              </w:rPr>
              <w:t>(nicht berichtet)</w:t>
            </w:r>
          </w:p>
          <w:p>
            <w:pPr>
              <w:pStyle w:val="Liste2"/>
              <w:numPr>
                <w:ilvl w:val="0"/>
                <w:numId w:val="0"/>
              </w:numPr>
              <w:rPr>
                <w:lang w:val="de-DE"/>
              </w:rPr>
            </w:pPr>
          </w:p>
          <w:p>
            <w:pPr>
              <w:pStyle w:val="Liste2"/>
              <w:numPr>
                <w:ilvl w:val="0"/>
                <w:numId w:val="0"/>
              </w:numPr>
              <w:ind w:left="473"/>
              <w:rPr>
                <w:b/>
                <w:lang w:val="de-DE"/>
              </w:rPr>
            </w:pPr>
            <w:r>
              <w:rPr>
                <w:b/>
                <w:lang w:val="de-DE"/>
              </w:rPr>
              <w:lastRenderedPageBreak/>
              <w:t>Diskussion</w:t>
            </w:r>
          </w:p>
          <w:p>
            <w:pPr>
              <w:pStyle w:val="Liste1"/>
            </w:pPr>
            <w:r>
              <w:t>Zunahme der Hospitalisierungen im Ost-Kleeblatt bei zeitgleich geringeren Inzidenzen. Systematische Untererfassung?</w:t>
            </w:r>
          </w:p>
          <w:p>
            <w:pPr>
              <w:pStyle w:val="Liste3"/>
            </w:pPr>
            <w:r>
              <w:t>Systematische Verzerrungen nicht unwahrscheinlich</w:t>
            </w:r>
          </w:p>
          <w:p>
            <w:pPr>
              <w:pStyle w:val="Liste3"/>
            </w:pPr>
            <w:r>
              <w:t>Grenznahe Regionen im Osten zum Westen eher ähnlich</w:t>
            </w:r>
          </w:p>
          <w:p>
            <w:pPr>
              <w:pStyle w:val="Liste3"/>
            </w:pPr>
            <w:r>
              <w:t>die ARS-Zahlen scheinen auf geringere Testzahlen im Osten hinzuweisen, Thüringen z.B. hat deutlich höhere Positivrate</w:t>
            </w:r>
          </w:p>
          <w:p>
            <w:pPr>
              <w:pStyle w:val="Liste1"/>
            </w:pPr>
            <w:r>
              <w:t>Führt BA.5 zu einer erhöhten Anzahl von schweren Verläufen oder geht das mit der erhöhten Fallanzahl einher?</w:t>
            </w:r>
          </w:p>
          <w:p>
            <w:pPr>
              <w:pStyle w:val="Liste3"/>
            </w:pPr>
            <w:r>
              <w:t>Es wird zu einem großen Teil mit der Zunahme an Fällen begründet. Weiteres ist nicht bekannt.</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(Kerber)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w:t>
            </w:r>
            <w:proofErr w:type="spellStart"/>
            <w:r>
              <w:rPr>
                <w:sz w:val="22"/>
                <w:szCs w:val="22"/>
              </w:rPr>
              <w:t>Dürrwald</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MF4 </w:t>
            </w:r>
          </w:p>
          <w:p>
            <w:pPr>
              <w:rPr>
                <w:sz w:val="22"/>
                <w:szCs w:val="22"/>
              </w:rPr>
            </w:pPr>
            <w:r>
              <w:rPr>
                <w:sz w:val="22"/>
                <w:szCs w:val="22"/>
              </w:rPr>
              <w:t>(Esins)</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824" w:type="dxa"/>
          </w:tcPr>
          <w:p>
            <w:pPr>
              <w:spacing w:line="276" w:lineRule="auto"/>
              <w:rPr>
                <w:rStyle w:val="1Zchn"/>
              </w:rPr>
            </w:pPr>
            <w:r>
              <w:rPr>
                <w:rStyle w:val="1Zchn"/>
              </w:rPr>
              <w:t>Update Impfen</w:t>
            </w:r>
            <w:r>
              <w:rPr>
                <w:b/>
                <w:sz w:val="28"/>
              </w:rPr>
              <w:t xml:space="preserve"> und STIKO</w:t>
            </w:r>
          </w:p>
          <w:p>
            <w:pPr>
              <w:pStyle w:val="Liste1"/>
            </w:pPr>
            <w:r>
              <w:t xml:space="preserve">Treffen mit </w:t>
            </w:r>
            <w:proofErr w:type="spellStart"/>
            <w:r>
              <w:t>Moderna</w:t>
            </w:r>
            <w:proofErr w:type="spellEnd"/>
            <w:r>
              <w:t xml:space="preserve"> heute</w:t>
            </w:r>
          </w:p>
          <w:p>
            <w:pPr>
              <w:pStyle w:val="Liste3"/>
            </w:pPr>
            <w:r>
              <w:t xml:space="preserve">Vorstellung aktueller Daten zum </w:t>
            </w:r>
            <w:proofErr w:type="spellStart"/>
            <w:r>
              <w:t>Variantenimpstoff</w:t>
            </w:r>
            <w:proofErr w:type="spellEnd"/>
          </w:p>
          <w:p>
            <w:pPr>
              <w:pStyle w:val="Liste1"/>
            </w:pPr>
            <w:r>
              <w:t>Treffen mit BMG heute zu Impfdurchbruchsdaten</w:t>
            </w:r>
          </w:p>
          <w:p>
            <w:pPr>
              <w:pStyle w:val="Liste3"/>
            </w:pPr>
            <w:r>
              <w:t>Geplante Publikation in einem Monatsbericht</w:t>
            </w:r>
          </w:p>
          <w:p>
            <w:pPr>
              <w:pStyle w:val="Liste1"/>
            </w:pPr>
            <w:r>
              <w:t xml:space="preserve">Treffen mit </w:t>
            </w:r>
            <w:r>
              <w:t>STIKO morgen</w:t>
            </w:r>
          </w:p>
          <w:p>
            <w:pPr>
              <w:pStyle w:val="Liste3"/>
              <w:spacing w:line="276" w:lineRule="auto"/>
            </w:pPr>
            <w:r>
              <w:t>Unter Einbezug von BMG, PEI</w:t>
            </w:r>
          </w:p>
          <w:p>
            <w:pPr>
              <w:pStyle w:val="Liste3"/>
              <w:spacing w:line="276" w:lineRule="auto"/>
              <w:rPr>
                <w:rStyle w:val="1Zchn"/>
                <w:b w:val="0"/>
                <w:sz w:val="22"/>
              </w:rPr>
            </w:pPr>
            <w:r>
              <w:rPr>
                <w:rStyle w:val="1Zchn"/>
                <w:b w:val="0"/>
                <w:sz w:val="22"/>
              </w:rPr>
              <w:t>Planung weiteres Vorgehen Themen bzgl. Zulassung Impfstoff Kinder im Alter von 6 Monaten bis 5 Jahren, Empfehlung Impfstoff 4. Dosis</w:t>
            </w:r>
          </w:p>
          <w:p>
            <w:pPr>
              <w:pStyle w:val="Liste3"/>
              <w:numPr>
                <w:ilvl w:val="0"/>
                <w:numId w:val="0"/>
              </w:numPr>
              <w:spacing w:line="276" w:lineRule="auto"/>
              <w:ind w:left="833"/>
              <w:rPr>
                <w:rStyle w:val="1Zchn"/>
                <w:b w:val="0"/>
                <w:sz w:val="22"/>
              </w:rPr>
            </w:pPr>
          </w:p>
        </w:tc>
        <w:tc>
          <w:tcPr>
            <w:tcW w:w="1463" w:type="dxa"/>
          </w:tcPr>
          <w:p>
            <w:pPr>
              <w:rPr>
                <w:sz w:val="22"/>
                <w:szCs w:val="22"/>
              </w:rPr>
            </w:pPr>
          </w:p>
          <w:p>
            <w:pPr>
              <w:rPr>
                <w:sz w:val="22"/>
                <w:szCs w:val="22"/>
              </w:rPr>
            </w:pPr>
          </w:p>
          <w:p>
            <w:pPr>
              <w:rPr>
                <w:sz w:val="22"/>
                <w:szCs w:val="22"/>
              </w:rPr>
            </w:pPr>
            <w:r>
              <w:rPr>
                <w:sz w:val="22"/>
                <w:szCs w:val="22"/>
              </w:rPr>
              <w:t>FG 33</w:t>
            </w:r>
          </w:p>
          <w:p>
            <w:pPr>
              <w:rPr>
                <w:sz w:val="22"/>
                <w:szCs w:val="22"/>
              </w:rPr>
            </w:pPr>
            <w:r>
              <w:rPr>
                <w:sz w:val="22"/>
                <w:szCs w:val="22"/>
              </w:rPr>
              <w:t>(Wichmann)</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numPr>
                <w:ilvl w:val="0"/>
                <w:numId w:val="0"/>
              </w:numPr>
              <w:ind w:left="473" w:hanging="360"/>
            </w:pPr>
            <w:r>
              <w:t>(nicht berichtet)</w:t>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pStyle w:val="Liste1"/>
            </w:pPr>
            <w:r>
              <w:t>CWA Update heute 18 Uhr mit vorerst letzter Version 2.24</w:t>
            </w:r>
          </w:p>
          <w:p>
            <w:pPr>
              <w:pStyle w:val="Liste1"/>
            </w:pPr>
            <w:r>
              <w:t xml:space="preserve">Corona </w:t>
            </w:r>
            <w:proofErr w:type="spellStart"/>
            <w:r>
              <w:t>WarnApp</w:t>
            </w:r>
            <w:proofErr w:type="spellEnd"/>
            <w:r>
              <w:t xml:space="preserve"> wird fortgeführt bis Mai 2023</w:t>
            </w:r>
          </w:p>
          <w:p>
            <w:pPr>
              <w:spacing w:line="276" w:lineRule="auto"/>
              <w:rPr>
                <w:color w:val="C2D69B" w:themeColor="accent3" w:themeTint="99"/>
              </w:rPr>
            </w:pP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pPr>
            <w:r>
              <w:t xml:space="preserve">Aktuelle Version zirkuliert </w:t>
            </w:r>
            <w:hyperlink r:id="rId17" w:history="1">
              <w:r>
                <w:rPr>
                  <w:rStyle w:val="Hyperlink"/>
                </w:rPr>
                <w:t>hier</w:t>
              </w:r>
            </w:hyperlink>
          </w:p>
          <w:p>
            <w:pPr>
              <w:pStyle w:val="Liste3"/>
            </w:pPr>
            <w:r>
              <w:t xml:space="preserve">Änderungsvorschlag: Spezifische </w:t>
            </w:r>
            <w:proofErr w:type="spellStart"/>
            <w:r>
              <w:t>Omikronvarianten</w:t>
            </w:r>
            <w:proofErr w:type="spellEnd"/>
            <w:r>
              <w:t xml:space="preserve"> streichen</w:t>
            </w:r>
          </w:p>
          <w:p>
            <w:pPr>
              <w:pStyle w:val="Liste3"/>
            </w:pPr>
            <w:r>
              <w:t>Generische Formulierung erwünscht</w:t>
            </w:r>
          </w:p>
          <w:p>
            <w:pPr>
              <w:pStyle w:val="Liste3"/>
            </w:pPr>
            <w:r>
              <w:t>Redaktionelle Anpassungen</w:t>
            </w:r>
          </w:p>
          <w:p>
            <w:pPr>
              <w:pStyle w:val="Liste2"/>
              <w:numPr>
                <w:ilvl w:val="0"/>
                <w:numId w:val="0"/>
              </w:numPr>
              <w:rPr>
                <w:lang w:val="de-DE"/>
              </w:rPr>
            </w:pP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w:t>
            </w:r>
            <w:proofErr w:type="gramStart"/>
            <w:r>
              <w:rPr>
                <w:sz w:val="22"/>
                <w:szCs w:val="22"/>
              </w:rPr>
              <w:t>an der Heiden</w:t>
            </w:r>
            <w:proofErr w:type="gramEnd"/>
            <w:r>
              <w:rPr>
                <w:sz w:val="22"/>
                <w:szCs w:val="22"/>
              </w:rPr>
              <w:t>)</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(nicht berichtet)</w:t>
            </w:r>
          </w:p>
        </w:tc>
        <w:tc>
          <w:tcPr>
            <w:tcW w:w="1463" w:type="dxa"/>
          </w:tcPr>
          <w:p>
            <w:pPr>
              <w:rPr>
                <w:sz w:val="22"/>
                <w:szCs w:val="22"/>
              </w:rPr>
            </w:pPr>
          </w:p>
          <w:p>
            <w:pPr>
              <w:rPr>
                <w:sz w:val="22"/>
                <w:szCs w:val="22"/>
              </w:rPr>
            </w:pPr>
            <w:proofErr w:type="spellStart"/>
            <w:r>
              <w:rPr>
                <w:sz w:val="22"/>
                <w:szCs w:val="22"/>
              </w:rPr>
              <w:t>Praes</w:t>
            </w:r>
            <w:proofErr w:type="spellEnd"/>
          </w:p>
          <w:p>
            <w:pPr>
              <w:rPr>
                <w:sz w:val="22"/>
                <w:szCs w:val="22"/>
              </w:rPr>
            </w:pPr>
          </w:p>
          <w:p>
            <w:pPr>
              <w:rPr>
                <w:sz w:val="22"/>
                <w:szCs w:val="22"/>
              </w:rPr>
            </w:pPr>
          </w:p>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Keine Themen</w:t>
            </w:r>
          </w:p>
          <w:p>
            <w:pPr>
              <w:pStyle w:val="2"/>
              <w:spacing w:before="0" w:after="0"/>
              <w:rPr>
                <w:b w:val="0"/>
                <w:sz w:val="22"/>
                <w:szCs w:val="22"/>
              </w:rPr>
            </w:pPr>
          </w:p>
          <w:p>
            <w:pPr>
              <w:pStyle w:val="2"/>
            </w:pPr>
            <w:r>
              <w:lastRenderedPageBreak/>
              <w:t>Presse</w:t>
            </w:r>
          </w:p>
          <w:p>
            <w:pPr>
              <w:pStyle w:val="Liste1"/>
            </w:pPr>
            <w:r>
              <w:t>Keine Themen</w:t>
            </w:r>
          </w:p>
          <w:p>
            <w:pPr>
              <w:pStyle w:val="2"/>
            </w:pPr>
            <w:r>
              <w:t>P1</w:t>
            </w:r>
          </w:p>
          <w:p>
            <w:pPr>
              <w:pStyle w:val="Liste1"/>
              <w:rPr>
                <w:i/>
              </w:rPr>
            </w:pPr>
            <w:r>
              <w:t>Sommerflyer wurde über den Verteiler verschickt</w:t>
            </w:r>
          </w:p>
          <w:p>
            <w:pPr>
              <w:pStyle w:val="Liste3"/>
            </w:pPr>
            <w:r>
              <w:t>Kleinere Anpassungen, Anmerkungen bitte bis heute Abend</w:t>
            </w:r>
          </w:p>
          <w:p>
            <w:pPr>
              <w:pStyle w:val="Liste3"/>
            </w:pPr>
            <w:r>
              <w:t>Veröffentlichung morgen</w:t>
            </w:r>
          </w:p>
          <w:p>
            <w:pPr>
              <w:pStyle w:val="Liste1"/>
              <w:numPr>
                <w:ilvl w:val="0"/>
                <w:numId w:val="0"/>
              </w:numPr>
              <w:ind w:left="473"/>
              <w:rPr>
                <w:i/>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p>
          <w:p>
            <w:pPr>
              <w:rPr>
                <w:sz w:val="22"/>
                <w:szCs w:val="22"/>
              </w:rPr>
            </w:pPr>
            <w:r>
              <w:rPr>
                <w:sz w:val="22"/>
                <w:szCs w:val="22"/>
              </w:rPr>
              <w:t>(Leuker)</w:t>
            </w:r>
            <w:r>
              <w:rPr>
                <w:sz w:val="22"/>
                <w:szCs w:val="22"/>
              </w:rPr>
              <w:br/>
            </w:r>
          </w:p>
        </w:tc>
      </w:tr>
      <w:tr>
        <w:tc>
          <w:tcPr>
            <w:tcW w:w="684" w:type="dxa"/>
          </w:tcPr>
          <w:p>
            <w:pPr>
              <w:rPr>
                <w:b/>
              </w:rPr>
            </w:pPr>
            <w:r>
              <w:rPr>
                <w:b/>
              </w:rPr>
              <w:lastRenderedPageBreak/>
              <w:t>8</w:t>
            </w:r>
          </w:p>
        </w:tc>
        <w:tc>
          <w:tcPr>
            <w:tcW w:w="6824" w:type="dxa"/>
          </w:tcPr>
          <w:p>
            <w:pPr>
              <w:pStyle w:val="1"/>
            </w:pPr>
            <w:r>
              <w:t>RKI-Strategie Fragen</w:t>
            </w:r>
          </w:p>
          <w:p>
            <w:pPr>
              <w:pStyle w:val="2"/>
            </w:pPr>
            <w:r>
              <w:t>Allgemein</w:t>
            </w:r>
          </w:p>
          <w:p>
            <w:pPr>
              <w:pStyle w:val="Liste1"/>
              <w:rPr>
                <w:i/>
              </w:rPr>
            </w:pPr>
            <w:r>
              <w:t>(nicht berichtet)</w:t>
            </w:r>
          </w:p>
          <w:p>
            <w:pPr>
              <w:pStyle w:val="Liste1"/>
              <w:numPr>
                <w:ilvl w:val="0"/>
                <w:numId w:val="0"/>
              </w:numPr>
              <w:ind w:left="473" w:hanging="360"/>
              <w:rPr>
                <w:i/>
              </w:rPr>
            </w:pPr>
          </w:p>
          <w:p>
            <w:pPr>
              <w:pStyle w:val="2"/>
            </w:pPr>
            <w:r>
              <w:t>RKI-intern</w:t>
            </w:r>
          </w:p>
          <w:p>
            <w:pPr>
              <w:pStyle w:val="Liste1"/>
            </w:pPr>
            <w:r>
              <w:t>IfSG Entwurf</w:t>
            </w:r>
          </w:p>
          <w:p>
            <w:pPr>
              <w:pStyle w:val="Liste3"/>
            </w:pPr>
            <w:r>
              <w:t>Hinweis auf Möglichkeit der Kommentierung</w:t>
            </w:r>
          </w:p>
          <w:p>
            <w:pPr>
              <w:pStyle w:val="Liste3"/>
            </w:pPr>
            <w:r>
              <w:t>Sehr umfangreiche Änderungen, gehen weit über COVID-19 hinaus</w:t>
            </w:r>
          </w:p>
          <w:p>
            <w:pPr>
              <w:pStyle w:val="Liste3"/>
            </w:pPr>
            <w:r>
              <w:t>RKI soll auch Bettenbelegung erfassen</w:t>
            </w:r>
          </w:p>
          <w:p>
            <w:pPr>
              <w:pStyle w:val="Liste3"/>
            </w:pPr>
            <w:r>
              <w:t>Krankenhäuser sollen bis Herbst verpflichtet werden, alle Hospitalisierungsmeldungen über DEMIS abzusetzen</w:t>
            </w:r>
          </w:p>
          <w:p>
            <w:pPr>
              <w:pStyle w:val="2"/>
              <w:rPr>
                <w:i/>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FG31</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p>
            <w:pPr>
              <w:rPr>
                <w:sz w:val="22"/>
                <w:szCs w:val="22"/>
              </w:rPr>
            </w:pPr>
            <w:r>
              <w:rPr>
                <w:sz w:val="22"/>
                <w:szCs w:val="22"/>
              </w:rPr>
              <w:t>FG32</w:t>
            </w:r>
          </w:p>
          <w:p>
            <w:pPr>
              <w:rPr>
                <w:sz w:val="22"/>
                <w:szCs w:val="22"/>
              </w:rPr>
            </w:pPr>
            <w:r>
              <w:rPr>
                <w:sz w:val="22"/>
                <w:szCs w:val="22"/>
              </w:rPr>
              <w:t>(Diercke)</w:t>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FG37</w:t>
            </w:r>
          </w:p>
        </w:tc>
      </w:tr>
      <w:tr>
        <w:tc>
          <w:tcPr>
            <w:tcW w:w="684" w:type="dxa"/>
          </w:tcPr>
          <w:p>
            <w:pPr>
              <w:rPr>
                <w:b/>
              </w:rPr>
            </w:pPr>
            <w:r>
              <w:rPr>
                <w:b/>
              </w:rPr>
              <w:t>10</w:t>
            </w:r>
          </w:p>
        </w:tc>
        <w:tc>
          <w:tcPr>
            <w:tcW w:w="6824" w:type="dxa"/>
          </w:tcPr>
          <w:p>
            <w:pPr>
              <w:pStyle w:val="1"/>
            </w:pPr>
            <w:r>
              <w:t>Labordiagnostik</w:t>
            </w:r>
          </w:p>
          <w:p>
            <w:pPr>
              <w:pStyle w:val="Liste1"/>
              <w:numPr>
                <w:ilvl w:val="0"/>
                <w:numId w:val="49"/>
              </w:numPr>
            </w:pPr>
            <w:r>
              <w:t xml:space="preserve">Änderung </w:t>
            </w:r>
            <w:proofErr w:type="spellStart"/>
            <w:r>
              <w:t>TestVO</w:t>
            </w:r>
            <w:proofErr w:type="spellEnd"/>
            <w:r>
              <w:t xml:space="preserve"> </w:t>
            </w:r>
            <w:hyperlink r:id="rId18" w:history="1">
              <w:r>
                <w:rPr>
                  <w:rStyle w:val="Hyperlink"/>
                </w:rPr>
                <w:t>hier</w:t>
              </w:r>
            </w:hyperlink>
          </w:p>
          <w:p>
            <w:pPr>
              <w:pStyle w:val="Liste3"/>
              <w:numPr>
                <w:ilvl w:val="1"/>
                <w:numId w:val="49"/>
              </w:numPr>
            </w:pPr>
            <w:r>
              <w:t>Neuentwurf für die Coronavirus-Testverordnung sieht vor, dass die Bürgertests weitergeführt werden</w:t>
            </w:r>
          </w:p>
          <w:p>
            <w:pPr>
              <w:pStyle w:val="Liste3"/>
              <w:numPr>
                <w:ilvl w:val="0"/>
                <w:numId w:val="0"/>
              </w:numPr>
              <w:ind w:left="833"/>
            </w:pPr>
          </w:p>
        </w:tc>
        <w:tc>
          <w:tcPr>
            <w:tcW w:w="1463" w:type="dxa"/>
          </w:tcPr>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p>
            <w:pPr>
              <w:rPr>
                <w:sz w:val="22"/>
                <w:szCs w:val="22"/>
              </w:rPr>
            </w:pPr>
          </w:p>
          <w:p>
            <w:pPr>
              <w:rPr>
                <w:sz w:val="22"/>
                <w:szCs w:val="22"/>
              </w:rPr>
            </w:pPr>
          </w:p>
        </w:tc>
      </w:tr>
      <w:tr>
        <w:tc>
          <w:tcPr>
            <w:tcW w:w="684" w:type="dxa"/>
          </w:tcPr>
          <w:p>
            <w:pPr>
              <w:rPr>
                <w:b/>
              </w:rPr>
            </w:pPr>
            <w:r>
              <w:rPr>
                <w:b/>
              </w:rPr>
              <w:t>13</w:t>
            </w:r>
          </w:p>
        </w:tc>
        <w:tc>
          <w:tcPr>
            <w:tcW w:w="6824" w:type="dxa"/>
          </w:tcPr>
          <w:p>
            <w:pPr>
              <w:pStyle w:val="1"/>
              <w:rPr>
                <w:sz w:val="22"/>
              </w:rPr>
            </w:pPr>
            <w:r>
              <w:t>Surveillance</w:t>
            </w:r>
          </w:p>
          <w:p>
            <w:pPr>
              <w:pStyle w:val="Liste1"/>
            </w:pPr>
            <w:r>
              <w:t>Anweisung des BMG positive Antigen-Nachweise mit in Lageberichterstattung auszuwerten</w:t>
            </w:r>
          </w:p>
          <w:p>
            <w:pPr>
              <w:pStyle w:val="Liste3"/>
            </w:pPr>
            <w:r>
              <w:t>Erfüllen bei uns nicht die Referenzdefinition</w:t>
            </w:r>
          </w:p>
          <w:p>
            <w:pPr>
              <w:pStyle w:val="Liste3"/>
            </w:pPr>
            <w:r>
              <w:t>Konzept wird aktuell entwickelt</w:t>
            </w:r>
          </w:p>
          <w:p>
            <w:pPr>
              <w:pStyle w:val="Liste3"/>
            </w:pPr>
            <w:r>
              <w:t>Uns übermittelte Daten diesbezüglich sind unvollständig, lückenhaft und dementsprechend wenig aussagekräftig</w:t>
            </w:r>
          </w:p>
          <w:p>
            <w:pPr>
              <w:pStyle w:val="Liste3"/>
            </w:pPr>
            <w:r>
              <w:lastRenderedPageBreak/>
              <w:t>Bitte in die Berichterstattung die Anzahl der Antigentests übermittelnden GÄ mit erwähnen</w:t>
            </w:r>
          </w:p>
        </w:tc>
        <w:tc>
          <w:tcPr>
            <w:tcW w:w="1463" w:type="dxa"/>
          </w:tcPr>
          <w:p>
            <w:pPr>
              <w:rPr>
                <w:sz w:val="22"/>
                <w:szCs w:val="22"/>
              </w:rPr>
            </w:pPr>
          </w:p>
          <w:p>
            <w:pPr>
              <w:rPr>
                <w:sz w:val="22"/>
                <w:szCs w:val="22"/>
              </w:rPr>
            </w:pPr>
            <w:r>
              <w:rPr>
                <w:sz w:val="22"/>
                <w:szCs w:val="22"/>
              </w:rPr>
              <w:t>FG 32</w:t>
            </w:r>
          </w:p>
          <w:p>
            <w:pPr>
              <w:rPr>
                <w:sz w:val="22"/>
                <w:szCs w:val="22"/>
              </w:rPr>
            </w:pPr>
            <w:r>
              <w:rPr>
                <w:sz w:val="22"/>
                <w:szCs w:val="22"/>
              </w:rPr>
              <w:t>(Diercke)</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Erinnerung an RKI interne Befragung zum Lagemanagement</w:t>
            </w:r>
          </w:p>
          <w:p>
            <w:pPr>
              <w:pStyle w:val="Liste3"/>
            </w:pPr>
            <w:r>
              <w:t xml:space="preserve">Derzeit läuft eine hausinterne Befragung zum COVID-Lagemanagement. </w:t>
            </w:r>
          </w:p>
          <w:p>
            <w:pPr>
              <w:pStyle w:val="Liste3"/>
            </w:pPr>
            <w:r>
              <w:t>Bitte um Teilnahme und Weiterverbreitung im Team sowie unter Kolleg*innen</w:t>
            </w:r>
          </w:p>
          <w:p>
            <w:pPr>
              <w:pStyle w:val="Liste3"/>
            </w:pPr>
            <w:r>
              <w:t>Dauer etwa 10 – 15 Minuten</w:t>
            </w:r>
          </w:p>
          <w:p>
            <w:pPr>
              <w:pStyle w:val="Liste3"/>
            </w:pPr>
            <w:r>
              <w:t>Teilnahme noch bis 06.07.2022 möglich.</w:t>
            </w:r>
          </w:p>
          <w:p>
            <w:pPr>
              <w:pStyle w:val="Liste3"/>
            </w:pPr>
            <w:r>
              <w:t xml:space="preserve">Abrufbar unter folgenden Link: </w:t>
            </w:r>
            <w:hyperlink r:id="rId19" w:history="1">
              <w:r>
                <w:rPr>
                  <w:rStyle w:val="Hyperlink"/>
                </w:rPr>
                <w:t>https://befragungen.rki.local/SE/1/Lagezentrum/</w:t>
              </w:r>
            </w:hyperlink>
          </w:p>
          <w:p>
            <w:pPr>
              <w:pStyle w:val="Liste3"/>
              <w:numPr>
                <w:ilvl w:val="0"/>
                <w:numId w:val="0"/>
              </w:numPr>
              <w:ind w:left="119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06.07.2022,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bookmarkStart w:id="1" w:name="_GoBack"/>
      <w:bookmarkEnd w:id="1"/>
      <w:r>
        <w:rPr>
          <w:b/>
        </w:rPr>
        <w:t>Ende: 12:30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D9041AF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D766DF68">
      <w:start w:val="2"/>
      <w:numFmt w:val="bullet"/>
      <w:lvlText w:val="-"/>
      <w:lvlJc w:val="left"/>
      <w:pPr>
        <w:ind w:left="2633" w:hanging="360"/>
      </w:pPr>
      <w:rPr>
        <w:rFonts w:ascii="Cambria" w:eastAsiaTheme="minorHAnsi" w:hAnsi="Cambria" w:cstheme="minorBidi"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624161"/>
    <w:multiLevelType w:val="hybridMultilevel"/>
    <w:tmpl w:val="AD088A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36415A7"/>
    <w:multiLevelType w:val="hybridMultilevel"/>
    <w:tmpl w:val="B10830CA"/>
    <w:lvl w:ilvl="0" w:tplc="A3520B7A">
      <w:start w:val="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0E24F41"/>
    <w:multiLevelType w:val="hybridMultilevel"/>
    <w:tmpl w:val="EE56226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58C4B35"/>
    <w:multiLevelType w:val="hybridMultilevel"/>
    <w:tmpl w:val="B856529E"/>
    <w:lvl w:ilvl="0" w:tplc="04070001">
      <w:start w:val="1"/>
      <w:numFmt w:val="bullet"/>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9"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3"/>
  </w:num>
  <w:num w:numId="5">
    <w:abstractNumId w:val="9"/>
  </w:num>
  <w:num w:numId="6">
    <w:abstractNumId w:val="24"/>
  </w:num>
  <w:num w:numId="7">
    <w:abstractNumId w:val="30"/>
  </w:num>
  <w:num w:numId="8">
    <w:abstractNumId w:val="17"/>
  </w:num>
  <w:num w:numId="9">
    <w:abstractNumId w:val="5"/>
  </w:num>
  <w:num w:numId="10">
    <w:abstractNumId w:val="37"/>
  </w:num>
  <w:num w:numId="11">
    <w:abstractNumId w:val="29"/>
  </w:num>
  <w:num w:numId="12">
    <w:abstractNumId w:val="20"/>
  </w:num>
  <w:num w:numId="13">
    <w:abstractNumId w:val="16"/>
  </w:num>
  <w:num w:numId="14">
    <w:abstractNumId w:val="25"/>
  </w:num>
  <w:num w:numId="15">
    <w:abstractNumId w:val="22"/>
  </w:num>
  <w:num w:numId="16">
    <w:abstractNumId w:val="0"/>
  </w:num>
  <w:num w:numId="17">
    <w:abstractNumId w:val="15"/>
  </w:num>
  <w:num w:numId="18">
    <w:abstractNumId w:val="34"/>
  </w:num>
  <w:num w:numId="19">
    <w:abstractNumId w:val="13"/>
  </w:num>
  <w:num w:numId="20">
    <w:abstractNumId w:val="31"/>
  </w:num>
  <w:num w:numId="21">
    <w:abstractNumId w:val="8"/>
  </w:num>
  <w:num w:numId="22">
    <w:abstractNumId w:val="10"/>
  </w:num>
  <w:num w:numId="23">
    <w:abstractNumId w:val="2"/>
  </w:num>
  <w:num w:numId="24">
    <w:abstractNumId w:val="26"/>
  </w:num>
  <w:num w:numId="25">
    <w:abstractNumId w:val="19"/>
  </w:num>
  <w:num w:numId="26">
    <w:abstractNumId w:val="1"/>
  </w:num>
  <w:num w:numId="27">
    <w:abstractNumId w:val="28"/>
  </w:num>
  <w:num w:numId="28">
    <w:abstractNumId w:val="35"/>
  </w:num>
  <w:num w:numId="29">
    <w:abstractNumId w:val="17"/>
  </w:num>
  <w:num w:numId="30">
    <w:abstractNumId w:val="17"/>
  </w:num>
  <w:num w:numId="31">
    <w:abstractNumId w:val="32"/>
  </w:num>
  <w:num w:numId="32">
    <w:abstractNumId w:val="27"/>
  </w:num>
  <w:num w:numId="33">
    <w:abstractNumId w:val="17"/>
  </w:num>
  <w:num w:numId="34">
    <w:abstractNumId w:val="17"/>
  </w:num>
  <w:num w:numId="35">
    <w:abstractNumId w:val="17"/>
  </w:num>
  <w:num w:numId="36">
    <w:abstractNumId w:val="7"/>
  </w:num>
  <w:num w:numId="37">
    <w:abstractNumId w:val="6"/>
  </w:num>
  <w:num w:numId="38">
    <w:abstractNumId w:val="7"/>
  </w:num>
  <w:num w:numId="39">
    <w:abstractNumId w:val="17"/>
  </w:num>
  <w:num w:numId="40">
    <w:abstractNumId w:val="21"/>
  </w:num>
  <w:num w:numId="41">
    <w:abstractNumId w:val="9"/>
  </w:num>
  <w:num w:numId="42">
    <w:abstractNumId w:val="7"/>
  </w:num>
  <w:num w:numId="43">
    <w:abstractNumId w:val="38"/>
  </w:num>
  <w:num w:numId="44">
    <w:abstractNumId w:val="11"/>
  </w:num>
  <w:num w:numId="45">
    <w:abstractNumId w:val="39"/>
  </w:num>
  <w:num w:numId="46">
    <w:abstractNumId w:val="21"/>
  </w:num>
  <w:num w:numId="47">
    <w:abstractNumId w:val="12"/>
  </w:num>
  <w:num w:numId="48">
    <w:abstractNumId w:val="18"/>
  </w:num>
  <w:num w:numId="49">
    <w:abstractNumId w:val="36"/>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31572465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6-29-Lage-AG\Testzahlerfassung%20am%20RKI_2022_06-29.pptx" TargetMode="External"/><Relationship Id="rId18" Type="http://schemas.openxmlformats.org/officeDocument/2006/relationships/hyperlink" Target="file:///S:\Wissdaten\RKI_nCoV-Lage\1.Lagemanagement\1.3.Besprechungen_TKs\1.Lage_AG\2022-06-29-Lage-AG\3.%20&#196;ndV%20TestV_24062022.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6-29-Lage-AG\LageNational_2022-06-29_draft.pptx" TargetMode="External"/><Relationship Id="rId17" Type="http://schemas.openxmlformats.org/officeDocument/2006/relationships/hyperlink" Target="file:///S:\Wissdaten\RKI_nCoV-Lage\1.Lagemanagement\1.3.Besprechungen_TKs\1.Lage_AG\2022-06-29-Lage-AG\Risikobewertung_COVID_2022-06-29_an-Webmaster_clean.doc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6-29-Lage-AG\2022-06-29_Intensivregister_SPoCK.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6-29-Lage-AG\COVID-19_internat.%20Lage_2022-06-29.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6-29-Lage-AG\syndrom-ARE-SARI-COVID_bis_KW25_2022_f&#252;r-Krisenstab.pptx" TargetMode="External"/><Relationship Id="rId10" Type="http://schemas.openxmlformats.org/officeDocument/2006/relationships/footer" Target="footer2.xml"/><Relationship Id="rId19" Type="http://schemas.openxmlformats.org/officeDocument/2006/relationships/hyperlink" Target="https://befragungen.rki.local/SE/1/Lagezentru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6-29-Lage-AG\2022-06_29_LageAG-VOC.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E820-3C62-4475-8E9A-0C25CFD0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1743</Words>
  <Characters>10986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Wittke, Christian</cp:lastModifiedBy>
  <cp:revision>214</cp:revision>
  <cp:lastPrinted>2020-05-06T16:43:00Z</cp:lastPrinted>
  <dcterms:created xsi:type="dcterms:W3CDTF">2022-06-22T19:04:00Z</dcterms:created>
  <dcterms:modified xsi:type="dcterms:W3CDTF">2022-06-29T15:40:00Z</dcterms:modified>
</cp:coreProperties>
</file>