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Lage-AG-Sitzung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sdt>
            <w:sdtPr>
              <w:rPr>
                <w:i/>
                <w:sz w:val="22"/>
              </w:rPr>
              <w:id w:val="653257430"/>
              <w:placeholder>
                <w:docPart w:val="F0D9E73F34E743148301BB6C0E6942D3"/>
              </w:placeholder>
            </w:sdtPr>
            <w:sdtContent>
              <w:r>
                <w:rPr>
                  <w:i/>
                  <w:sz w:val="22"/>
                </w:rPr>
                <w:t>Mittwoch, 13.07.2022, 11:00 Uhr</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 xml:space="preserve">Moderation: Lars Schaade </w:t>
      </w:r>
    </w:p>
    <w:p>
      <w:pPr>
        <w:spacing w:after="0"/>
        <w:rPr>
          <w:b/>
          <w:sz w:val="22"/>
        </w:rPr>
        <w:sectPr>
          <w:headerReference w:type="default" r:id="rId8"/>
          <w:footerReference w:type="even" r:id="rId9"/>
          <w:footerReference w:type="default" r:id="rId10"/>
          <w:pgSz w:w="11900" w:h="16840"/>
          <w:pgMar w:top="1440" w:right="1800" w:bottom="1440" w:left="1800" w:header="708" w:footer="708" w:gutter="0"/>
          <w:cols w:space="708"/>
        </w:sectPr>
      </w:pPr>
    </w:p>
    <w:p>
      <w:pPr>
        <w:spacing w:after="0"/>
        <w:rPr>
          <w:b/>
          <w:sz w:val="22"/>
        </w:rPr>
      </w:pPr>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Lars Schaade</w:t>
      </w:r>
    </w:p>
    <w:p>
      <w:pPr>
        <w:pStyle w:val="Listenabsatz"/>
        <w:numPr>
          <w:ilvl w:val="1"/>
          <w:numId w:val="2"/>
        </w:numPr>
        <w:spacing w:after="0"/>
        <w:contextualSpacing w:val="0"/>
        <w:rPr>
          <w:sz w:val="22"/>
          <w:szCs w:val="22"/>
        </w:rPr>
      </w:pPr>
      <w:r>
        <w:rPr>
          <w:sz w:val="22"/>
          <w:szCs w:val="22"/>
        </w:rPr>
        <w:t>Esther-Maria Antao</w:t>
      </w:r>
    </w:p>
    <w:p>
      <w:pPr>
        <w:pStyle w:val="Listenabsatz"/>
        <w:numPr>
          <w:ilvl w:val="0"/>
          <w:numId w:val="2"/>
        </w:numPr>
        <w:spacing w:after="0"/>
        <w:contextualSpacing w:val="0"/>
        <w:rPr>
          <w:sz w:val="22"/>
          <w:szCs w:val="22"/>
        </w:rPr>
      </w:pPr>
      <w:r>
        <w:rPr>
          <w:sz w:val="22"/>
          <w:szCs w:val="22"/>
        </w:rPr>
        <w:t>Abt.2</w:t>
      </w:r>
    </w:p>
    <w:p>
      <w:pPr>
        <w:pStyle w:val="Listenabsatz"/>
        <w:numPr>
          <w:ilvl w:val="1"/>
          <w:numId w:val="2"/>
        </w:numPr>
        <w:spacing w:after="0"/>
        <w:contextualSpacing w:val="0"/>
        <w:rPr>
          <w:sz w:val="22"/>
          <w:szCs w:val="22"/>
        </w:rPr>
      </w:pPr>
      <w:r>
        <w:rPr>
          <w:sz w:val="22"/>
          <w:szCs w:val="22"/>
        </w:rPr>
        <w:t>Michael Bosnjak</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Ralf Dürrwald</w:t>
      </w:r>
    </w:p>
    <w:p>
      <w:pPr>
        <w:pStyle w:val="Listenabsatz"/>
        <w:numPr>
          <w:ilvl w:val="0"/>
          <w:numId w:val="2"/>
        </w:numPr>
        <w:spacing w:after="0"/>
        <w:contextualSpacing w:val="0"/>
        <w:rPr>
          <w:sz w:val="22"/>
          <w:szCs w:val="22"/>
        </w:rPr>
      </w:pPr>
      <w:r>
        <w:rPr>
          <w:sz w:val="22"/>
          <w:szCs w:val="22"/>
        </w:rPr>
        <w:t>FG</w:t>
      </w:r>
      <w:r>
        <w:rPr>
          <w:sz w:val="22"/>
          <w:szCs w:val="22"/>
        </w:rPr>
        <w:t>21</w:t>
      </w:r>
    </w:p>
    <w:p>
      <w:pPr>
        <w:pStyle w:val="Listenabsatz"/>
        <w:numPr>
          <w:ilvl w:val="1"/>
          <w:numId w:val="2"/>
        </w:numPr>
        <w:spacing w:after="0"/>
        <w:contextualSpacing w:val="0"/>
        <w:rPr>
          <w:sz w:val="22"/>
          <w:szCs w:val="22"/>
        </w:rPr>
      </w:pPr>
      <w:r>
        <w:rPr>
          <w:sz w:val="22"/>
          <w:szCs w:val="22"/>
        </w:rPr>
        <w:t>Patrick Schmich</w:t>
      </w:r>
    </w:p>
    <w:p>
      <w:pPr>
        <w:pStyle w:val="Listenabsatz"/>
        <w:numPr>
          <w:ilvl w:val="1"/>
          <w:numId w:val="2"/>
        </w:numPr>
        <w:spacing w:after="0"/>
        <w:contextualSpacing w:val="0"/>
        <w:rPr>
          <w:sz w:val="22"/>
          <w:szCs w:val="22"/>
        </w:rPr>
      </w:pPr>
      <w:r>
        <w:rPr>
          <w:sz w:val="22"/>
          <w:szCs w:val="22"/>
        </w:rPr>
        <w:t xml:space="preserve">Wolfgang </w:t>
      </w:r>
      <w:proofErr w:type="spellStart"/>
      <w:r>
        <w:rPr>
          <w:sz w:val="22"/>
          <w:szCs w:val="22"/>
        </w:rPr>
        <w:t>Scheida</w:t>
      </w:r>
      <w:proofErr w:type="spellEnd"/>
    </w:p>
    <w:p>
      <w:pPr>
        <w:pStyle w:val="Listenabsatz"/>
        <w:numPr>
          <w:ilvl w:val="0"/>
          <w:numId w:val="2"/>
        </w:numPr>
        <w:spacing w:after="0"/>
        <w:contextualSpacing w:val="0"/>
        <w:rPr>
          <w:sz w:val="22"/>
          <w:szCs w:val="22"/>
        </w:rPr>
      </w:pPr>
      <w:r>
        <w:rPr>
          <w:sz w:val="22"/>
          <w:szCs w:val="22"/>
        </w:rPr>
        <w:t>FG25</w:t>
      </w:r>
    </w:p>
    <w:p>
      <w:pPr>
        <w:pStyle w:val="Listenabsatz"/>
        <w:numPr>
          <w:ilvl w:val="1"/>
          <w:numId w:val="2"/>
        </w:numPr>
        <w:spacing w:after="0"/>
        <w:contextualSpacing w:val="0"/>
        <w:rPr>
          <w:sz w:val="22"/>
          <w:szCs w:val="22"/>
        </w:rPr>
      </w:pPr>
      <w:r>
        <w:rPr>
          <w:sz w:val="22"/>
          <w:szCs w:val="22"/>
        </w:rPr>
        <w:t>Christa Scheidt-Nave</w:t>
      </w:r>
    </w:p>
    <w:p>
      <w:pPr>
        <w:pStyle w:val="Listenabsatz"/>
        <w:numPr>
          <w:ilvl w:val="1"/>
          <w:numId w:val="2"/>
        </w:numPr>
        <w:spacing w:after="0"/>
        <w:contextualSpacing w:val="0"/>
        <w:rPr>
          <w:sz w:val="22"/>
          <w:szCs w:val="22"/>
        </w:rPr>
      </w:pPr>
      <w:r>
        <w:rPr>
          <w:sz w:val="22"/>
          <w:szCs w:val="22"/>
        </w:rPr>
        <w:t>Maria Silva de Almeida</w:t>
      </w:r>
    </w:p>
    <w:p>
      <w:pPr>
        <w:pStyle w:val="Listenabsatz"/>
        <w:numPr>
          <w:ilvl w:val="0"/>
          <w:numId w:val="4"/>
        </w:numPr>
        <w:spacing w:after="0"/>
        <w:contextualSpacing w:val="0"/>
        <w:rPr>
          <w:sz w:val="22"/>
          <w:szCs w:val="22"/>
        </w:rPr>
      </w:pPr>
      <w:r>
        <w:rPr>
          <w:sz w:val="22"/>
          <w:szCs w:val="22"/>
        </w:rPr>
        <w:t>FG31</w:t>
      </w:r>
    </w:p>
    <w:p>
      <w:pPr>
        <w:pStyle w:val="Listenabsatz"/>
        <w:numPr>
          <w:ilvl w:val="1"/>
          <w:numId w:val="2"/>
        </w:numPr>
        <w:spacing w:after="0"/>
        <w:contextualSpacing w:val="0"/>
        <w:rPr>
          <w:sz w:val="22"/>
          <w:szCs w:val="22"/>
        </w:rPr>
      </w:pPr>
      <w:r>
        <w:rPr>
          <w:sz w:val="22"/>
          <w:szCs w:val="22"/>
        </w:rPr>
        <w:t xml:space="preserve">Maria </w:t>
      </w:r>
      <w:proofErr w:type="gramStart"/>
      <w:r>
        <w:rPr>
          <w:sz w:val="22"/>
          <w:szCs w:val="22"/>
        </w:rPr>
        <w:t>an der Heiden</w:t>
      </w:r>
      <w:proofErr w:type="gramEnd"/>
    </w:p>
    <w:p>
      <w:pPr>
        <w:pStyle w:val="Listenabsatz"/>
        <w:numPr>
          <w:ilvl w:val="1"/>
          <w:numId w:val="2"/>
        </w:numPr>
        <w:spacing w:after="0"/>
        <w:contextualSpacing w:val="0"/>
        <w:rPr>
          <w:sz w:val="22"/>
          <w:szCs w:val="22"/>
        </w:rPr>
      </w:pPr>
      <w:r>
        <w:rPr>
          <w:sz w:val="22"/>
          <w:szCs w:val="22"/>
        </w:rPr>
        <w:t>Amrei Wolter (Protokoll)</w:t>
      </w:r>
    </w:p>
    <w:p>
      <w:pPr>
        <w:pStyle w:val="Listenabsatz"/>
        <w:numPr>
          <w:ilvl w:val="1"/>
          <w:numId w:val="2"/>
        </w:numPr>
        <w:spacing w:after="0"/>
        <w:contextualSpacing w:val="0"/>
        <w:rPr>
          <w:sz w:val="22"/>
          <w:szCs w:val="22"/>
        </w:rPr>
      </w:pPr>
      <w:r>
        <w:rPr>
          <w:sz w:val="22"/>
          <w:szCs w:val="22"/>
        </w:rPr>
        <w:t>Claudia Siffczyk</w:t>
      </w:r>
    </w:p>
    <w:p>
      <w:pPr>
        <w:pStyle w:val="Listenabsatz"/>
        <w:numPr>
          <w:ilvl w:val="0"/>
          <w:numId w:val="2"/>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Claudia Sievers</w:t>
      </w:r>
    </w:p>
    <w:p>
      <w:pPr>
        <w:pStyle w:val="Listenabsatz"/>
        <w:spacing w:after="0"/>
        <w:ind w:left="1440"/>
        <w:contextualSpacing w:val="0"/>
        <w:rPr>
          <w:sz w:val="22"/>
          <w:szCs w:val="22"/>
        </w:rPr>
      </w:pP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szCs w:val="22"/>
        </w:rPr>
      </w:pPr>
      <w:r>
        <w:rPr>
          <w:sz w:val="22"/>
          <w:szCs w:val="22"/>
        </w:rPr>
        <w:t>Thomas Harder</w:t>
      </w:r>
    </w:p>
    <w:p>
      <w:pPr>
        <w:pStyle w:val="Listenabsatz"/>
        <w:numPr>
          <w:ilvl w:val="0"/>
          <w:numId w:val="2"/>
        </w:numPr>
        <w:spacing w:after="0"/>
        <w:contextualSpacing w:val="0"/>
        <w:rPr>
          <w:sz w:val="22"/>
          <w:szCs w:val="22"/>
        </w:rPr>
      </w:pPr>
      <w:r>
        <w:rPr>
          <w:sz w:val="22"/>
          <w:szCs w:val="22"/>
        </w:rPr>
        <w:t>FG35</w:t>
      </w:r>
    </w:p>
    <w:p>
      <w:pPr>
        <w:pStyle w:val="Listenabsatz"/>
        <w:numPr>
          <w:ilvl w:val="1"/>
          <w:numId w:val="2"/>
        </w:numPr>
        <w:spacing w:after="0"/>
        <w:contextualSpacing w:val="0"/>
        <w:rPr>
          <w:sz w:val="22"/>
          <w:szCs w:val="22"/>
        </w:rPr>
      </w:pPr>
      <w:r>
        <w:rPr>
          <w:sz w:val="22"/>
          <w:szCs w:val="22"/>
        </w:rPr>
        <w:t>Christina Frank</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szCs w:val="22"/>
        </w:rPr>
      </w:pPr>
      <w:r>
        <w:rPr>
          <w:sz w:val="22"/>
          <w:szCs w:val="22"/>
        </w:rPr>
        <w:t>Stefan Kröger</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spacing w:after="0"/>
        <w:contextualSpacing w:val="0"/>
        <w:rPr>
          <w:sz w:val="22"/>
          <w:szCs w:val="22"/>
        </w:rPr>
      </w:pPr>
      <w:r>
        <w:rPr>
          <w:sz w:val="22"/>
          <w:szCs w:val="22"/>
        </w:rPr>
        <w:t>Susanne Glasmacher</w:t>
      </w:r>
    </w:p>
    <w:p>
      <w:pPr>
        <w:pStyle w:val="Listenabsatz"/>
        <w:numPr>
          <w:ilvl w:val="1"/>
          <w:numId w:val="3"/>
        </w:numPr>
        <w:rPr>
          <w:sz w:val="22"/>
          <w:szCs w:val="22"/>
        </w:rPr>
      </w:pPr>
      <w:r>
        <w:rPr>
          <w:sz w:val="22"/>
          <w:szCs w:val="22"/>
        </w:rPr>
        <w:t xml:space="preserve">Ronja Wenchel </w:t>
      </w:r>
    </w:p>
    <w:p>
      <w:pPr>
        <w:pStyle w:val="Listenabsatz"/>
        <w:numPr>
          <w:ilvl w:val="1"/>
          <w:numId w:val="3"/>
        </w:numPr>
        <w:rPr>
          <w:sz w:val="22"/>
          <w:szCs w:val="22"/>
        </w:rPr>
      </w:pPr>
      <w:r>
        <w:rPr>
          <w:sz w:val="22"/>
          <w:szCs w:val="22"/>
        </w:rPr>
        <w:t>Marieke Degen</w:t>
      </w:r>
    </w:p>
    <w:p>
      <w:pPr>
        <w:pStyle w:val="Listenabsatz"/>
        <w:numPr>
          <w:ilvl w:val="0"/>
          <w:numId w:val="3"/>
        </w:numPr>
        <w:rPr>
          <w:sz w:val="22"/>
          <w:szCs w:val="22"/>
        </w:rPr>
      </w:pPr>
      <w:r>
        <w:rPr>
          <w:sz w:val="22"/>
          <w:szCs w:val="22"/>
        </w:rPr>
        <w:t>P1</w:t>
      </w:r>
    </w:p>
    <w:p>
      <w:pPr>
        <w:pStyle w:val="Listenabsatz"/>
        <w:numPr>
          <w:ilvl w:val="1"/>
          <w:numId w:val="3"/>
        </w:numPr>
        <w:rPr>
          <w:sz w:val="22"/>
          <w:szCs w:val="22"/>
        </w:rPr>
      </w:pPr>
      <w:r>
        <w:rPr>
          <w:sz w:val="22"/>
          <w:szCs w:val="22"/>
        </w:rPr>
        <w:t>Christina Leuker</w:t>
      </w:r>
    </w:p>
    <w:p>
      <w:pPr>
        <w:pStyle w:val="Listenabsatz"/>
        <w:numPr>
          <w:ilvl w:val="0"/>
          <w:numId w:val="3"/>
        </w:numPr>
        <w:rPr>
          <w:sz w:val="22"/>
          <w:szCs w:val="22"/>
        </w:rPr>
      </w:pPr>
      <w:r>
        <w:rPr>
          <w:sz w:val="22"/>
          <w:szCs w:val="22"/>
        </w:rPr>
        <w:t>MF</w:t>
      </w:r>
      <w:r>
        <w:rPr>
          <w:sz w:val="22"/>
          <w:szCs w:val="22"/>
        </w:rPr>
        <w:t>I</w:t>
      </w:r>
    </w:p>
    <w:p>
      <w:pPr>
        <w:pStyle w:val="Listenabsatz"/>
        <w:numPr>
          <w:ilvl w:val="1"/>
          <w:numId w:val="3"/>
        </w:numPr>
        <w:rPr>
          <w:sz w:val="22"/>
          <w:szCs w:val="22"/>
        </w:rPr>
      </w:pPr>
      <w:r>
        <w:rPr>
          <w:sz w:val="22"/>
          <w:szCs w:val="22"/>
        </w:rPr>
        <w:t xml:space="preserve">Martina Fischer </w:t>
      </w:r>
    </w:p>
    <w:p>
      <w:pPr>
        <w:pStyle w:val="Listenabsatz"/>
        <w:numPr>
          <w:ilvl w:val="0"/>
          <w:numId w:val="3"/>
        </w:numPr>
        <w:rPr>
          <w:sz w:val="22"/>
          <w:szCs w:val="22"/>
        </w:rPr>
      </w:pPr>
      <w:r>
        <w:rPr>
          <w:sz w:val="22"/>
          <w:szCs w:val="22"/>
        </w:rPr>
        <w:t>ZBS7</w:t>
      </w:r>
    </w:p>
    <w:p>
      <w:pPr>
        <w:pStyle w:val="Listenabsatz"/>
        <w:numPr>
          <w:ilvl w:val="1"/>
          <w:numId w:val="3"/>
        </w:numPr>
        <w:rPr>
          <w:sz w:val="22"/>
          <w:szCs w:val="22"/>
        </w:rPr>
      </w:pPr>
      <w:r>
        <w:rPr>
          <w:sz w:val="22"/>
          <w:szCs w:val="22"/>
        </w:rPr>
        <w:t xml:space="preserve">Agata </w:t>
      </w:r>
      <w:proofErr w:type="spellStart"/>
      <w:r>
        <w:rPr>
          <w:sz w:val="22"/>
          <w:szCs w:val="22"/>
        </w:rPr>
        <w:t>Mikolajewska</w:t>
      </w:r>
      <w:proofErr w:type="spellEnd"/>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rStyle w:val="highlight"/>
          <w:sz w:val="22"/>
          <w:szCs w:val="22"/>
        </w:rPr>
      </w:pPr>
      <w:r>
        <w:rPr>
          <w:rStyle w:val="highlight"/>
          <w:sz w:val="22"/>
          <w:szCs w:val="22"/>
        </w:rPr>
        <w:t xml:space="preserve">Sofie </w:t>
      </w:r>
      <w:proofErr w:type="spellStart"/>
      <w:r>
        <w:rPr>
          <w:rStyle w:val="highlight"/>
          <w:sz w:val="22"/>
          <w:szCs w:val="22"/>
        </w:rPr>
        <w:t>Gillesberg</w:t>
      </w:r>
      <w:proofErr w:type="spellEnd"/>
      <w:r>
        <w:rPr>
          <w:rStyle w:val="highlight"/>
          <w:sz w:val="22"/>
          <w:szCs w:val="22"/>
        </w:rPr>
        <w:t xml:space="preserve"> Raiser</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rPr>
          <w:sz w:val="22"/>
        </w:rPr>
      </w:pPr>
      <w:r>
        <w:rPr>
          <w:sz w:val="22"/>
        </w:rPr>
        <w:t xml:space="preserve">Andrea </w:t>
      </w:r>
      <w:proofErr w:type="spellStart"/>
      <w:r>
        <w:rPr>
          <w:sz w:val="22"/>
        </w:rPr>
        <w:t>Rückle</w:t>
      </w:r>
      <w:proofErr w:type="spellEnd"/>
      <w:r>
        <w:rPr>
          <w:sz w:val="22"/>
        </w:rPr>
        <w:t xml:space="preserve"> </w:t>
      </w:r>
    </w:p>
    <w:p>
      <w:pPr>
        <w:rPr>
          <w:sz w:val="22"/>
          <w:szCs w:val="22"/>
        </w:rPr>
      </w:pPr>
      <w:r>
        <w:rPr>
          <w:sz w:val="22"/>
          <w:szCs w:val="22"/>
        </w:rPr>
        <w:br w:type="page"/>
      </w:r>
    </w:p>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rStyle w:val="TagMiZchn"/>
                <w:bCs/>
              </w:rPr>
            </w:pPr>
            <w:r>
              <w:rPr>
                <w:rStyle w:val="2Zchn"/>
                <w:sz w:val="22"/>
                <w:szCs w:val="22"/>
              </w:rPr>
              <w:t>International</w:t>
            </w:r>
            <w:r>
              <w:rPr>
                <w:rStyle w:val="TagMiZchn"/>
                <w:bCs/>
              </w:rPr>
              <w:t xml:space="preserve"> </w:t>
            </w:r>
          </w:p>
          <w:p>
            <w:pPr>
              <w:pStyle w:val="Liste2"/>
              <w:rPr>
                <w:lang w:val="de-DE"/>
              </w:rPr>
            </w:pPr>
            <w:r>
              <w:rPr>
                <w:lang w:val="de-DE"/>
              </w:rPr>
              <w:t xml:space="preserve">Weltweit, Datenstand: WHO, 12.07.2022, Folien </w:t>
            </w:r>
            <w:hyperlink r:id="rId11" w:history="1">
              <w:r>
                <w:rPr>
                  <w:rStyle w:val="Hyperlink"/>
                  <w:lang w:val="de-DE"/>
                </w:rPr>
                <w:t>hier</w:t>
              </w:r>
            </w:hyperlink>
          </w:p>
          <w:p>
            <w:pPr>
              <w:pStyle w:val="Liste2"/>
            </w:pPr>
            <w:r>
              <w:t>Mit Ausnahme von Afrika auf allen Kontinenten steigende Fallzahlen</w:t>
            </w:r>
          </w:p>
          <w:p>
            <w:pPr>
              <w:pStyle w:val="Liste2"/>
            </w:pPr>
            <w:r>
              <w:t>Europa berichtet die meisten Fälle (etwa 50%)</w:t>
            </w:r>
          </w:p>
          <w:p>
            <w:pPr>
              <w:pStyle w:val="Liste2"/>
            </w:pPr>
            <w:r>
              <w:t>Kleiner Rückgang der Todesfälle, die meisten gemeldeten Todesfälle aus Amerika</w:t>
            </w:r>
          </w:p>
          <w:p>
            <w:pPr>
              <w:pStyle w:val="Liste2"/>
            </w:pPr>
            <w:proofErr w:type="spellStart"/>
            <w:r>
              <w:t>Karte</w:t>
            </w:r>
            <w:proofErr w:type="spellEnd"/>
            <w:r>
              <w:t xml:space="preserve"> </w:t>
            </w:r>
            <w:proofErr w:type="spellStart"/>
            <w:r>
              <w:t>mit</w:t>
            </w:r>
            <w:proofErr w:type="spellEnd"/>
            <w:r>
              <w:t xml:space="preserve"> 7-Tage-Inzidenz: </w:t>
            </w:r>
          </w:p>
          <w:p>
            <w:pPr>
              <w:pStyle w:val="Liste3"/>
              <w:numPr>
                <w:ilvl w:val="1"/>
                <w:numId w:val="7"/>
              </w:numPr>
            </w:pPr>
            <w:r>
              <w:t xml:space="preserve">12 Länder mit &gt;40% Anstieg der Fallzahlen im Vergleich zur Vorwoche (Estland, Kosovo, Rumänien, Polen, </w:t>
            </w:r>
            <w:proofErr w:type="spellStart"/>
            <w:r>
              <w:t>Nordmazedonien</w:t>
            </w:r>
            <w:proofErr w:type="spellEnd"/>
            <w:r>
              <w:t>, Montenegro, Serbien, Ungarn, Bulgarien, Albanien, Bosnien und Herzegowina, Slowenien)</w:t>
            </w:r>
          </w:p>
          <w:p>
            <w:pPr>
              <w:pStyle w:val="Liste3"/>
              <w:numPr>
                <w:ilvl w:val="1"/>
                <w:numId w:val="7"/>
              </w:numPr>
            </w:pPr>
            <w:r>
              <w:t>11 Länder mit Inzidenzen über 500/100.000 Einwohnern (Zypern, Frankreich, Italien, San Marino, Griechenland, Monaco, Luxemburg, Österreich, Malta, Deutschland, Andorra), davon nur Zypern, Italien und Andorra die gleichzeitig Fallveränderung &gt;20% haben</w:t>
            </w:r>
          </w:p>
          <w:p>
            <w:pPr>
              <w:pStyle w:val="Liste3"/>
              <w:numPr>
                <w:ilvl w:val="1"/>
                <w:numId w:val="7"/>
              </w:numPr>
            </w:pPr>
            <w:r>
              <w:t>Inzidenzen gehen in Portugal, England und Norwegen zurück</w:t>
            </w:r>
          </w:p>
          <w:p>
            <w:pPr>
              <w:pStyle w:val="Liste3"/>
              <w:numPr>
                <w:ilvl w:val="1"/>
                <w:numId w:val="7"/>
              </w:numPr>
            </w:pPr>
            <w:r>
              <w:t>BA.5 Dominanz in den meisten EU Ländern in KW23</w:t>
            </w:r>
          </w:p>
          <w:p>
            <w:pPr>
              <w:pStyle w:val="Liste3"/>
              <w:numPr>
                <w:ilvl w:val="1"/>
                <w:numId w:val="7"/>
              </w:numPr>
            </w:pPr>
            <w:r>
              <w:t>BA.5 Welle: sinkende Fallzahlen ab ca. KW28 erwartet</w:t>
            </w:r>
          </w:p>
          <w:p>
            <w:pPr>
              <w:pStyle w:val="Liste2"/>
            </w:pPr>
            <w:proofErr w:type="spellStart"/>
            <w:r>
              <w:t>Andere</w:t>
            </w:r>
            <w:proofErr w:type="spellEnd"/>
            <w:r>
              <w:t xml:space="preserve"> </w:t>
            </w:r>
            <w:proofErr w:type="spellStart"/>
            <w:r>
              <w:t>Berichte</w:t>
            </w:r>
            <w:proofErr w:type="spellEnd"/>
            <w:r>
              <w:t xml:space="preserve">: </w:t>
            </w:r>
          </w:p>
          <w:p>
            <w:pPr>
              <w:pStyle w:val="Liste2"/>
              <w:numPr>
                <w:ilvl w:val="1"/>
                <w:numId w:val="7"/>
              </w:numPr>
              <w:rPr>
                <w:lang w:val="de-DE"/>
              </w:rPr>
            </w:pPr>
            <w:r>
              <w:rPr>
                <w:lang w:val="de-DE"/>
              </w:rPr>
              <w:t>Berechnungen aus Dänemark: Hybridimmunität (Omikron + Impfung) schützt besser als Impfung allein. Vergleich von Personen, die eine SARS-CoV-2 Infektion durchgemacht haben während Omikron dominant war mit Personen, die in der gleichen Periode keine bestätigte SARS-CoV-2 Infektion hatten mit einer Odds Ratio von 0,075</w:t>
            </w:r>
          </w:p>
          <w:p>
            <w:pPr>
              <w:pStyle w:val="Liste2"/>
              <w:numPr>
                <w:ilvl w:val="1"/>
                <w:numId w:val="7"/>
              </w:numPr>
              <w:rPr>
                <w:lang w:val="de-DE"/>
              </w:rPr>
            </w:pPr>
            <w:r>
              <w:rPr>
                <w:lang w:val="de-DE"/>
              </w:rPr>
              <w:t>Vorläufige Analysen deuten darauf hin, dass sich der Impfstatus der mit BA.4 und BA.5 infizierten Fälle nicht signifikant von dem der mit BA.2 infizierten Fälle unterscheidet, was darauf schließen lässt, dass der durch die Impfstoffe gewährte Schutz wahrscheinlich mit dem zuvor beobachteten vergleichbar ist.</w:t>
            </w:r>
          </w:p>
          <w:p>
            <w:pPr>
              <w:pStyle w:val="Liste2"/>
              <w:numPr>
                <w:ilvl w:val="1"/>
                <w:numId w:val="7"/>
              </w:numPr>
              <w:rPr>
                <w:lang w:val="de-DE"/>
              </w:rPr>
            </w:pPr>
            <w:r>
              <w:rPr>
                <w:lang w:val="de-DE"/>
              </w:rPr>
              <w:t>Länderfokus Indien: Omikron Subvariante 2.7.5 erstmals in Indien sequenziert (KW21), Verlauf in Indien seit 10.02.22, Fallzahlen steigen wieder an. BA.2 und BA.5 wurden in Indien sequenziert. Bisher liegen noch keine Sequenzen aus dem Juli vor, letzte Sequenzen aus dem Juni. Dort lagen 4.000 Sequenzen vor, 155 hiervon waren BA.2.7.5. Verteilung in 13 Regionen. 13.-27.6 war BA.2 dominant (78%), gefolgt von BA.5 (20%).</w:t>
            </w:r>
          </w:p>
          <w:p>
            <w:pPr>
              <w:pStyle w:val="Liste2"/>
              <w:numPr>
                <w:ilvl w:val="0"/>
                <w:numId w:val="0"/>
              </w:numPr>
              <w:ind w:left="833"/>
              <w:rPr>
                <w:lang w:val="de-DE"/>
              </w:rPr>
            </w:pPr>
          </w:p>
          <w:p>
            <w:pPr>
              <w:pStyle w:val="2"/>
            </w:pPr>
            <w:r>
              <w:t xml:space="preserve">National </w:t>
            </w:r>
          </w:p>
          <w:p>
            <w:pPr>
              <w:pStyle w:val="Liste2"/>
            </w:pPr>
            <w:r>
              <w:t xml:space="preserve">Fallzahlen, </w:t>
            </w:r>
            <w:proofErr w:type="spellStart"/>
            <w:r>
              <w:t>Todesfälle</w:t>
            </w:r>
            <w:proofErr w:type="spellEnd"/>
            <w:r>
              <w:t xml:space="preserve">, Trend, </w:t>
            </w:r>
            <w:proofErr w:type="spellStart"/>
            <w:r>
              <w:t>Folien</w:t>
            </w:r>
            <w:proofErr w:type="spellEnd"/>
            <w:r>
              <w:t xml:space="preserve"> </w:t>
            </w:r>
            <w:hyperlink r:id="rId12" w:history="1">
              <w:proofErr w:type="spellStart"/>
              <w:r>
                <w:rPr>
                  <w:rStyle w:val="Hyperlink"/>
                </w:rPr>
                <w:t>hier</w:t>
              </w:r>
              <w:proofErr w:type="spellEnd"/>
            </w:hyperlink>
          </w:p>
          <w:p>
            <w:pPr>
              <w:pStyle w:val="Liste2"/>
            </w:pPr>
            <w:proofErr w:type="spellStart"/>
            <w:r>
              <w:t>SurvNet</w:t>
            </w:r>
            <w:proofErr w:type="spellEnd"/>
            <w:r>
              <w:t xml:space="preserve"> übermittelt: 29.308.100 (+127.611), davon 142.139 (+104) Todesfälle </w:t>
            </w:r>
          </w:p>
          <w:p>
            <w:pPr>
              <w:pStyle w:val="Liste2"/>
            </w:pPr>
            <w:r>
              <w:t xml:space="preserve">7-Tage-Inzidenz:  691,8/100.000 </w:t>
            </w:r>
            <w:proofErr w:type="spellStart"/>
            <w:r>
              <w:t>Einw</w:t>
            </w:r>
            <w:proofErr w:type="spellEnd"/>
            <w:r>
              <w:t>.</w:t>
            </w:r>
          </w:p>
          <w:p>
            <w:pPr>
              <w:pStyle w:val="Liste2"/>
            </w:pPr>
            <w:r>
              <w:t>Impfmonitoring: Geimpfte mit 1. Dosis 64.714.929 (77,8%), mit vollständiger Impfung 51.338.510 (61,7%)</w:t>
            </w:r>
          </w:p>
          <w:p>
            <w:pPr>
              <w:pStyle w:val="Liste2"/>
            </w:pPr>
            <w:proofErr w:type="spellStart"/>
            <w:r>
              <w:t>Verlauf</w:t>
            </w:r>
            <w:proofErr w:type="spellEnd"/>
            <w:r>
              <w:t xml:space="preserve"> der 7-Tage-Inzidenz der Bundesländer:</w:t>
            </w:r>
          </w:p>
          <w:p>
            <w:pPr>
              <w:pStyle w:val="Liste3"/>
              <w:numPr>
                <w:ilvl w:val="1"/>
                <w:numId w:val="7"/>
              </w:numPr>
            </w:pPr>
            <w:r>
              <w:t>Effekt Kieler Woche mit hohen Fallzahlen in SH hat sich aufgelöst, Abnahme der Inzidenzen</w:t>
            </w:r>
          </w:p>
          <w:p>
            <w:pPr>
              <w:pStyle w:val="Liste3"/>
              <w:numPr>
                <w:ilvl w:val="1"/>
                <w:numId w:val="7"/>
              </w:numPr>
            </w:pPr>
            <w:r>
              <w:t>In allen Bundesländern stabile Entwicklung/Plateau Phase</w:t>
            </w:r>
          </w:p>
          <w:p>
            <w:pPr>
              <w:pStyle w:val="Liste2"/>
            </w:pPr>
            <w:r>
              <w:t>Geografische Verteilung 7-Tage-Inzidenz nach Landkreis</w:t>
            </w:r>
          </w:p>
          <w:p>
            <w:pPr>
              <w:pStyle w:val="Liste2"/>
              <w:numPr>
                <w:ilvl w:val="1"/>
                <w:numId w:val="7"/>
              </w:numPr>
              <w:rPr>
                <w:lang w:val="de-DE"/>
              </w:rPr>
            </w:pPr>
            <w:r>
              <w:rPr>
                <w:lang w:val="de-DE"/>
              </w:rPr>
              <w:t>Ein Landkreis mit Inzidenz über 2.000</w:t>
            </w:r>
          </w:p>
          <w:p>
            <w:pPr>
              <w:pStyle w:val="Liste2"/>
              <w:numPr>
                <w:ilvl w:val="1"/>
                <w:numId w:val="7"/>
              </w:numPr>
              <w:rPr>
                <w:lang w:val="de-DE"/>
              </w:rPr>
            </w:pPr>
            <w:r>
              <w:rPr>
                <w:lang w:val="de-DE"/>
              </w:rPr>
              <w:t>Abnahme in SH</w:t>
            </w:r>
          </w:p>
          <w:p>
            <w:pPr>
              <w:pStyle w:val="Liste2"/>
            </w:pPr>
            <w:r>
              <w:t>Heatmaps</w:t>
            </w:r>
          </w:p>
          <w:p>
            <w:pPr>
              <w:pStyle w:val="Liste2"/>
              <w:numPr>
                <w:ilvl w:val="1"/>
                <w:numId w:val="7"/>
              </w:numPr>
              <w:rPr>
                <w:lang w:val="de-DE"/>
              </w:rPr>
            </w:pPr>
            <w:r>
              <w:rPr>
                <w:lang w:val="de-DE"/>
              </w:rPr>
              <w:t xml:space="preserve">Plateau, keine große Änderung zur Vorwoche </w:t>
            </w:r>
          </w:p>
          <w:p>
            <w:pPr>
              <w:pStyle w:val="Liste3"/>
              <w:numPr>
                <w:ilvl w:val="1"/>
                <w:numId w:val="7"/>
              </w:numPr>
            </w:pPr>
            <w:r>
              <w:t>Höchste Inzidenz bei jungen Erwachsenen (25-29-Jährige)</w:t>
            </w:r>
          </w:p>
          <w:p>
            <w:pPr>
              <w:pStyle w:val="Liste2"/>
            </w:pPr>
            <w:r>
              <w:t>COVID-19-Fälle nach Altersgruppe und Sterbedatum</w:t>
            </w:r>
          </w:p>
          <w:p>
            <w:pPr>
              <w:pStyle w:val="Liste2"/>
              <w:numPr>
                <w:ilvl w:val="1"/>
                <w:numId w:val="7"/>
              </w:numPr>
              <w:rPr>
                <w:lang w:val="de-DE"/>
              </w:rPr>
            </w:pPr>
            <w:r>
              <w:rPr>
                <w:lang w:val="de-DE"/>
              </w:rPr>
              <w:t>Plateau, keine Zuwächse</w:t>
            </w:r>
          </w:p>
          <w:p>
            <w:pPr>
              <w:pStyle w:val="Liste2"/>
            </w:pPr>
            <w:r>
              <w:t>Wöchentliche Sterbefallzahlen</w:t>
            </w:r>
          </w:p>
          <w:p>
            <w:pPr>
              <w:pStyle w:val="Liste2"/>
              <w:numPr>
                <w:ilvl w:val="1"/>
                <w:numId w:val="7"/>
              </w:numPr>
              <w:rPr>
                <w:lang w:val="de-DE"/>
              </w:rPr>
            </w:pPr>
            <w:r>
              <w:rPr>
                <w:lang w:val="de-DE"/>
              </w:rPr>
              <w:t>Starke Übersterblichkeit auf starke Hitze im Juni zurückzuführen, nicht auf COVID-19</w:t>
            </w:r>
          </w:p>
          <w:p>
            <w:pPr>
              <w:pStyle w:val="Liste2"/>
              <w:numPr>
                <w:ilvl w:val="0"/>
                <w:numId w:val="0"/>
              </w:numPr>
              <w:rPr>
                <w:lang w:val="de-DE"/>
              </w:rPr>
            </w:pPr>
          </w:p>
          <w:p>
            <w:pPr>
              <w:pStyle w:val="Liste2"/>
              <w:numPr>
                <w:ilvl w:val="0"/>
                <w:numId w:val="0"/>
              </w:numPr>
              <w:rPr>
                <w:i/>
                <w:lang w:val="de-DE"/>
              </w:rPr>
            </w:pPr>
            <w:r>
              <w:rPr>
                <w:i/>
                <w:lang w:val="de-DE"/>
              </w:rPr>
              <w:t>Diskussion</w:t>
            </w:r>
          </w:p>
          <w:p>
            <w:pPr>
              <w:pStyle w:val="Liste2"/>
            </w:pPr>
            <w:r>
              <w:t>Niedersachsen hat aufgrund technischer Probleme zu wenig Fälle gemeldet (18.000 erwartet, 6.000 gemeldet). NS hat sich an Pressestelle RKI gewendet. NS hat PM abgegeben, technisches Problem wurde gelöst.</w:t>
            </w:r>
          </w:p>
          <w:p>
            <w:pPr>
              <w:pStyle w:val="Liste2"/>
              <w:numPr>
                <w:ilvl w:val="0"/>
                <w:numId w:val="0"/>
              </w:numPr>
              <w:ind w:left="833" w:hanging="360"/>
            </w:pPr>
          </w:p>
          <w:p>
            <w:pPr>
              <w:pStyle w:val="Liste2"/>
              <w:numPr>
                <w:ilvl w:val="0"/>
                <w:numId w:val="0"/>
              </w:numPr>
              <w:ind w:left="833" w:hanging="360"/>
            </w:pPr>
          </w:p>
          <w:p>
            <w:pPr>
              <w:pStyle w:val="Liste2"/>
            </w:pPr>
            <w:r>
              <w:t>VOC-Bericht</w:t>
            </w:r>
          </w:p>
          <w:p>
            <w:pPr>
              <w:pStyle w:val="Liste2"/>
              <w:numPr>
                <w:ilvl w:val="1"/>
                <w:numId w:val="7"/>
              </w:numPr>
              <w:rPr>
                <w:lang w:val="de-DE"/>
              </w:rPr>
            </w:pPr>
            <w:r>
              <w:rPr>
                <w:lang w:val="de-DE"/>
              </w:rPr>
              <w:t>BA.5 Anteil vergrößert sich auf 83%</w:t>
            </w:r>
          </w:p>
          <w:p>
            <w:pPr>
              <w:pStyle w:val="Liste2"/>
              <w:numPr>
                <w:ilvl w:val="1"/>
                <w:numId w:val="7"/>
              </w:numPr>
              <w:rPr>
                <w:lang w:val="de-DE"/>
              </w:rPr>
            </w:pPr>
            <w:r>
              <w:rPr>
                <w:lang w:val="de-DE"/>
              </w:rPr>
              <w:t>Andere Varianten nicht mehr nachgewiesen oder rückläufig</w:t>
            </w:r>
          </w:p>
          <w:p>
            <w:pPr>
              <w:pStyle w:val="Liste2"/>
              <w:numPr>
                <w:ilvl w:val="1"/>
                <w:numId w:val="7"/>
              </w:numPr>
              <w:rPr>
                <w:lang w:val="de-DE"/>
              </w:rPr>
            </w:pPr>
            <w:r>
              <w:rPr>
                <w:lang w:val="de-DE"/>
              </w:rPr>
              <w:t>Stagnation von BA.2.12.1 und BA.4</w:t>
            </w:r>
          </w:p>
          <w:p>
            <w:pPr>
              <w:pStyle w:val="Liste2"/>
              <w:numPr>
                <w:ilvl w:val="1"/>
                <w:numId w:val="7"/>
              </w:numPr>
              <w:rPr>
                <w:lang w:val="de-DE"/>
              </w:rPr>
            </w:pPr>
            <w:r>
              <w:rPr>
                <w:lang w:val="de-DE"/>
              </w:rPr>
              <w:t>BE.1 und BA.5.1 stärkste Sublinien von BA.5</w:t>
            </w:r>
          </w:p>
          <w:p>
            <w:pPr>
              <w:pStyle w:val="Liste2"/>
              <w:numPr>
                <w:ilvl w:val="1"/>
                <w:numId w:val="7"/>
              </w:numPr>
              <w:rPr>
                <w:lang w:val="de-DE"/>
              </w:rPr>
            </w:pPr>
            <w:r>
              <w:rPr>
                <w:lang w:val="de-DE"/>
              </w:rPr>
              <w:t>Aufgrund der hohen Anzahl an Sublinien werden Grafiken nun anders aufbereitet. Einführung von zwei Graphiken. Erste stellt eine grobe Übersicht über VOC dar (Obervarianten), genauere Darstellung in zweiter Grafik. Hier werden die aktuell dominierenden Varianten diversifiziert in Sublinien dargestellt</w:t>
            </w:r>
          </w:p>
          <w:p>
            <w:pPr>
              <w:pStyle w:val="Liste2"/>
              <w:numPr>
                <w:ilvl w:val="1"/>
                <w:numId w:val="7"/>
              </w:numPr>
              <w:rPr>
                <w:lang w:val="de-DE"/>
              </w:rPr>
            </w:pPr>
            <w:r>
              <w:rPr>
                <w:lang w:val="de-DE"/>
              </w:rPr>
              <w:t xml:space="preserve">Neue Linie BA.2.75 zunächst in Indien nachgewiesen. 5 Sequenzen, davon 3 in Stichprobe. Probenentnahme fand Anfang Juni statt. Aufgrund geringen Sequenzierungsumfangs und starker Verbreitung in verschiedenen Regionen, wird vermutet, dass es sich um eine Untererfassung </w:t>
            </w:r>
            <w:r>
              <w:rPr>
                <w:lang w:val="de-DE"/>
              </w:rPr>
              <w:lastRenderedPageBreak/>
              <w:t>handelt. Fälle verbreiten sich über Bundesländer, keine Reiseanamnese/Zusammenhang erkennbar</w:t>
            </w:r>
          </w:p>
          <w:p>
            <w:pPr>
              <w:pStyle w:val="Liste2"/>
              <w:numPr>
                <w:ilvl w:val="1"/>
                <w:numId w:val="7"/>
              </w:numPr>
              <w:rPr>
                <w:lang w:val="de-DE"/>
              </w:rPr>
            </w:pPr>
            <w:r>
              <w:rPr>
                <w:lang w:val="de-DE"/>
              </w:rPr>
              <w:t xml:space="preserve">Keine Hospitalisierung der Fälle </w:t>
            </w:r>
          </w:p>
          <w:p>
            <w:pPr>
              <w:pStyle w:val="Liste2"/>
              <w:numPr>
                <w:ilvl w:val="0"/>
                <w:numId w:val="0"/>
              </w:numPr>
            </w:pPr>
          </w:p>
          <w:p>
            <w:pPr>
              <w:pStyle w:val="Liste2"/>
            </w:pPr>
            <w:r>
              <w:t>Syndromische Surveillance</w:t>
            </w:r>
            <w:r>
              <w:rPr>
                <w:rStyle w:val="TagMiZchn"/>
              </w:rPr>
              <w:t xml:space="preserve"> </w:t>
            </w:r>
          </w:p>
          <w:p>
            <w:pPr>
              <w:pStyle w:val="Liste2"/>
            </w:pPr>
            <w:proofErr w:type="spellStart"/>
            <w:r>
              <w:t>GrippeWeb</w:t>
            </w:r>
            <w:proofErr w:type="spellEnd"/>
          </w:p>
          <w:p>
            <w:pPr>
              <w:pStyle w:val="Liste3"/>
              <w:numPr>
                <w:ilvl w:val="0"/>
                <w:numId w:val="0"/>
              </w:numPr>
              <w:ind w:left="1193"/>
            </w:pPr>
            <w:r>
              <w:t>Der Wert (gesamt) lag in der 27. KW 2022 bei 6.000 ARE (Vorwoche: 5.300) pro 100.000 Einwohner.</w:t>
            </w:r>
          </w:p>
          <w:p>
            <w:pPr>
              <w:pStyle w:val="Liste3"/>
              <w:numPr>
                <w:ilvl w:val="0"/>
                <w:numId w:val="0"/>
              </w:numPr>
              <w:ind w:left="1193"/>
            </w:pPr>
            <w:r>
              <w:t>Entspricht einer Gesamtzahl von 5,0 Mio. ARE in Deutschland, unabhängig von einem Arztbesuch (26. KW: ca. 4,4 Millionen).</w:t>
            </w:r>
          </w:p>
          <w:p>
            <w:pPr>
              <w:pStyle w:val="Liste3"/>
              <w:numPr>
                <w:ilvl w:val="1"/>
                <w:numId w:val="7"/>
              </w:numPr>
            </w:pPr>
            <w:r>
              <w:t>ARE gesamt: steigend 6 % (Vorwoche: 5,3 %); Vorwochenwert ist um 0,1 Prozentpunkte „gestiegen“</w:t>
            </w:r>
          </w:p>
          <w:p>
            <w:pPr>
              <w:pStyle w:val="Liste3"/>
              <w:numPr>
                <w:ilvl w:val="1"/>
                <w:numId w:val="7"/>
              </w:numPr>
            </w:pPr>
            <w:r>
              <w:t xml:space="preserve">  Trend: kein Rückgang zu erkennen, nach stabiler Phase ansteigend</w:t>
            </w:r>
          </w:p>
          <w:p>
            <w:pPr>
              <w:pStyle w:val="Liste3"/>
              <w:numPr>
                <w:ilvl w:val="1"/>
                <w:numId w:val="7"/>
              </w:numPr>
            </w:pPr>
            <w:r>
              <w:t>Anstieg bei Kindern (von 10,5 % auf 12,1 %), bei Erwachsenen: 5,0 % (Vorwoche: 4,5 %)</w:t>
            </w:r>
          </w:p>
          <w:p>
            <w:pPr>
              <w:pStyle w:val="Liste3"/>
              <w:numPr>
                <w:ilvl w:val="1"/>
                <w:numId w:val="7"/>
              </w:numPr>
            </w:pPr>
            <w:r>
              <w:rPr>
                <w:bCs/>
              </w:rPr>
              <w:t>ILI gesamt: minimal gesunken</w:t>
            </w:r>
            <w:r>
              <w:rPr>
                <w:b/>
                <w:bCs/>
              </w:rPr>
              <w:t xml:space="preserve"> </w:t>
            </w:r>
            <w:r>
              <w:t xml:space="preserve">(von 2,1 auf 1,9 %); (Wochenvorwert: 2,0 %); </w:t>
            </w:r>
          </w:p>
          <w:p>
            <w:pPr>
              <w:pStyle w:val="Liste3"/>
              <w:numPr>
                <w:ilvl w:val="1"/>
                <w:numId w:val="7"/>
              </w:numPr>
            </w:pPr>
            <w:r>
              <w:t>Rückgang bei den Kindern (bei Erwachsenen stabil)</w:t>
            </w:r>
          </w:p>
          <w:p>
            <w:pPr>
              <w:pStyle w:val="Liste2"/>
            </w:pPr>
            <w:r>
              <w:t>ARE-Konsultationen mit COVID-Diagnose / 100.000 Einwohner</w:t>
            </w:r>
          </w:p>
          <w:p>
            <w:pPr>
              <w:pStyle w:val="Liste3"/>
              <w:numPr>
                <w:ilvl w:val="1"/>
                <w:numId w:val="7"/>
              </w:numPr>
            </w:pPr>
            <w:r>
              <w:t>In der 27. KW wurden bundesweit etwas weniger Arzt</w:t>
            </w:r>
            <w:r>
              <w:softHyphen/>
              <w:t>be</w:t>
            </w:r>
            <w:r>
              <w:softHyphen/>
              <w:t>su</w:t>
            </w:r>
            <w:r>
              <w:softHyphen/>
              <w:t>che wegen ARE regis</w:t>
            </w:r>
            <w:r>
              <w:softHyphen/>
              <w:t>triert als in der Vor</w:t>
            </w:r>
            <w:r>
              <w:softHyphen/>
              <w:t>woche; aber: es gab für die Vorwoche noch eine Reihe von Nachmeldungen, sodass der Trend eher stabil ist</w:t>
            </w:r>
          </w:p>
          <w:p>
            <w:pPr>
              <w:pStyle w:val="Liste3"/>
              <w:numPr>
                <w:ilvl w:val="1"/>
                <w:numId w:val="7"/>
              </w:numPr>
            </w:pPr>
            <w:r>
              <w:t>Ca. 1.500 Arztkonsultationen wegen ARE pro 100.000 EW</w:t>
            </w:r>
          </w:p>
          <w:p>
            <w:pPr>
              <w:pStyle w:val="Liste3"/>
              <w:numPr>
                <w:ilvl w:val="1"/>
                <w:numId w:val="7"/>
              </w:numPr>
            </w:pPr>
            <w:r>
              <w:t>27. KW 2022: ca. 1,2 Mio. Arzt­besuche wegen ARE in Deutschland</w:t>
            </w:r>
          </w:p>
          <w:p>
            <w:pPr>
              <w:pStyle w:val="Liste3"/>
              <w:numPr>
                <w:ilvl w:val="1"/>
                <w:numId w:val="7"/>
              </w:numPr>
            </w:pPr>
            <w:r>
              <w:t>KI im Vergleich zur Vorwoche insgesamt: stabil, Liegt in KW 27 insgesamt mit 1.503 (Vorwoche: 1.554) minimal höher als in 26. KW</w:t>
            </w:r>
          </w:p>
          <w:p>
            <w:pPr>
              <w:pStyle w:val="Liste2"/>
            </w:pPr>
            <w:r>
              <w:t>ARE-Konsultationen mit COVID-Diagnose / 100.000 Einwohner</w:t>
            </w:r>
          </w:p>
          <w:p>
            <w:pPr>
              <w:pStyle w:val="Liste2"/>
              <w:numPr>
                <w:ilvl w:val="1"/>
                <w:numId w:val="7"/>
              </w:numPr>
              <w:rPr>
                <w:lang w:val="de-DE"/>
              </w:rPr>
            </w:pPr>
            <w:r>
              <w:rPr>
                <w:lang w:val="de-DE"/>
              </w:rPr>
              <w:t>seit KW 22/2022 wird insgesamt wieder ein Anstieg der Arztkonsultationen wegen COVID-ARE beobachtet, KW 27/2022 weitestgehend stabil im Vergleich zur Vorwoche</w:t>
            </w:r>
          </w:p>
          <w:p>
            <w:pPr>
              <w:pStyle w:val="Liste2"/>
            </w:pPr>
            <w:r>
              <w:t>SEED-ARE mit COVID-19 Konsultationen in Altersgruppe bis zur 27. KW 2022</w:t>
            </w:r>
          </w:p>
          <w:p>
            <w:pPr>
              <w:pStyle w:val="Liste3"/>
              <w:numPr>
                <w:ilvl w:val="1"/>
                <w:numId w:val="7"/>
              </w:numPr>
            </w:pPr>
            <w:r>
              <w:t>in KW 27/2022 sind die Werte in den Altersgruppen der 5- bis 59-Jährigen im Vergleich zur Vorwoche weitestgehend stabil geblieben, in den anderen Altersgruppen gesunken</w:t>
            </w:r>
          </w:p>
          <w:p>
            <w:pPr>
              <w:pStyle w:val="Liste3"/>
              <w:numPr>
                <w:ilvl w:val="1"/>
                <w:numId w:val="7"/>
              </w:numPr>
            </w:pPr>
            <w:r>
              <w:t>seit KW 22/2022 z.T. deutlicher Anstieg der Werte, insbesondere in den Altersgruppen 15-79 Jahre</w:t>
            </w:r>
          </w:p>
          <w:p>
            <w:pPr>
              <w:pStyle w:val="Liste2"/>
            </w:pPr>
            <w:r>
              <w:t xml:space="preserve">ICOSARI </w:t>
            </w:r>
          </w:p>
          <w:p>
            <w:pPr>
              <w:pStyle w:val="Liste3"/>
              <w:numPr>
                <w:ilvl w:val="1"/>
                <w:numId w:val="7"/>
              </w:numPr>
            </w:pPr>
            <w:r>
              <w:t xml:space="preserve"> SARI-Fallzahlen in KW 27 weiter eher stabil auf Sommerniveau</w:t>
            </w:r>
          </w:p>
          <w:p>
            <w:pPr>
              <w:pStyle w:val="Liste3"/>
              <w:numPr>
                <w:ilvl w:val="1"/>
                <w:numId w:val="7"/>
              </w:numPr>
            </w:pPr>
            <w:r>
              <w:t>SARI-ICU seit KW 24 etwas über den üblichen Werten, aber weiter auf Sommerniveau</w:t>
            </w:r>
          </w:p>
          <w:p>
            <w:pPr>
              <w:pStyle w:val="Liste3"/>
              <w:numPr>
                <w:ilvl w:val="1"/>
                <w:numId w:val="7"/>
              </w:numPr>
            </w:pPr>
            <w:r>
              <w:lastRenderedPageBreak/>
              <w:t xml:space="preserve">Anteil COVID-19 an SARI ist in den letzten Wochen angestiegen, KW 27: 41 % (Vorwoche: 39 %) </w:t>
            </w:r>
          </w:p>
          <w:p>
            <w:pPr>
              <w:pStyle w:val="Liste3"/>
              <w:numPr>
                <w:ilvl w:val="1"/>
                <w:numId w:val="7"/>
              </w:numPr>
            </w:pPr>
            <w:r>
              <w:t xml:space="preserve">Anteil COVID-19 an SARI </w:t>
            </w:r>
            <w:r>
              <w:rPr>
                <w:bCs/>
              </w:rPr>
              <w:t>mit Intensivbehandlung</w:t>
            </w:r>
            <w:r>
              <w:rPr>
                <w:b/>
                <w:bCs/>
              </w:rPr>
              <w:t xml:space="preserve"> </w:t>
            </w:r>
            <w:r>
              <w:t>47 % (Vorwoche: 29 %), Anstieg im Vgl. zur Vorwoche</w:t>
            </w:r>
          </w:p>
          <w:p>
            <w:pPr>
              <w:pStyle w:val="Liste2"/>
            </w:pPr>
            <w:r>
              <w:t xml:space="preserve">Hospitalisierungsinzidenz COVID-SARI </w:t>
            </w:r>
          </w:p>
          <w:p>
            <w:pPr>
              <w:pStyle w:val="Liste3"/>
              <w:numPr>
                <w:ilvl w:val="1"/>
                <w:numId w:val="7"/>
              </w:numPr>
            </w:pPr>
            <w:r>
              <w:t>3,7 COVID-SARI pro 100.000</w:t>
            </w:r>
          </w:p>
          <w:p>
            <w:pPr>
              <w:pStyle w:val="Liste3"/>
              <w:numPr>
                <w:ilvl w:val="1"/>
                <w:numId w:val="7"/>
              </w:numPr>
            </w:pPr>
            <w:r>
              <w:t>Entspricht ca. 2.600 neuen Krankenhausaufnahmen wegen COVID-SARI in D.</w:t>
            </w:r>
          </w:p>
          <w:p>
            <w:pPr>
              <w:pStyle w:val="Liste2"/>
              <w:rPr>
                <w:lang w:val="de-DE"/>
              </w:rPr>
            </w:pPr>
            <w:r>
              <w:rPr>
                <w:lang w:val="de-DE"/>
              </w:rPr>
              <w:t>Entwicklung COVID-SARI 17. KW bis 27. KW 2022</w:t>
            </w:r>
          </w:p>
          <w:p>
            <w:pPr>
              <w:pStyle w:val="Liste3"/>
              <w:numPr>
                <w:ilvl w:val="1"/>
                <w:numId w:val="7"/>
              </w:numPr>
              <w:rPr>
                <w:bCs/>
              </w:rPr>
            </w:pPr>
            <w:r>
              <w:rPr>
                <w:bCs/>
              </w:rPr>
              <w:t xml:space="preserve">Seit KW 22 verzeichneter Anstieg der COVID-SARI-Fälle insbesondere in den Altersgruppen 60-79 und 80 hat sich abgeschwächt </w:t>
            </w:r>
          </w:p>
          <w:p>
            <w:pPr>
              <w:pStyle w:val="Liste3"/>
              <w:numPr>
                <w:ilvl w:val="1"/>
                <w:numId w:val="7"/>
              </w:numPr>
              <w:rPr>
                <w:bCs/>
              </w:rPr>
            </w:pPr>
            <w:r>
              <w:rPr>
                <w:bCs/>
              </w:rPr>
              <w:t>Anstieg Todesfälle in KW 24/25 in AG 80+ hat sich aktuell nicht fortgesetzt</w:t>
            </w:r>
          </w:p>
          <w:p>
            <w:pPr>
              <w:pStyle w:val="Liste2"/>
              <w:numPr>
                <w:ilvl w:val="0"/>
                <w:numId w:val="0"/>
              </w:numPr>
              <w:ind w:left="833"/>
              <w:rPr>
                <w:i/>
                <w:color w:val="D99594" w:themeColor="accent2" w:themeTint="99"/>
                <w:lang w:val="de-DE"/>
              </w:rPr>
            </w:pPr>
          </w:p>
          <w:p>
            <w:pPr>
              <w:pStyle w:val="Liste2"/>
              <w:rPr>
                <w:rStyle w:val="TagMiZchn"/>
                <w:b w:val="0"/>
                <w:lang w:val="de-DE"/>
              </w:rPr>
            </w:pPr>
            <w:proofErr w:type="spellStart"/>
            <w:r>
              <w:t>Virologische</w:t>
            </w:r>
            <w:proofErr w:type="spellEnd"/>
            <w:r>
              <w:t xml:space="preserve"> Surveillance, NRZ Influenza-</w:t>
            </w:r>
            <w:proofErr w:type="spellStart"/>
            <w:r>
              <w:t>Daten</w:t>
            </w:r>
            <w:proofErr w:type="spellEnd"/>
            <w:r>
              <w:t xml:space="preserve"> </w:t>
            </w:r>
          </w:p>
          <w:p>
            <w:pPr>
              <w:pStyle w:val="Liste2"/>
              <w:numPr>
                <w:ilvl w:val="1"/>
                <w:numId w:val="7"/>
              </w:numPr>
              <w:rPr>
                <w:lang w:val="de-DE"/>
              </w:rPr>
            </w:pPr>
            <w:r>
              <w:rPr>
                <w:lang w:val="de-DE"/>
              </w:rPr>
              <w:t>SARS-CoV-2 auf 26% angestiegen (5.höchster Wert im Sentinel), auffällig.</w:t>
            </w:r>
          </w:p>
          <w:p>
            <w:pPr>
              <w:pStyle w:val="Liste2"/>
              <w:numPr>
                <w:ilvl w:val="1"/>
                <w:numId w:val="7"/>
              </w:numPr>
              <w:rPr>
                <w:lang w:val="de-DE"/>
              </w:rPr>
            </w:pPr>
            <w:r>
              <w:rPr>
                <w:lang w:val="de-DE"/>
              </w:rPr>
              <w:t>Kein Nachweis von endemischen Corona Viren</w:t>
            </w:r>
          </w:p>
          <w:p>
            <w:pPr>
              <w:pStyle w:val="Liste2"/>
              <w:numPr>
                <w:ilvl w:val="1"/>
                <w:numId w:val="7"/>
              </w:numPr>
              <w:rPr>
                <w:lang w:val="de-DE"/>
              </w:rPr>
            </w:pPr>
            <w:r>
              <w:rPr>
                <w:lang w:val="de-DE"/>
              </w:rPr>
              <w:t>Alle AG betroffen, ältere AG nach wie vor am stärksten</w:t>
            </w:r>
          </w:p>
          <w:p>
            <w:pPr>
              <w:pStyle w:val="Liste2"/>
              <w:numPr>
                <w:ilvl w:val="1"/>
                <w:numId w:val="7"/>
              </w:numPr>
              <w:rPr>
                <w:lang w:val="de-DE"/>
              </w:rPr>
            </w:pPr>
            <w:r>
              <w:rPr>
                <w:lang w:val="de-DE"/>
              </w:rPr>
              <w:t xml:space="preserve">Influenza Viren H3N2 rückläufig (4% </w:t>
            </w:r>
            <w:proofErr w:type="spellStart"/>
            <w:r>
              <w:rPr>
                <w:lang w:val="de-DE"/>
              </w:rPr>
              <w:t>Positivenrate</w:t>
            </w:r>
            <w:proofErr w:type="spellEnd"/>
            <w:r>
              <w:rPr>
                <w:lang w:val="de-DE"/>
              </w:rPr>
              <w:t>)</w:t>
            </w:r>
          </w:p>
          <w:p>
            <w:pPr>
              <w:pStyle w:val="Liste2"/>
              <w:numPr>
                <w:ilvl w:val="1"/>
                <w:numId w:val="7"/>
              </w:numPr>
              <w:rPr>
                <w:lang w:val="de-DE"/>
              </w:rPr>
            </w:pPr>
            <w:r>
              <w:rPr>
                <w:lang w:val="de-DE"/>
              </w:rPr>
              <w:t xml:space="preserve">Andere respiratorische Viren: PIV hohes Niveau (20%), gefolgt von </w:t>
            </w:r>
            <w:proofErr w:type="spellStart"/>
            <w:r>
              <w:rPr>
                <w:lang w:val="de-DE"/>
              </w:rPr>
              <w:t>Rhinoviren</w:t>
            </w:r>
            <w:proofErr w:type="spellEnd"/>
            <w:r>
              <w:rPr>
                <w:lang w:val="de-DE"/>
              </w:rPr>
              <w:t xml:space="preserve"> (14%), kein Nachweis von RSV</w:t>
            </w:r>
          </w:p>
          <w:p>
            <w:pPr>
              <w:pStyle w:val="Liste2"/>
              <w:numPr>
                <w:ilvl w:val="0"/>
                <w:numId w:val="0"/>
              </w:numPr>
              <w:ind w:left="1553"/>
              <w:rPr>
                <w:lang w:val="de-DE"/>
              </w:rPr>
            </w:pPr>
          </w:p>
          <w:p>
            <w:pPr>
              <w:pStyle w:val="Liste2"/>
              <w:rPr>
                <w:rStyle w:val="TagMiZchn"/>
                <w:b w:val="0"/>
                <w:bCs/>
                <w:lang w:val="de-DE"/>
              </w:rPr>
            </w:pPr>
            <w:proofErr w:type="spellStart"/>
            <w:r>
              <w:t>Zahlen</w:t>
            </w:r>
            <w:proofErr w:type="spellEnd"/>
            <w:r>
              <w:t xml:space="preserve"> </w:t>
            </w:r>
            <w:proofErr w:type="spellStart"/>
            <w:r>
              <w:t>zum</w:t>
            </w:r>
            <w:proofErr w:type="spellEnd"/>
            <w:r>
              <w:t xml:space="preserve"> DIVI-</w:t>
            </w:r>
            <w:proofErr w:type="spellStart"/>
            <w:r>
              <w:t>Intensivregister</w:t>
            </w:r>
            <w:proofErr w:type="spellEnd"/>
            <w:r>
              <w:t xml:space="preserve"> </w:t>
            </w:r>
          </w:p>
          <w:p>
            <w:pPr>
              <w:pStyle w:val="Liste2"/>
              <w:rPr>
                <w:rStyle w:val="3Zchn"/>
                <w:b w:val="0"/>
                <w:bCs/>
              </w:rPr>
            </w:pPr>
            <w:r>
              <w:rPr>
                <w:rStyle w:val="3Zchn"/>
                <w:b w:val="0"/>
                <w:bCs/>
              </w:rPr>
              <w:t>DIVI-Intensivregister</w:t>
            </w:r>
          </w:p>
          <w:p>
            <w:pPr>
              <w:pStyle w:val="Liste2"/>
              <w:numPr>
                <w:ilvl w:val="1"/>
                <w:numId w:val="7"/>
              </w:numPr>
              <w:rPr>
                <w:rStyle w:val="3Zchn"/>
                <w:b w:val="0"/>
                <w:bCs/>
              </w:rPr>
            </w:pPr>
            <w:r>
              <w:rPr>
                <w:rStyle w:val="3Zchn"/>
                <w:b w:val="0"/>
                <w:bCs/>
              </w:rPr>
              <w:t xml:space="preserve">Mit Stand 136.07.2022 werden 1.232 COVID-19-Patient*innen auf Intensivstationen (der ca. 1.300 Akutkrankenhäuser) behandelt. </w:t>
            </w:r>
          </w:p>
          <w:p>
            <w:pPr>
              <w:pStyle w:val="Liste3"/>
              <w:numPr>
                <w:ilvl w:val="1"/>
                <w:numId w:val="7"/>
              </w:numPr>
              <w:rPr>
                <w:rStyle w:val="3Zchn"/>
                <w:b w:val="0"/>
                <w:bCs/>
              </w:rPr>
            </w:pPr>
            <w:r>
              <w:rPr>
                <w:rStyle w:val="3Zchn"/>
                <w:b w:val="0"/>
                <w:bCs/>
              </w:rPr>
              <w:t>Weiterhin Anstieg der COVID-ITS-Belegung</w:t>
            </w:r>
          </w:p>
          <w:p>
            <w:pPr>
              <w:pStyle w:val="Liste3"/>
              <w:numPr>
                <w:ilvl w:val="1"/>
                <w:numId w:val="7"/>
              </w:numPr>
              <w:rPr>
                <w:rStyle w:val="3Zchn"/>
                <w:b w:val="0"/>
                <w:bCs/>
              </w:rPr>
            </w:pPr>
            <w:r>
              <w:rPr>
                <w:rStyle w:val="3Zchn"/>
                <w:b w:val="0"/>
                <w:bCs/>
              </w:rPr>
              <w:t>ITS-COVID-Neuaufnahmen mit +1.122 in den letzten 7 Tagen</w:t>
            </w:r>
          </w:p>
          <w:p>
            <w:pPr>
              <w:pStyle w:val="Liste3"/>
              <w:numPr>
                <w:ilvl w:val="1"/>
                <w:numId w:val="7"/>
              </w:numPr>
              <w:rPr>
                <w:rStyle w:val="3Zchn"/>
                <w:b w:val="0"/>
                <w:bCs/>
              </w:rPr>
            </w:pPr>
            <w:r>
              <w:rPr>
                <w:rStyle w:val="3Zchn"/>
                <w:b w:val="0"/>
                <w:bCs/>
              </w:rPr>
              <w:t>Weiterhin Anstieg der verstorbenen ITS-Patient Innen zu verzeichnen</w:t>
            </w:r>
          </w:p>
          <w:p>
            <w:pPr>
              <w:pStyle w:val="Liste3"/>
              <w:numPr>
                <w:ilvl w:val="1"/>
                <w:numId w:val="7"/>
              </w:numPr>
              <w:rPr>
                <w:rStyle w:val="3Zchn"/>
                <w:b w:val="0"/>
                <w:bCs/>
              </w:rPr>
            </w:pPr>
            <w:r>
              <w:rPr>
                <w:rStyle w:val="3Zchn"/>
                <w:b w:val="0"/>
                <w:bCs/>
              </w:rPr>
              <w:t>Anteil der COVID-19-Patient*innen an der Gesamtzahl betreibbarer ITS-Betten</w:t>
            </w:r>
          </w:p>
          <w:p>
            <w:pPr>
              <w:pStyle w:val="Liste3"/>
              <w:numPr>
                <w:ilvl w:val="2"/>
                <w:numId w:val="7"/>
              </w:numPr>
              <w:rPr>
                <w:rStyle w:val="3Zchn"/>
                <w:b w:val="0"/>
                <w:bCs/>
              </w:rPr>
            </w:pPr>
            <w:r>
              <w:rPr>
                <w:rStyle w:val="3Zchn"/>
                <w:b w:val="0"/>
                <w:bCs/>
              </w:rPr>
              <w:t>Der Anstieg der COVID-19-</w:t>
            </w:r>
            <w:proofErr w:type="gramStart"/>
            <w:r>
              <w:rPr>
                <w:rStyle w:val="3Zchn"/>
                <w:b w:val="0"/>
                <w:bCs/>
              </w:rPr>
              <w:t>Patient:innen</w:t>
            </w:r>
            <w:proofErr w:type="gramEnd"/>
            <w:r>
              <w:rPr>
                <w:rStyle w:val="3Zchn"/>
                <w:b w:val="0"/>
                <w:bCs/>
              </w:rPr>
              <w:t xml:space="preserve"> an den Betten liegt aktuell zwischen 3,5% und 7%</w:t>
            </w:r>
          </w:p>
          <w:p>
            <w:pPr>
              <w:pStyle w:val="Liste3"/>
              <w:numPr>
                <w:ilvl w:val="2"/>
                <w:numId w:val="7"/>
              </w:numPr>
              <w:rPr>
                <w:rStyle w:val="3Zchn"/>
                <w:b w:val="0"/>
                <w:bCs/>
              </w:rPr>
            </w:pPr>
            <w:r>
              <w:rPr>
                <w:rStyle w:val="3Zchn"/>
                <w:b w:val="0"/>
                <w:bCs/>
              </w:rPr>
              <w:t>In Bremen liegt der Anteil aktuell um die 12%, in Hamburg um die 9%</w:t>
            </w:r>
          </w:p>
          <w:p>
            <w:pPr>
              <w:pStyle w:val="Liste3"/>
              <w:numPr>
                <w:ilvl w:val="2"/>
                <w:numId w:val="7"/>
              </w:numPr>
              <w:rPr>
                <w:rStyle w:val="3Zchn"/>
                <w:b w:val="0"/>
                <w:bCs/>
              </w:rPr>
            </w:pPr>
            <w:r>
              <w:rPr>
                <w:rStyle w:val="3Zchn"/>
                <w:b w:val="0"/>
                <w:bCs/>
              </w:rPr>
              <w:t>SH Rückgang auf Plateau</w:t>
            </w:r>
          </w:p>
          <w:p>
            <w:pPr>
              <w:pStyle w:val="Liste3"/>
              <w:numPr>
                <w:ilvl w:val="2"/>
                <w:numId w:val="7"/>
              </w:numPr>
              <w:rPr>
                <w:rStyle w:val="3Zchn"/>
                <w:b w:val="0"/>
                <w:bCs/>
              </w:rPr>
            </w:pPr>
            <w:r>
              <w:rPr>
                <w:rStyle w:val="3Zchn"/>
                <w:b w:val="0"/>
                <w:bCs/>
              </w:rPr>
              <w:t>NRW ist mit 3% auf 6% verhältnismäßig stark angestiegen</w:t>
            </w:r>
          </w:p>
          <w:p>
            <w:pPr>
              <w:pStyle w:val="Liste3"/>
              <w:numPr>
                <w:ilvl w:val="1"/>
                <w:numId w:val="7"/>
              </w:numPr>
              <w:rPr>
                <w:rStyle w:val="3Zchn"/>
                <w:b w:val="0"/>
                <w:bCs/>
              </w:rPr>
            </w:pPr>
            <w:r>
              <w:rPr>
                <w:rStyle w:val="3Zchn"/>
                <w:b w:val="0"/>
                <w:bCs/>
              </w:rPr>
              <w:t>Behandlungsbelegung COVID-19 nach Schweregrad</w:t>
            </w:r>
          </w:p>
          <w:p>
            <w:pPr>
              <w:pStyle w:val="Liste3"/>
              <w:numPr>
                <w:ilvl w:val="2"/>
                <w:numId w:val="7"/>
              </w:numPr>
              <w:rPr>
                <w:rStyle w:val="3Zchn"/>
                <w:b w:val="0"/>
                <w:bCs/>
              </w:rPr>
            </w:pPr>
            <w:r>
              <w:rPr>
                <w:rStyle w:val="3Zchn"/>
                <w:b w:val="0"/>
                <w:bCs/>
              </w:rPr>
              <w:t>Anteil, die eine invasive Beatmung benötigen steigen an</w:t>
            </w:r>
          </w:p>
          <w:p>
            <w:pPr>
              <w:pStyle w:val="Liste3"/>
              <w:numPr>
                <w:ilvl w:val="2"/>
                <w:numId w:val="7"/>
              </w:numPr>
              <w:rPr>
                <w:rStyle w:val="3Zchn"/>
                <w:b w:val="0"/>
                <w:bCs/>
              </w:rPr>
            </w:pPr>
            <w:r>
              <w:rPr>
                <w:rStyle w:val="3Zchn"/>
                <w:b w:val="0"/>
                <w:bCs/>
              </w:rPr>
              <w:t>33% mit invasiver Beatmung</w:t>
            </w:r>
          </w:p>
          <w:p>
            <w:pPr>
              <w:pStyle w:val="Liste3"/>
              <w:numPr>
                <w:ilvl w:val="2"/>
                <w:numId w:val="7"/>
              </w:numPr>
              <w:rPr>
                <w:rStyle w:val="3Zchn"/>
                <w:b w:val="0"/>
                <w:bCs/>
              </w:rPr>
            </w:pPr>
            <w:r>
              <w:rPr>
                <w:rStyle w:val="3Zchn"/>
                <w:b w:val="0"/>
                <w:bCs/>
              </w:rPr>
              <w:t>43% unbekannte Behandlung, möglicherweise keine respiratorische Beatmung</w:t>
            </w:r>
          </w:p>
          <w:p>
            <w:pPr>
              <w:pStyle w:val="Liste3"/>
              <w:numPr>
                <w:ilvl w:val="2"/>
                <w:numId w:val="7"/>
              </w:numPr>
              <w:rPr>
                <w:rStyle w:val="3Zchn"/>
                <w:b w:val="0"/>
                <w:bCs/>
              </w:rPr>
            </w:pPr>
            <w:r>
              <w:rPr>
                <w:rStyle w:val="3Zchn"/>
                <w:b w:val="0"/>
                <w:bCs/>
              </w:rPr>
              <w:lastRenderedPageBreak/>
              <w:t>Bei allen Behandlungsgruppen (außer ECMO) ist ein Anstieg zu verzeichnen. Absolut steigen die Zahlen der verschiedenen Behandlungsgruppen, prozentual zeigt sich nun insgesamt ein Trend, dass vor allem die leichten Behandlungen anteilig zunehmen und die schweren Behandlungen anteilig abnehmen</w:t>
            </w:r>
          </w:p>
          <w:p>
            <w:pPr>
              <w:pStyle w:val="Liste3"/>
              <w:numPr>
                <w:ilvl w:val="2"/>
                <w:numId w:val="7"/>
              </w:numPr>
              <w:rPr>
                <w:rStyle w:val="3Zchn"/>
                <w:b w:val="0"/>
                <w:bCs/>
              </w:rPr>
            </w:pPr>
            <w:r>
              <w:rPr>
                <w:rStyle w:val="3Zchn"/>
                <w:b w:val="0"/>
                <w:bCs/>
              </w:rPr>
              <w:t>Der Zuwachs der Fallzahlen wird durch leichtere Behandlungs-Ebenen gesteuert</w:t>
            </w:r>
          </w:p>
          <w:p>
            <w:pPr>
              <w:pStyle w:val="Liste3"/>
              <w:numPr>
                <w:ilvl w:val="1"/>
                <w:numId w:val="7"/>
              </w:numPr>
              <w:rPr>
                <w:rStyle w:val="3Zchn"/>
                <w:b w:val="0"/>
                <w:bCs/>
              </w:rPr>
            </w:pPr>
            <w:r>
              <w:rPr>
                <w:rStyle w:val="3Zchn"/>
                <w:b w:val="0"/>
                <w:bCs/>
              </w:rPr>
              <w:t>Einschätzung Betriebssituation</w:t>
            </w:r>
          </w:p>
          <w:p>
            <w:pPr>
              <w:pStyle w:val="Liste3"/>
              <w:numPr>
                <w:ilvl w:val="2"/>
                <w:numId w:val="7"/>
              </w:numPr>
              <w:rPr>
                <w:rStyle w:val="3Zchn"/>
                <w:b w:val="0"/>
                <w:bCs/>
              </w:rPr>
            </w:pPr>
            <w:r>
              <w:rPr>
                <w:rStyle w:val="3Zchn"/>
                <w:b w:val="0"/>
                <w:bCs/>
              </w:rPr>
              <w:t>Belastung und Personalmangel steigt, 60% der MB melden ganze oder teilweise Einschränkung der Betriebssituation</w:t>
            </w:r>
          </w:p>
          <w:p>
            <w:pPr>
              <w:pStyle w:val="Liste3"/>
              <w:numPr>
                <w:ilvl w:val="2"/>
                <w:numId w:val="7"/>
              </w:numPr>
              <w:rPr>
                <w:rStyle w:val="3Zchn"/>
                <w:b w:val="0"/>
                <w:bCs/>
              </w:rPr>
            </w:pPr>
            <w:r>
              <w:rPr>
                <w:rStyle w:val="3Zchn"/>
                <w:b w:val="0"/>
                <w:bCs/>
              </w:rPr>
              <w:t>Personalmangel wird von 50% der Intensivstationen gemeldet</w:t>
            </w:r>
          </w:p>
          <w:p>
            <w:pPr>
              <w:pStyle w:val="Liste3"/>
              <w:numPr>
                <w:ilvl w:val="1"/>
                <w:numId w:val="7"/>
              </w:numPr>
              <w:rPr>
                <w:rStyle w:val="3Zchn"/>
                <w:b w:val="0"/>
                <w:bCs/>
              </w:rPr>
            </w:pPr>
            <w:r>
              <w:rPr>
                <w:rStyle w:val="3Zchn"/>
                <w:b w:val="0"/>
                <w:bCs/>
              </w:rPr>
              <w:t>Altersgruppen Entwicklung</w:t>
            </w:r>
          </w:p>
          <w:p>
            <w:pPr>
              <w:pStyle w:val="Liste3"/>
              <w:numPr>
                <w:ilvl w:val="2"/>
                <w:numId w:val="7"/>
              </w:numPr>
              <w:rPr>
                <w:rStyle w:val="3Zchn"/>
                <w:b w:val="0"/>
                <w:bCs/>
              </w:rPr>
            </w:pPr>
            <w:r>
              <w:rPr>
                <w:rStyle w:val="3Zchn"/>
                <w:b w:val="0"/>
                <w:bCs/>
              </w:rPr>
              <w:t>Anstieg in absoluten Zahlen wird von 60+ getrieben</w:t>
            </w:r>
          </w:p>
          <w:p>
            <w:pPr>
              <w:pStyle w:val="Liste3"/>
              <w:numPr>
                <w:ilvl w:val="2"/>
                <w:numId w:val="7"/>
              </w:numPr>
              <w:rPr>
                <w:rStyle w:val="3Zchn"/>
                <w:b w:val="0"/>
                <w:bCs/>
              </w:rPr>
            </w:pPr>
            <w:r>
              <w:rPr>
                <w:rStyle w:val="3Zchn"/>
                <w:b w:val="0"/>
                <w:bCs/>
              </w:rPr>
              <w:t>Anteil der 60+ hat sich bei 75% eingependelt</w:t>
            </w:r>
          </w:p>
          <w:p>
            <w:pPr>
              <w:pStyle w:val="Liste3"/>
              <w:numPr>
                <w:ilvl w:val="1"/>
                <w:numId w:val="7"/>
              </w:numPr>
              <w:rPr>
                <w:rStyle w:val="3Zchn"/>
                <w:b w:val="0"/>
                <w:bCs/>
              </w:rPr>
            </w:pPr>
            <w:proofErr w:type="spellStart"/>
            <w:r>
              <w:rPr>
                <w:rStyle w:val="3Zchn"/>
                <w:b w:val="0"/>
                <w:bCs/>
              </w:rPr>
              <w:t>SPoCK</w:t>
            </w:r>
            <w:proofErr w:type="spellEnd"/>
            <w:r>
              <w:rPr>
                <w:rStyle w:val="3Zchn"/>
                <w:b w:val="0"/>
                <w:bCs/>
              </w:rPr>
              <w:t>: Prognosen intensivpflichtiger COVID-19-Patient*innen</w:t>
            </w:r>
          </w:p>
          <w:p>
            <w:pPr>
              <w:pStyle w:val="Liste3"/>
              <w:numPr>
                <w:ilvl w:val="0"/>
                <w:numId w:val="0"/>
              </w:numPr>
              <w:ind w:left="1193"/>
              <w:rPr>
                <w:rStyle w:val="3Zchn"/>
                <w:b w:val="0"/>
                <w:bCs/>
              </w:rPr>
            </w:pPr>
            <w:r>
              <w:rPr>
                <w:rStyle w:val="3Zchn"/>
                <w:b w:val="0"/>
                <w:bCs/>
              </w:rPr>
              <w:t>Die Prognosen sagen einen Zuwachs der ITS-Belegung in allen BL voraus.</w:t>
            </w:r>
          </w:p>
          <w:p>
            <w:pPr>
              <w:pStyle w:val="Liste3"/>
              <w:numPr>
                <w:ilvl w:val="0"/>
                <w:numId w:val="0"/>
              </w:numPr>
              <w:rPr>
                <w:rStyle w:val="3Zchn"/>
                <w:b w:val="0"/>
                <w:bCs/>
              </w:rPr>
            </w:pPr>
          </w:p>
          <w:p>
            <w:pPr>
              <w:pStyle w:val="Liste3"/>
              <w:numPr>
                <w:ilvl w:val="0"/>
                <w:numId w:val="0"/>
              </w:numPr>
              <w:rPr>
                <w:rStyle w:val="3Zchn"/>
                <w:b w:val="0"/>
                <w:bCs/>
                <w:i/>
              </w:rPr>
            </w:pPr>
            <w:r>
              <w:rPr>
                <w:rStyle w:val="3Zchn"/>
                <w:b w:val="0"/>
                <w:bCs/>
                <w:i/>
              </w:rPr>
              <w:t>Projekt-Vorstellung</w:t>
            </w:r>
          </w:p>
          <w:p>
            <w:pPr>
              <w:pStyle w:val="Liste3"/>
              <w:numPr>
                <w:ilvl w:val="0"/>
                <w:numId w:val="0"/>
              </w:numPr>
              <w:rPr>
                <w:rStyle w:val="3Zchn"/>
                <w:b w:val="0"/>
                <w:bCs/>
              </w:rPr>
            </w:pPr>
            <w:r>
              <w:rPr>
                <w:rStyle w:val="3Zchn"/>
                <w:b w:val="0"/>
                <w:bCs/>
              </w:rPr>
              <w:t>Long-</w:t>
            </w:r>
            <w:proofErr w:type="spellStart"/>
            <w:r>
              <w:rPr>
                <w:rStyle w:val="3Zchn"/>
                <w:b w:val="0"/>
                <w:bCs/>
              </w:rPr>
              <w:t>Covid</w:t>
            </w:r>
            <w:proofErr w:type="spellEnd"/>
            <w:r>
              <w:rPr>
                <w:rStyle w:val="3Zchn"/>
                <w:b w:val="0"/>
                <w:bCs/>
              </w:rPr>
              <w:t>-Aktivitäten am RKI-Überblick</w:t>
            </w:r>
          </w:p>
          <w:p>
            <w:pPr>
              <w:pStyle w:val="Liste3"/>
              <w:numPr>
                <w:ilvl w:val="0"/>
                <w:numId w:val="10"/>
              </w:numPr>
              <w:rPr>
                <w:rStyle w:val="3Zchn"/>
                <w:b w:val="0"/>
                <w:bCs/>
                <w:lang w:val="en-US"/>
              </w:rPr>
            </w:pPr>
            <w:r>
              <w:rPr>
                <w:rStyle w:val="3Zchn"/>
                <w:b w:val="0"/>
                <w:bCs/>
                <w:lang w:val="en-US"/>
              </w:rPr>
              <w:t xml:space="preserve">Long COVID </w:t>
            </w:r>
            <w:proofErr w:type="spellStart"/>
            <w:r>
              <w:rPr>
                <w:rStyle w:val="3Zchn"/>
                <w:b w:val="0"/>
                <w:bCs/>
                <w:lang w:val="en-US"/>
              </w:rPr>
              <w:t>als</w:t>
            </w:r>
            <w:proofErr w:type="spellEnd"/>
            <w:r>
              <w:rPr>
                <w:rStyle w:val="3Zchn"/>
                <w:b w:val="0"/>
                <w:bCs/>
                <w:lang w:val="en-US"/>
              </w:rPr>
              <w:t xml:space="preserve"> Public Health Problem</w:t>
            </w:r>
          </w:p>
          <w:p>
            <w:pPr>
              <w:pStyle w:val="Liste3"/>
              <w:numPr>
                <w:ilvl w:val="1"/>
                <w:numId w:val="10"/>
              </w:numPr>
              <w:rPr>
                <w:rStyle w:val="3Zchn"/>
                <w:b w:val="0"/>
                <w:bCs/>
              </w:rPr>
            </w:pPr>
            <w:r>
              <w:rPr>
                <w:rStyle w:val="3Zchn"/>
                <w:b w:val="0"/>
                <w:bCs/>
              </w:rPr>
              <w:t>Sommer 2020: Erste Berichte in sozialen Medien zu „Long COVID“, zunehmend im Fokus von Wissenschaft und Politik</w:t>
            </w:r>
          </w:p>
          <w:p>
            <w:pPr>
              <w:pStyle w:val="Liste3"/>
              <w:numPr>
                <w:ilvl w:val="1"/>
                <w:numId w:val="10"/>
              </w:numPr>
              <w:rPr>
                <w:rStyle w:val="3Zchn"/>
                <w:b w:val="0"/>
                <w:bCs/>
              </w:rPr>
            </w:pPr>
            <w:r>
              <w:rPr>
                <w:rStyle w:val="3Zchn"/>
                <w:b w:val="0"/>
                <w:bCs/>
              </w:rPr>
              <w:t>Frühjahr 2021: Initiativbericht und Etablierung einer Arbeitsgruppe zu Long COVID am RKI</w:t>
            </w:r>
          </w:p>
          <w:p>
            <w:pPr>
              <w:pStyle w:val="Liste3"/>
              <w:numPr>
                <w:ilvl w:val="1"/>
                <w:numId w:val="10"/>
              </w:numPr>
              <w:rPr>
                <w:rStyle w:val="3Zchn"/>
                <w:b w:val="0"/>
                <w:bCs/>
              </w:rPr>
            </w:pPr>
            <w:r>
              <w:rPr>
                <w:rStyle w:val="3Zchn"/>
                <w:b w:val="0"/>
                <w:bCs/>
              </w:rPr>
              <w:t>Mai 2021: erste Inhalte zu Langzeitfolgen im SARS-CoV-2/COVID-19-Steckbrief, FAQs</w:t>
            </w:r>
          </w:p>
          <w:p>
            <w:pPr>
              <w:pStyle w:val="Liste3"/>
              <w:numPr>
                <w:ilvl w:val="1"/>
                <w:numId w:val="10"/>
              </w:numPr>
              <w:rPr>
                <w:rStyle w:val="3Zchn"/>
                <w:b w:val="0"/>
                <w:bCs/>
              </w:rPr>
            </w:pPr>
            <w:r>
              <w:rPr>
                <w:rStyle w:val="3Zchn"/>
                <w:b w:val="0"/>
                <w:bCs/>
              </w:rPr>
              <w:t xml:space="preserve">Juni-Dezember 2021: Interministerielle Arbeitsgruppe Long COVID (IMA) unter Vorsitz des BMG </w:t>
            </w:r>
          </w:p>
          <w:p>
            <w:pPr>
              <w:pStyle w:val="Liste3"/>
              <w:numPr>
                <w:ilvl w:val="1"/>
                <w:numId w:val="10"/>
              </w:numPr>
              <w:rPr>
                <w:rStyle w:val="3Zchn"/>
                <w:b w:val="0"/>
                <w:bCs/>
              </w:rPr>
            </w:pPr>
            <w:r>
              <w:rPr>
                <w:rStyle w:val="3Zchn"/>
                <w:b w:val="0"/>
                <w:bCs/>
              </w:rPr>
              <w:t>Dezember 2021: Projekt „Post-COVID-19“ BMG</w:t>
            </w:r>
          </w:p>
          <w:p>
            <w:pPr>
              <w:pStyle w:val="Liste3"/>
              <w:numPr>
                <w:ilvl w:val="0"/>
                <w:numId w:val="10"/>
              </w:numPr>
              <w:rPr>
                <w:rStyle w:val="3Zchn"/>
                <w:b w:val="0"/>
                <w:bCs/>
                <w:lang w:val="en-US"/>
              </w:rPr>
            </w:pPr>
            <w:proofErr w:type="spellStart"/>
            <w:r>
              <w:rPr>
                <w:rStyle w:val="3Zchn"/>
                <w:b w:val="0"/>
                <w:bCs/>
                <w:lang w:val="en-US"/>
              </w:rPr>
              <w:t>Epidemiologie</w:t>
            </w:r>
            <w:proofErr w:type="spellEnd"/>
            <w:r>
              <w:rPr>
                <w:rStyle w:val="3Zchn"/>
                <w:b w:val="0"/>
                <w:bCs/>
                <w:lang w:val="en-US"/>
              </w:rPr>
              <w:t xml:space="preserve"> und Public Health </w:t>
            </w:r>
            <w:proofErr w:type="spellStart"/>
            <w:r>
              <w:rPr>
                <w:rStyle w:val="3Zchn"/>
                <w:b w:val="0"/>
                <w:bCs/>
                <w:lang w:val="en-US"/>
              </w:rPr>
              <w:t>zu</w:t>
            </w:r>
            <w:proofErr w:type="spellEnd"/>
            <w:r>
              <w:rPr>
                <w:rStyle w:val="3Zchn"/>
                <w:b w:val="0"/>
                <w:bCs/>
                <w:lang w:val="en-US"/>
              </w:rPr>
              <w:t xml:space="preserve"> Long COVID</w:t>
            </w:r>
          </w:p>
          <w:p>
            <w:pPr>
              <w:pStyle w:val="Liste3"/>
              <w:numPr>
                <w:ilvl w:val="1"/>
                <w:numId w:val="10"/>
              </w:numPr>
              <w:rPr>
                <w:rStyle w:val="3Zchn"/>
                <w:b w:val="0"/>
                <w:bCs/>
              </w:rPr>
            </w:pPr>
            <w:r>
              <w:rPr>
                <w:rStyle w:val="3Zchn"/>
                <w:b w:val="0"/>
                <w:bCs/>
              </w:rPr>
              <w:t>Regelmäßige Aktualisierung der wissenschaftlichen Evidenz, Literaturrecherche</w:t>
            </w:r>
          </w:p>
          <w:p>
            <w:pPr>
              <w:pStyle w:val="Liste3"/>
              <w:numPr>
                <w:ilvl w:val="1"/>
                <w:numId w:val="10"/>
              </w:numPr>
              <w:rPr>
                <w:rStyle w:val="3Zchn"/>
                <w:b w:val="0"/>
                <w:bCs/>
              </w:rPr>
            </w:pPr>
            <w:r>
              <w:rPr>
                <w:rStyle w:val="3Zchn"/>
                <w:b w:val="0"/>
                <w:bCs/>
              </w:rPr>
              <w:t xml:space="preserve">Systematische </w:t>
            </w:r>
            <w:proofErr w:type="spellStart"/>
            <w:r>
              <w:rPr>
                <w:rStyle w:val="3Zchn"/>
                <w:b w:val="0"/>
                <w:bCs/>
              </w:rPr>
              <w:t>Evidenzsythesen</w:t>
            </w:r>
            <w:proofErr w:type="spellEnd"/>
            <w:r>
              <w:rPr>
                <w:rStyle w:val="3Zchn"/>
                <w:b w:val="0"/>
                <w:bCs/>
              </w:rPr>
              <w:t xml:space="preserve"> zu Long COVID</w:t>
            </w:r>
          </w:p>
          <w:p>
            <w:pPr>
              <w:pStyle w:val="Liste3"/>
              <w:numPr>
                <w:ilvl w:val="1"/>
                <w:numId w:val="10"/>
              </w:numPr>
              <w:rPr>
                <w:rStyle w:val="3Zchn"/>
                <w:b w:val="0"/>
                <w:bCs/>
              </w:rPr>
            </w:pPr>
            <w:r>
              <w:rPr>
                <w:rStyle w:val="3Zchn"/>
                <w:b w:val="0"/>
                <w:bCs/>
              </w:rPr>
              <w:t>Systematisches Review: schützt SARS-CoV-2 Schutzimpfung vor Long-COVID? (Zeitraum März-November 2022)</w:t>
            </w:r>
          </w:p>
          <w:p>
            <w:pPr>
              <w:pStyle w:val="Liste3"/>
              <w:numPr>
                <w:ilvl w:val="0"/>
                <w:numId w:val="10"/>
              </w:numPr>
              <w:rPr>
                <w:rStyle w:val="3Zchn"/>
                <w:b w:val="0"/>
                <w:bCs/>
              </w:rPr>
            </w:pPr>
            <w:r>
              <w:rPr>
                <w:rStyle w:val="3Zchn"/>
                <w:b w:val="0"/>
                <w:bCs/>
              </w:rPr>
              <w:t xml:space="preserve">Primärdatenerhebung: </w:t>
            </w:r>
            <w:proofErr w:type="spellStart"/>
            <w:r>
              <w:rPr>
                <w:rStyle w:val="3Zchn"/>
                <w:b w:val="0"/>
                <w:bCs/>
              </w:rPr>
              <w:t>Seroepidemiologische</w:t>
            </w:r>
            <w:proofErr w:type="spellEnd"/>
            <w:r>
              <w:rPr>
                <w:rStyle w:val="3Zchn"/>
                <w:b w:val="0"/>
                <w:bCs/>
              </w:rPr>
              <w:t xml:space="preserve"> Studien</w:t>
            </w:r>
          </w:p>
          <w:p>
            <w:pPr>
              <w:pStyle w:val="Liste3"/>
              <w:numPr>
                <w:ilvl w:val="1"/>
                <w:numId w:val="10"/>
              </w:numPr>
              <w:rPr>
                <w:rStyle w:val="3Zchn"/>
                <w:b w:val="0"/>
                <w:bCs/>
              </w:rPr>
            </w:pPr>
            <w:proofErr w:type="spellStart"/>
            <w:r>
              <w:rPr>
                <w:rStyle w:val="3Zchn"/>
                <w:b w:val="0"/>
                <w:bCs/>
              </w:rPr>
              <w:t>CoMoLo</w:t>
            </w:r>
            <w:proofErr w:type="spellEnd"/>
            <w:r>
              <w:rPr>
                <w:rStyle w:val="3Zchn"/>
                <w:b w:val="0"/>
                <w:bCs/>
              </w:rPr>
              <w:t>-Follow-</w:t>
            </w:r>
            <w:proofErr w:type="spellStart"/>
            <w:r>
              <w:rPr>
                <w:rStyle w:val="3Zchn"/>
                <w:b w:val="0"/>
                <w:bCs/>
              </w:rPr>
              <w:t>up</w:t>
            </w:r>
            <w:proofErr w:type="spellEnd"/>
            <w:r>
              <w:rPr>
                <w:rStyle w:val="3Zchn"/>
                <w:b w:val="0"/>
                <w:bCs/>
              </w:rPr>
              <w:t xml:space="preserve"> und </w:t>
            </w:r>
            <w:proofErr w:type="spellStart"/>
            <w:r>
              <w:rPr>
                <w:rStyle w:val="3Zchn"/>
                <w:b w:val="0"/>
                <w:bCs/>
              </w:rPr>
              <w:t>CoMoBu</w:t>
            </w:r>
            <w:proofErr w:type="spellEnd"/>
            <w:r>
              <w:rPr>
                <w:rStyle w:val="3Zchn"/>
                <w:b w:val="0"/>
                <w:bCs/>
              </w:rPr>
              <w:t xml:space="preserve">-Welle 2, Ergänzung von Befragungen für die Long </w:t>
            </w:r>
            <w:proofErr w:type="spellStart"/>
            <w:r>
              <w:rPr>
                <w:rStyle w:val="3Zchn"/>
                <w:b w:val="0"/>
                <w:bCs/>
              </w:rPr>
              <w:t>Covid</w:t>
            </w:r>
            <w:proofErr w:type="spellEnd"/>
            <w:r>
              <w:rPr>
                <w:rStyle w:val="3Zchn"/>
                <w:b w:val="0"/>
                <w:bCs/>
              </w:rPr>
              <w:t xml:space="preserve"> Forschung zu mittel- und langfristigen gesundheitlichen Folgen der Pandemie im Vergleich von Erwachsenen mit und ohne SARS-CoV-2-Infektion</w:t>
            </w:r>
          </w:p>
          <w:p>
            <w:pPr>
              <w:pStyle w:val="Liste3"/>
              <w:numPr>
                <w:ilvl w:val="0"/>
                <w:numId w:val="10"/>
              </w:numPr>
              <w:rPr>
                <w:rStyle w:val="3Zchn"/>
                <w:b w:val="0"/>
                <w:bCs/>
              </w:rPr>
            </w:pPr>
            <w:r>
              <w:rPr>
                <w:rStyle w:val="3Zchn"/>
                <w:b w:val="0"/>
                <w:bCs/>
              </w:rPr>
              <w:t>Projekt: „Post-COVID-19“</w:t>
            </w:r>
          </w:p>
          <w:p>
            <w:pPr>
              <w:pStyle w:val="Liste3"/>
              <w:numPr>
                <w:ilvl w:val="1"/>
                <w:numId w:val="10"/>
              </w:numPr>
              <w:rPr>
                <w:rStyle w:val="3Zchn"/>
                <w:b w:val="0"/>
                <w:bCs/>
              </w:rPr>
            </w:pPr>
            <w:r>
              <w:rPr>
                <w:rStyle w:val="3Zchn"/>
                <w:b w:val="0"/>
                <w:bCs/>
              </w:rPr>
              <w:lastRenderedPageBreak/>
              <w:t>Dez.2021-Dez.2023, Analyse von Versorgungsdaten, Befragung Haus- und Kinderärzteschaft zu Long-COVID, Ausbau der Zusammenarbeit zwischen RKI und Partnern in Public Health und Gesundheitsversorgung, Selbsthilfeorganisation</w:t>
            </w:r>
          </w:p>
          <w:p>
            <w:pPr>
              <w:pStyle w:val="Liste2"/>
              <w:numPr>
                <w:ilvl w:val="0"/>
                <w:numId w:val="0"/>
              </w:numPr>
              <w:rPr>
                <w:lang w:val="de-DE"/>
              </w:rPr>
            </w:pPr>
          </w:p>
          <w:p>
            <w:pPr>
              <w:pStyle w:val="Liste2"/>
              <w:numPr>
                <w:ilvl w:val="0"/>
                <w:numId w:val="0"/>
              </w:numPr>
              <w:rPr>
                <w:i/>
              </w:rPr>
            </w:pPr>
            <w:proofErr w:type="spellStart"/>
            <w:r>
              <w:rPr>
                <w:i/>
              </w:rPr>
              <w:t>Diskussion</w:t>
            </w:r>
            <w:proofErr w:type="spellEnd"/>
            <w:r>
              <w:rPr>
                <w:i/>
              </w:rPr>
              <w:t xml:space="preserve"> </w:t>
            </w:r>
          </w:p>
          <w:p>
            <w:pPr>
              <w:pStyle w:val="Liste2"/>
              <w:numPr>
                <w:ilvl w:val="0"/>
                <w:numId w:val="8"/>
              </w:numPr>
            </w:pPr>
            <w:proofErr w:type="spellStart"/>
            <w:r>
              <w:t>Akute</w:t>
            </w:r>
            <w:proofErr w:type="spellEnd"/>
            <w:r>
              <w:t xml:space="preserve"> </w:t>
            </w:r>
            <w:proofErr w:type="spellStart"/>
            <w:r>
              <w:t>Infektionslage</w:t>
            </w:r>
            <w:proofErr w:type="spellEnd"/>
          </w:p>
          <w:p>
            <w:pPr>
              <w:pStyle w:val="Liste2"/>
              <w:numPr>
                <w:ilvl w:val="1"/>
                <w:numId w:val="8"/>
              </w:numPr>
              <w:rPr>
                <w:lang w:val="de-DE"/>
              </w:rPr>
            </w:pPr>
            <w:r>
              <w:rPr>
                <w:lang w:val="de-DE"/>
              </w:rPr>
              <w:t xml:space="preserve"> Aus </w:t>
            </w:r>
            <w:proofErr w:type="spellStart"/>
            <w:r>
              <w:rPr>
                <w:lang w:val="de-DE"/>
              </w:rPr>
              <w:t>syndromischer</w:t>
            </w:r>
            <w:proofErr w:type="spellEnd"/>
            <w:r>
              <w:rPr>
                <w:lang w:val="de-DE"/>
              </w:rPr>
              <w:t xml:space="preserve"> Surveillance entsteht der Eindruck, dass die momentane Aktivität der Infektion/Verbreitung in der Bevölkerung ihren Höhepunkt erreicht hat. Wann zeichnet sich Rückgang ab? Es dauert, bis es bei sich Trend bei Älteren abzeichnet, kann dies an Hospitalisierung und tatsächlichen Todesfällen festgemacht werden?</w:t>
            </w:r>
          </w:p>
          <w:p>
            <w:pPr>
              <w:pStyle w:val="Liste2"/>
              <w:numPr>
                <w:ilvl w:val="1"/>
                <w:numId w:val="8"/>
              </w:numPr>
              <w:rPr>
                <w:lang w:val="de-DE"/>
              </w:rPr>
            </w:pPr>
            <w:r>
              <w:rPr>
                <w:lang w:val="de-DE"/>
              </w:rPr>
              <w:t>Fallzahlen befinden sich derzeit auf einem Plateau. Zahlen auf Intensivstation und Hospitalisierung im Meldesystem verzeichnen noch Zunahmen. Daher kein Signal der Entspannung geben, sondern gleichbleibendes Niveau kommunizieren</w:t>
            </w:r>
          </w:p>
          <w:p>
            <w:pPr>
              <w:pStyle w:val="Liste2"/>
              <w:numPr>
                <w:ilvl w:val="1"/>
                <w:numId w:val="8"/>
              </w:numPr>
              <w:rPr>
                <w:lang w:val="de-DE"/>
              </w:rPr>
            </w:pPr>
            <w:r>
              <w:rPr>
                <w:lang w:val="de-DE"/>
              </w:rPr>
              <w:t>Nach wie vor ist es eine Übertragung auf hohem Niveau. Seitwärtsbewegung reicht nicht aus, um eine Lage zu entspannen. Tenor für Wochenbericht</w:t>
            </w:r>
          </w:p>
          <w:p>
            <w:pPr>
              <w:pStyle w:val="Liste2"/>
              <w:numPr>
                <w:ilvl w:val="1"/>
                <w:numId w:val="8"/>
              </w:numPr>
              <w:rPr>
                <w:lang w:val="de-DE"/>
              </w:rPr>
            </w:pPr>
            <w:proofErr w:type="spellStart"/>
            <w:r>
              <w:rPr>
                <w:lang w:val="de-DE"/>
              </w:rPr>
              <w:t>Syndromische</w:t>
            </w:r>
            <w:proofErr w:type="spellEnd"/>
            <w:r>
              <w:rPr>
                <w:lang w:val="de-DE"/>
              </w:rPr>
              <w:t xml:space="preserve"> Surveillance soll in den Vordergrund (und vor Inzidenz) gestellt werden. Gut angekommen im letzten Wochenbericht.</w:t>
            </w:r>
          </w:p>
        </w:tc>
        <w:tc>
          <w:tcPr>
            <w:tcW w:w="1463" w:type="dxa"/>
          </w:tcPr>
          <w:p>
            <w:pPr>
              <w:rPr>
                <w:sz w:val="22"/>
                <w:szCs w:val="22"/>
              </w:rPr>
            </w:pPr>
          </w:p>
          <w:p>
            <w:pPr>
              <w:rPr>
                <w:sz w:val="22"/>
                <w:szCs w:val="22"/>
              </w:rPr>
            </w:pPr>
          </w:p>
          <w:p>
            <w:pPr>
              <w:rPr>
                <w:sz w:val="22"/>
                <w:szCs w:val="22"/>
              </w:rPr>
            </w:pPr>
            <w:r>
              <w:rPr>
                <w:sz w:val="22"/>
                <w:szCs w:val="22"/>
              </w:rPr>
              <w:t xml:space="preserve">ZIG1 </w:t>
            </w:r>
          </w:p>
          <w:p>
            <w:pPr>
              <w:rPr>
                <w:sz w:val="22"/>
                <w:szCs w:val="22"/>
              </w:rPr>
            </w:pPr>
            <w:r>
              <w:rPr>
                <w:sz w:val="22"/>
                <w:szCs w:val="22"/>
              </w:rPr>
              <w:t>(</w:t>
            </w:r>
            <w:proofErr w:type="spellStart"/>
            <w:r>
              <w:rPr>
                <w:sz w:val="22"/>
                <w:szCs w:val="22"/>
              </w:rPr>
              <w:t>Gillesberg</w:t>
            </w:r>
            <w:proofErr w:type="spellEnd"/>
            <w:r>
              <w:rPr>
                <w:sz w:val="22"/>
                <w:szCs w:val="22"/>
              </w:rPr>
              <w:t>-Raiser)</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FG32 </w:t>
            </w:r>
            <w:r>
              <w:rPr>
                <w:sz w:val="22"/>
                <w:szCs w:val="22"/>
              </w:rPr>
              <w:br/>
              <w:t>(Sievers)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 xml:space="preserve">(Kröger)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(Buda)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FG17</w:t>
            </w:r>
          </w:p>
          <w:p>
            <w:pPr>
              <w:rPr>
                <w:sz w:val="22"/>
                <w:szCs w:val="22"/>
              </w:rPr>
            </w:pPr>
            <w:r>
              <w:rPr>
                <w:sz w:val="22"/>
                <w:szCs w:val="22"/>
              </w:rPr>
              <w:t>(Dürrwald)</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MFI</w:t>
            </w:r>
          </w:p>
          <w:p>
            <w:pPr>
              <w:rPr>
                <w:sz w:val="22"/>
                <w:szCs w:val="22"/>
              </w:rPr>
            </w:pPr>
            <w:r>
              <w:rPr>
                <w:sz w:val="22"/>
                <w:szCs w:val="22"/>
              </w:rPr>
              <w:t>(Fischer)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FG25</w:t>
            </w:r>
          </w:p>
          <w:p>
            <w:pPr>
              <w:rPr>
                <w:sz w:val="22"/>
                <w:szCs w:val="22"/>
              </w:rPr>
            </w:pPr>
            <w:r>
              <w:rPr>
                <w:sz w:val="22"/>
                <w:szCs w:val="22"/>
              </w:rPr>
              <w:t>(Scheidt-Nave)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824" w:type="dxa"/>
          </w:tcPr>
          <w:p>
            <w:pPr>
              <w:spacing w:line="276" w:lineRule="auto"/>
              <w:rPr>
                <w:rStyle w:val="TagFrZchn"/>
              </w:rPr>
            </w:pPr>
            <w:r>
              <w:rPr>
                <w:rStyle w:val="1Zchn"/>
              </w:rPr>
              <w:t>Update Impfen</w:t>
            </w:r>
            <w:r>
              <w:rPr>
                <w:b/>
                <w:sz w:val="28"/>
              </w:rPr>
              <w:t xml:space="preserve"> </w:t>
            </w:r>
          </w:p>
          <w:p>
            <w:pPr>
              <w:pStyle w:val="Liste1"/>
            </w:pPr>
            <w:r>
              <w:t>Veröffentlichung des Monatsberichtes letzte Woche</w:t>
            </w:r>
          </w:p>
          <w:p>
            <w:pPr>
              <w:pStyle w:val="Liste1"/>
            </w:pPr>
            <w:r>
              <w:t>Bearbeitung von Pressearbeit im Nachgang, keine große Reflektion in Presse, Bericht wurde von dpa aufgenommen. Presseanfrage der WELT mit 26 Fragen, bereits beantwortet, wurde bisher noch nicht publiziert</w:t>
            </w:r>
          </w:p>
          <w:p>
            <w:pPr>
              <w:pStyle w:val="Liste1"/>
            </w:pPr>
            <w:r>
              <w:t>Vorbereitung STIKO Treffen nächste Woche. Themen:</w:t>
            </w:r>
          </w:p>
          <w:p>
            <w:pPr>
              <w:pStyle w:val="Liste3"/>
            </w:pPr>
            <w:r>
              <w:t>ECDC Verlautbarung zweiter Booster</w:t>
            </w:r>
          </w:p>
          <w:p>
            <w:pPr>
              <w:pStyle w:val="Liste3"/>
            </w:pPr>
            <w:r>
              <w:t>Tendenz, ob STIKO ab 60 Jahren empfiehlt noch unklar</w:t>
            </w:r>
          </w:p>
          <w:p>
            <w:pPr>
              <w:pStyle w:val="Liste3"/>
            </w:pPr>
            <w:r>
              <w:t>Hr. Mertens am Montag im Gespräch mit Minister</w:t>
            </w:r>
          </w:p>
          <w:p>
            <w:pPr>
              <w:pStyle w:val="Liste3"/>
            </w:pPr>
            <w:r>
              <w:t>Voraussichtlich keine 4. Impfung für alle, eher Präzisierung der Risikogruppe</w:t>
            </w:r>
          </w:p>
          <w:p>
            <w:pPr>
              <w:pStyle w:val="Liste3"/>
              <w:numPr>
                <w:ilvl w:val="0"/>
                <w:numId w:val="0"/>
              </w:numPr>
            </w:pPr>
          </w:p>
          <w:p>
            <w:pPr>
              <w:pStyle w:val="Liste3"/>
              <w:numPr>
                <w:ilvl w:val="0"/>
                <w:numId w:val="0"/>
              </w:numPr>
              <w:rPr>
                <w:i/>
              </w:rPr>
            </w:pPr>
            <w:r>
              <w:rPr>
                <w:i/>
              </w:rPr>
              <w:t>Diskussion</w:t>
            </w:r>
          </w:p>
          <w:p>
            <w:pPr>
              <w:pStyle w:val="Liste3"/>
              <w:numPr>
                <w:ilvl w:val="0"/>
                <w:numId w:val="11"/>
              </w:numPr>
            </w:pPr>
            <w:r>
              <w:t xml:space="preserve">Soll 2. Booster mit angepasstem oder allgemeinem Impfstoff durchgeführt werden? </w:t>
            </w:r>
          </w:p>
          <w:p>
            <w:pPr>
              <w:pStyle w:val="Liste3"/>
              <w:numPr>
                <w:ilvl w:val="0"/>
                <w:numId w:val="11"/>
              </w:numPr>
            </w:pPr>
            <w:r>
              <w:t>Ob 2. Booster mit angepasstem oder allgemeinem Impfstoff durchgeführt werden soll, wird im STIKO Treffen nächste Woche besprochen</w:t>
            </w:r>
          </w:p>
          <w:p>
            <w:pPr>
              <w:pStyle w:val="Liste3"/>
              <w:numPr>
                <w:ilvl w:val="0"/>
                <w:numId w:val="11"/>
              </w:numPr>
            </w:pPr>
            <w:r>
              <w:t xml:space="preserve">Angepasste Impfstoffe werden vermutlich September/Oktober geliefert. Begrenzte Datenlage zum Nutzen der angepassten Impfstoffe beruht auf immunologischen </w:t>
            </w:r>
            <w:proofErr w:type="spellStart"/>
            <w:r>
              <w:t>Bridging</w:t>
            </w:r>
            <w:proofErr w:type="spellEnd"/>
            <w:r>
              <w:t xml:space="preserve"> Überlegungen. ECDC Verlautbarung wird so verstanden, dass nicht auf angepasste Impfstoffe gewartet werden soll</w:t>
            </w:r>
          </w:p>
          <w:p>
            <w:pPr>
              <w:pStyle w:val="Liste3"/>
              <w:numPr>
                <w:ilvl w:val="0"/>
                <w:numId w:val="11"/>
              </w:numPr>
            </w:pPr>
            <w:r>
              <w:t xml:space="preserve">Frage nach Zeitpunkt/Wirksamkeit: bei anderen Impfstoffen werden Variationen nicht in großen Studien untersucht. </w:t>
            </w:r>
            <w:r>
              <w:lastRenderedPageBreak/>
              <w:t xml:space="preserve">Intensiver Teil der Diskussion ist das Risiko der Einschränkung der Immunantwort, wenn immer wieder mit dem gleichen Impfstoff </w:t>
            </w:r>
            <w:proofErr w:type="spellStart"/>
            <w:r>
              <w:t>geboostert</w:t>
            </w:r>
            <w:proofErr w:type="spellEnd"/>
            <w:r>
              <w:t xml:space="preserve"> wird</w:t>
            </w:r>
          </w:p>
          <w:p>
            <w:pPr>
              <w:pStyle w:val="Liste3"/>
              <w:numPr>
                <w:ilvl w:val="0"/>
                <w:numId w:val="11"/>
              </w:numPr>
              <w:rPr>
                <w:rStyle w:val="1Zchn"/>
              </w:rPr>
            </w:pPr>
            <w:r>
              <w:t xml:space="preserve">Frage zu anderen gebildeten Antikörpern: hierzu gibt es erste Daten von </w:t>
            </w:r>
            <w:proofErr w:type="spellStart"/>
            <w:r>
              <w:t>Moderna</w:t>
            </w:r>
            <w:proofErr w:type="spellEnd"/>
            <w:r>
              <w:t>, werden in STIKO-Treffen nächste Woche vorgestellt. Erste Laborstudien (</w:t>
            </w:r>
            <w:proofErr w:type="spellStart"/>
            <w:r>
              <w:t>Klonalitätsfrage</w:t>
            </w:r>
            <w:proofErr w:type="spellEnd"/>
            <w:r>
              <w:t xml:space="preserve">) werden dort ebenso diskutiert. </w:t>
            </w:r>
          </w:p>
        </w:tc>
        <w:tc>
          <w:tcPr>
            <w:tcW w:w="1463" w:type="dxa"/>
          </w:tcPr>
          <w:p>
            <w:pPr>
              <w:rPr>
                <w:sz w:val="22"/>
                <w:szCs w:val="22"/>
              </w:rPr>
            </w:pPr>
            <w:r>
              <w:rPr>
                <w:sz w:val="22"/>
                <w:szCs w:val="22"/>
              </w:rPr>
              <w:lastRenderedPageBreak/>
              <w:t>FG 33</w:t>
            </w:r>
          </w:p>
          <w:p>
            <w:pPr>
              <w:rPr>
                <w:sz w:val="22"/>
                <w:szCs w:val="22"/>
              </w:rPr>
            </w:pPr>
            <w:r>
              <w:rPr>
                <w:sz w:val="22"/>
                <w:szCs w:val="22"/>
              </w:rPr>
              <w:t>(Harder)</w:t>
            </w:r>
          </w:p>
        </w:tc>
      </w:tr>
      <w:tr>
        <w:tc>
          <w:tcPr>
            <w:tcW w:w="684" w:type="dxa"/>
          </w:tcPr>
          <w:p>
            <w:pPr>
              <w:rPr>
                <w:b/>
              </w:rPr>
            </w:pPr>
            <w:r>
              <w:rPr>
                <w:b/>
              </w:rPr>
              <w:t>3</w:t>
            </w:r>
          </w:p>
        </w:tc>
        <w:tc>
          <w:tcPr>
            <w:tcW w:w="6824" w:type="dxa"/>
          </w:tcPr>
          <w:p>
            <w:pPr>
              <w:spacing w:line="276" w:lineRule="auto"/>
              <w:rPr>
                <w:b/>
                <w:color w:val="000000" w:themeColor="text1"/>
                <w:sz w:val="28"/>
              </w:rPr>
            </w:pPr>
            <w:r>
              <w:rPr>
                <w:rStyle w:val="1Zchn"/>
                <w:color w:val="000000" w:themeColor="text1"/>
              </w:rPr>
              <w:t>Update digitale Projekte</w:t>
            </w:r>
            <w:r>
              <w:rPr>
                <w:b/>
                <w:color w:val="000000" w:themeColor="text1"/>
                <w:sz w:val="28"/>
              </w:rPr>
              <w:t xml:space="preserve"> </w:t>
            </w:r>
          </w:p>
          <w:p>
            <w:pPr>
              <w:pStyle w:val="Liste1"/>
              <w:rPr>
                <w:b/>
                <w:i/>
                <w:color w:val="000000" w:themeColor="text1"/>
              </w:rPr>
            </w:pPr>
            <w:r>
              <w:rPr>
                <w:color w:val="000000" w:themeColor="text1"/>
              </w:rPr>
              <w:t>Verhandlungen/Prüfungen, wie lang CWA über den 31.12 hinaus noch aktiv sein kann (finanziell/rechtlich)</w:t>
            </w:r>
          </w:p>
          <w:p>
            <w:pPr>
              <w:pStyle w:val="Liste1"/>
              <w:rPr>
                <w:color w:val="000000" w:themeColor="text1"/>
              </w:rPr>
            </w:pPr>
            <w:r>
              <w:rPr>
                <w:color w:val="000000" w:themeColor="text1"/>
              </w:rPr>
              <w:t>Handlungsempfehlungen in CWA aktualisiert</w:t>
            </w:r>
          </w:p>
          <w:p>
            <w:pPr>
              <w:pStyle w:val="Liste1"/>
              <w:rPr>
                <w:color w:val="000000" w:themeColor="text1"/>
              </w:rPr>
            </w:pPr>
            <w:r>
              <w:rPr>
                <w:color w:val="000000" w:themeColor="text1"/>
              </w:rPr>
              <w:t>Bewertung beim BMG angesiedelt</w:t>
            </w:r>
          </w:p>
        </w:tc>
        <w:tc>
          <w:tcPr>
            <w:tcW w:w="1463" w:type="dxa"/>
          </w:tcPr>
          <w:p>
            <w:pPr>
              <w:rPr>
                <w:sz w:val="22"/>
                <w:szCs w:val="22"/>
              </w:rPr>
            </w:pPr>
          </w:p>
          <w:p>
            <w:pPr>
              <w:rPr>
                <w:sz w:val="22"/>
                <w:szCs w:val="22"/>
              </w:rPr>
            </w:pPr>
            <w:r>
              <w:rPr>
                <w:sz w:val="22"/>
                <w:szCs w:val="22"/>
              </w:rPr>
              <w:t>FG21</w:t>
            </w:r>
          </w:p>
          <w:p>
            <w:pPr>
              <w:rPr>
                <w:sz w:val="22"/>
                <w:szCs w:val="22"/>
              </w:rPr>
            </w:pPr>
            <w:r>
              <w:rPr>
                <w:sz w:val="22"/>
                <w:szCs w:val="22"/>
              </w:rPr>
              <w:t>(Schmich)</w:t>
            </w:r>
            <w:r>
              <w:rPr>
                <w:sz w:val="22"/>
                <w:szCs w:val="22"/>
              </w:rPr>
              <w:br/>
            </w:r>
          </w:p>
          <w:p>
            <w:pPr>
              <w:rPr>
                <w:sz w:val="22"/>
                <w:szCs w:val="22"/>
              </w:rPr>
            </w:pPr>
          </w:p>
        </w:tc>
      </w:tr>
      <w:tr>
        <w:tc>
          <w:tcPr>
            <w:tcW w:w="684" w:type="dxa"/>
          </w:tcPr>
          <w:p>
            <w:pPr>
              <w:rPr>
                <w:b/>
              </w:rPr>
            </w:pPr>
            <w:r>
              <w:rPr>
                <w:b/>
              </w:rPr>
              <w:t>4</w:t>
            </w:r>
          </w:p>
        </w:tc>
        <w:tc>
          <w:tcPr>
            <w:tcW w:w="6824" w:type="dxa"/>
          </w:tcPr>
          <w:p>
            <w:pPr>
              <w:pStyle w:val="1"/>
            </w:pPr>
            <w:r>
              <w:t>Aktuelle Risikobewertung</w:t>
            </w:r>
          </w:p>
          <w:p>
            <w:pPr>
              <w:pStyle w:val="Liste2"/>
            </w:pPr>
            <w:proofErr w:type="spellStart"/>
            <w:r>
              <w:t>Kein</w:t>
            </w:r>
            <w:proofErr w:type="spellEnd"/>
            <w:r>
              <w:t xml:space="preserve"> </w:t>
            </w:r>
            <w:proofErr w:type="spellStart"/>
            <w:r>
              <w:t>Aktualisierungsbedarf</w:t>
            </w:r>
            <w:proofErr w:type="spellEnd"/>
          </w:p>
        </w:tc>
        <w:tc>
          <w:tcPr>
            <w:tcW w:w="1463" w:type="dxa"/>
          </w:tcPr>
          <w:p>
            <w:pPr>
              <w:rPr>
                <w:sz w:val="22"/>
                <w:szCs w:val="22"/>
              </w:rPr>
            </w:pPr>
          </w:p>
          <w:p>
            <w:pPr>
              <w:rPr>
                <w:sz w:val="22"/>
                <w:szCs w:val="22"/>
              </w:rPr>
            </w:pPr>
            <w:r>
              <w:rPr>
                <w:sz w:val="22"/>
                <w:szCs w:val="22"/>
              </w:rPr>
              <w:t>FG31</w:t>
            </w:r>
          </w:p>
          <w:p>
            <w:pPr>
              <w:rPr>
                <w:sz w:val="22"/>
                <w:szCs w:val="22"/>
              </w:rPr>
            </w:pPr>
            <w:r>
              <w:rPr>
                <w:sz w:val="22"/>
                <w:szCs w:val="22"/>
              </w:rPr>
              <w:t>(</w:t>
            </w:r>
            <w:proofErr w:type="gramStart"/>
            <w:r>
              <w:rPr>
                <w:sz w:val="22"/>
                <w:szCs w:val="22"/>
              </w:rPr>
              <w:t>an der Heiden</w:t>
            </w:r>
            <w:proofErr w:type="gramEnd"/>
            <w:r>
              <w:rPr>
                <w:sz w:val="22"/>
                <w:szCs w:val="22"/>
              </w:rPr>
              <w:t xml:space="preserve">) </w:t>
            </w:r>
          </w:p>
        </w:tc>
      </w:tr>
      <w:tr>
        <w:tc>
          <w:tcPr>
            <w:tcW w:w="684" w:type="dxa"/>
          </w:tcPr>
          <w:p>
            <w:pPr>
              <w:rPr>
                <w:b/>
              </w:rPr>
            </w:pPr>
            <w:r>
              <w:rPr>
                <w:b/>
              </w:rPr>
              <w:t>5</w:t>
            </w:r>
          </w:p>
        </w:tc>
        <w:tc>
          <w:tcPr>
            <w:tcW w:w="6824" w:type="dxa"/>
          </w:tcPr>
          <w:p>
            <w:pPr>
              <w:pStyle w:val="1"/>
            </w:pPr>
            <w:r>
              <w:t xml:space="preserve">Expertenbeirat </w:t>
            </w:r>
            <w:r>
              <w:rPr>
                <w:i/>
                <w:color w:val="95B3D7" w:themeColor="accent1" w:themeTint="99"/>
                <w:sz w:val="20"/>
              </w:rPr>
              <w:t>(montags Vorbereitung, mittwochs Nachbereitung)</w:t>
            </w:r>
          </w:p>
          <w:p>
            <w:pPr>
              <w:pStyle w:val="Liste1"/>
            </w:pPr>
            <w:r>
              <w:t xml:space="preserve">  (nicht berichtet)</w:t>
            </w:r>
          </w:p>
        </w:tc>
        <w:tc>
          <w:tcPr>
            <w:tcW w:w="1463" w:type="dxa"/>
          </w:tcPr>
          <w:p>
            <w:pPr>
              <w:rPr>
                <w:sz w:val="22"/>
                <w:szCs w:val="22"/>
              </w:rPr>
            </w:pPr>
          </w:p>
        </w:tc>
      </w:tr>
      <w:tr>
        <w:trPr>
          <w:trHeight w:val="518"/>
        </w:trPr>
        <w:tc>
          <w:tcPr>
            <w:tcW w:w="684" w:type="dxa"/>
          </w:tcPr>
          <w:p>
            <w:pPr>
              <w:rPr>
                <w:b/>
              </w:rPr>
            </w:pPr>
            <w:r>
              <w:rPr>
                <w:b/>
              </w:rPr>
              <w:t>7</w:t>
            </w:r>
          </w:p>
        </w:tc>
        <w:tc>
          <w:tcPr>
            <w:tcW w:w="6824" w:type="dxa"/>
          </w:tcPr>
          <w:p>
            <w:pPr>
              <w:pStyle w:val="1"/>
            </w:pPr>
            <w:r>
              <w:t>Kommunikation</w:t>
            </w:r>
          </w:p>
          <w:p>
            <w:pPr>
              <w:pStyle w:val="2"/>
            </w:pPr>
            <w:r>
              <w:t>BZgA</w:t>
            </w:r>
          </w:p>
          <w:p>
            <w:pPr>
              <w:pStyle w:val="Liste1"/>
            </w:pPr>
            <w:r>
              <w:t>Entwicklung eines Impfcheck als Click-Tool, wird ab Herbst zur Verfügung stehen. Bevölkerung kann erfahren, ob Impfung für sie empfohlen wird. Es wird um fachliche Prüfung der Inhalte durchs RKI gebeten</w:t>
            </w:r>
          </w:p>
          <w:p>
            <w:pPr>
              <w:pStyle w:val="Liste1"/>
              <w:numPr>
                <w:ilvl w:val="0"/>
                <w:numId w:val="0"/>
              </w:numPr>
              <w:ind w:left="113"/>
              <w:rPr>
                <w:i/>
              </w:rPr>
            </w:pPr>
          </w:p>
          <w:p>
            <w:pPr>
              <w:pStyle w:val="Liste1"/>
              <w:numPr>
                <w:ilvl w:val="0"/>
                <w:numId w:val="0"/>
              </w:numPr>
              <w:ind w:left="113"/>
              <w:rPr>
                <w:i/>
              </w:rPr>
            </w:pPr>
            <w:r>
              <w:rPr>
                <w:i/>
              </w:rPr>
              <w:t>Diskussion</w:t>
            </w:r>
          </w:p>
          <w:p>
            <w:pPr>
              <w:pStyle w:val="Liste1"/>
            </w:pPr>
            <w:r>
              <w:t>Stand und zur Verfügungstellung Fachblatt Herbst/Winter?</w:t>
            </w:r>
          </w:p>
          <w:p>
            <w:pPr>
              <w:pStyle w:val="Liste3"/>
            </w:pPr>
            <w:r>
              <w:t>Flyer Tipps Herbst/Winter Influenza und COVID derzeit hintenangestellt, geht erst im Herbst raus. Aktuell Tipps für Sommer auf RKI Website. Flyer Herbst/Winter wird durch P1 (Lein) an BZgA übersendet.</w:t>
            </w:r>
          </w:p>
          <w:p>
            <w:pPr>
              <w:pStyle w:val="Liste1"/>
            </w:pPr>
            <w:r>
              <w:t>Wie ist die Haltung des RKI zu Selbsttest?</w:t>
            </w:r>
          </w:p>
          <w:p>
            <w:pPr>
              <w:pStyle w:val="Liste3"/>
            </w:pPr>
            <w:r>
              <w:t>Für Reduktion von Fallzahlen muss eine Testung hochfrequentiert sein (2-3x pro Woche), durch nicht vorhandene Ausgabe von Tests ist regelmäßige Durchführung schwieriger. Daher keine große Wirkung auf R-Wert oder Fallzahlen zu erwarten.</w:t>
            </w:r>
          </w:p>
          <w:p>
            <w:pPr>
              <w:pStyle w:val="Liste3"/>
            </w:pPr>
            <w:r>
              <w:t>Selbsttests haben nur ein kurzes Zeitfenster, in der sie positiv sind. In Frühphase falsch-negative Tests</w:t>
            </w:r>
          </w:p>
          <w:p>
            <w:pPr>
              <w:pStyle w:val="Liste3"/>
            </w:pPr>
            <w:r>
              <w:t>Diagnose gehört in Hand eines Diagnostikers. Für Risikogruppen jedoch weiterer Faktor zum Schutz</w:t>
            </w:r>
          </w:p>
          <w:p>
            <w:pPr>
              <w:pStyle w:val="Liste3"/>
            </w:pPr>
            <w:r>
              <w:t>Bei Symptomatik (und anderen Erkrankungen) Empfehlung 5 Tage zuhause zu bleiben</w:t>
            </w:r>
          </w:p>
          <w:p>
            <w:pPr>
              <w:pStyle w:val="Liste3"/>
            </w:pPr>
            <w:r>
              <w:t>Ob Testsysteme für andere Erreger sich durchsetzen werden, ist unbestimmt. Selbsttests für Corona bleiben voraussichtlich noch etwas bestehen</w:t>
            </w:r>
          </w:p>
          <w:p>
            <w:pPr>
              <w:pStyle w:val="2"/>
            </w:pPr>
            <w:r>
              <w:t>Presse</w:t>
            </w:r>
          </w:p>
          <w:p>
            <w:pPr>
              <w:pStyle w:val="Liste1"/>
            </w:pPr>
            <w:r>
              <w:lastRenderedPageBreak/>
              <w:t xml:space="preserve">20.07 Hintergrundgespräch zu </w:t>
            </w:r>
            <w:proofErr w:type="spellStart"/>
            <w:r>
              <w:t>CoMoBu</w:t>
            </w:r>
            <w:proofErr w:type="spellEnd"/>
            <w:r>
              <w:t xml:space="preserve"> Studie mit Frau </w:t>
            </w:r>
            <w:proofErr w:type="spellStart"/>
            <w:r>
              <w:t>Gösswald</w:t>
            </w:r>
            <w:proofErr w:type="spellEnd"/>
          </w:p>
          <w:p>
            <w:pPr>
              <w:pStyle w:val="Liste1"/>
            </w:pPr>
            <w:r>
              <w:t>Donnerstag (21.07) ist ein Factsheet mit begleitender PM geplant. Beide Dokumente gehen vorab (Freitag, 15.07) an BMG</w:t>
            </w:r>
          </w:p>
          <w:p>
            <w:pPr>
              <w:pStyle w:val="2"/>
            </w:pPr>
            <w:r>
              <w:t>P1</w:t>
            </w:r>
          </w:p>
          <w:p>
            <w:pPr>
              <w:pStyle w:val="Liste1"/>
              <w:rPr>
                <w:i/>
              </w:rPr>
            </w:pPr>
            <w:r>
              <w:t>(nicht berichtet)</w:t>
            </w:r>
            <w:r>
              <w:br/>
            </w:r>
          </w:p>
        </w:tc>
        <w:tc>
          <w:tcPr>
            <w:tcW w:w="1463" w:type="dxa"/>
          </w:tcPr>
          <w:p>
            <w:pPr>
              <w:rPr>
                <w:sz w:val="22"/>
                <w:szCs w:val="22"/>
              </w:rPr>
            </w:pPr>
          </w:p>
          <w:p>
            <w:pPr>
              <w:rPr>
                <w:sz w:val="22"/>
                <w:szCs w:val="22"/>
              </w:rPr>
            </w:pPr>
            <w:r>
              <w:rPr>
                <w:sz w:val="22"/>
                <w:szCs w:val="22"/>
              </w:rPr>
              <w:t>BZgA</w:t>
            </w:r>
          </w:p>
          <w:p>
            <w:pPr>
              <w:rPr>
                <w:sz w:val="22"/>
                <w:szCs w:val="22"/>
              </w:rPr>
            </w:pPr>
            <w:r>
              <w:rPr>
                <w:sz w:val="22"/>
                <w:szCs w:val="22"/>
              </w:rPr>
              <w:t>(</w:t>
            </w:r>
            <w:proofErr w:type="spellStart"/>
            <w:r>
              <w:rPr>
                <w:sz w:val="22"/>
                <w:szCs w:val="22"/>
              </w:rPr>
              <w:t>Rückle</w:t>
            </w:r>
            <w:proofErr w:type="spellEnd"/>
            <w:r>
              <w:rPr>
                <w:sz w:val="22"/>
                <w:szCs w:val="22"/>
              </w:rPr>
              <w:t>)</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lastRenderedPageBreak/>
              <w:t>Presse</w:t>
            </w:r>
            <w:r>
              <w:rPr>
                <w:sz w:val="22"/>
                <w:szCs w:val="22"/>
              </w:rPr>
              <w:br/>
              <w:t>(Wenchel, Degen)</w:t>
            </w:r>
          </w:p>
          <w:p>
            <w:pPr>
              <w:rPr>
                <w:sz w:val="22"/>
                <w:szCs w:val="22"/>
              </w:rPr>
            </w:pPr>
          </w:p>
          <w:p>
            <w:pPr>
              <w:rPr>
                <w:sz w:val="22"/>
                <w:szCs w:val="22"/>
              </w:rPr>
            </w:pPr>
            <w:r>
              <w:rPr>
                <w:sz w:val="22"/>
                <w:szCs w:val="22"/>
              </w:rPr>
              <w:t>P1</w:t>
            </w:r>
            <w:r>
              <w:rPr>
                <w:sz w:val="22"/>
                <w:szCs w:val="22"/>
              </w:rPr>
              <w:br/>
            </w:r>
          </w:p>
        </w:tc>
      </w:tr>
      <w:tr>
        <w:tc>
          <w:tcPr>
            <w:tcW w:w="684" w:type="dxa"/>
          </w:tcPr>
          <w:p>
            <w:pPr>
              <w:rPr>
                <w:b/>
              </w:rPr>
            </w:pPr>
            <w:r>
              <w:rPr>
                <w:b/>
              </w:rPr>
              <w:lastRenderedPageBreak/>
              <w:t>8</w:t>
            </w:r>
          </w:p>
        </w:tc>
        <w:tc>
          <w:tcPr>
            <w:tcW w:w="6824" w:type="dxa"/>
          </w:tcPr>
          <w:p>
            <w:pPr>
              <w:pStyle w:val="1"/>
            </w:pPr>
            <w:r>
              <w:t>RKI-Strategie Fragen</w:t>
            </w:r>
          </w:p>
          <w:p>
            <w:pPr>
              <w:pStyle w:val="2"/>
            </w:pPr>
            <w:r>
              <w:t>Allgemein</w:t>
            </w:r>
          </w:p>
          <w:p>
            <w:pPr>
              <w:pStyle w:val="Liste1"/>
            </w:pPr>
            <w:r>
              <w:t>Frage aus EpiLag zu Absonderung:</w:t>
            </w:r>
          </w:p>
          <w:p>
            <w:pPr>
              <w:pStyle w:val="Liste1"/>
              <w:numPr>
                <w:ilvl w:val="0"/>
                <w:numId w:val="0"/>
              </w:numPr>
              <w:ind w:left="473"/>
            </w:pPr>
            <w:r>
              <w:t>„Gibt es die Absicht die Absonderung nach einem positiven SARS-CoV-2-Nachweis aufzuheben, da im Winter auch andere Atemwegserkrankungen kursieren werden, bei denen es keiner Absonderung bedarf? Gibt es die Absicht, den Umgang mit Kontaktpersonen zu verschärfen?“</w:t>
            </w:r>
          </w:p>
          <w:p>
            <w:pPr>
              <w:pStyle w:val="Liste3"/>
            </w:pPr>
            <w:r>
              <w:t>Ist eine Empfehlung des Bundes, wird zu gegebenem Zeitpunkt aktualisiert. Mit Blick auf Herbst Absonderungsempfehlungen so lassen. Kein aktives eigenständiges Anfassen derzeit</w:t>
            </w:r>
          </w:p>
          <w:p>
            <w:pPr>
              <w:pStyle w:val="Liste1"/>
            </w:pPr>
            <w:r>
              <w:t xml:space="preserve">Umgang mit „Erlassen“ von Consulting Firmen, hier </w:t>
            </w:r>
            <w:proofErr w:type="spellStart"/>
            <w:r>
              <w:t>Scholz&amp;Friends</w:t>
            </w:r>
            <w:proofErr w:type="spellEnd"/>
          </w:p>
          <w:p>
            <w:pPr>
              <w:pStyle w:val="Liste3"/>
            </w:pPr>
            <w:r>
              <w:t xml:space="preserve">Vermehrt Abstimmungsbegehren von </w:t>
            </w:r>
            <w:proofErr w:type="spellStart"/>
            <w:r>
              <w:t>Scholz&amp;Friends</w:t>
            </w:r>
            <w:proofErr w:type="spellEnd"/>
            <w:r>
              <w:t xml:space="preserve"> (vom BMG beauftrage Agentur für Informationskampagnen)</w:t>
            </w:r>
          </w:p>
          <w:p>
            <w:pPr>
              <w:pStyle w:val="Liste3"/>
            </w:pPr>
            <w:r>
              <w:t>Gespräch mit BMG und Bitte um Abbestellung der Antragsstellungen durch Firmen</w:t>
            </w:r>
          </w:p>
          <w:p>
            <w:pPr>
              <w:pStyle w:val="Liste3"/>
            </w:pPr>
            <w:r>
              <w:t>Rücksprache mit Herrn Kautz; läuft normalerweise über Steuerungsgruppe Impfkampagne, diese sind urlaubsbedingt nicht zu erreichen, da sie einen neuen Adressaten benötigen, ging es an die Koordinierungsstelle</w:t>
            </w:r>
          </w:p>
          <w:p>
            <w:pPr>
              <w:pStyle w:val="Liste3"/>
            </w:pPr>
            <w:r>
              <w:t>Bitte vom BMG ans RKI, sich bezüglich der Aufgabenübernahme zu organisieren</w:t>
            </w:r>
          </w:p>
          <w:p>
            <w:pPr>
              <w:pStyle w:val="Liste3"/>
            </w:pPr>
            <w:r>
              <w:t>Beantwortung erforderte enorme Ressourcen</w:t>
            </w:r>
          </w:p>
          <w:p>
            <w:pPr>
              <w:pStyle w:val="Liste3"/>
            </w:pPr>
            <w:r>
              <w:t xml:space="preserve">Erneutes Vortragen durch </w:t>
            </w:r>
            <w:proofErr w:type="spellStart"/>
            <w:r>
              <w:t>VPräs</w:t>
            </w:r>
            <w:proofErr w:type="spellEnd"/>
            <w:r>
              <w:t xml:space="preserve"> in Jour Fixe, bis dahin Bitte um weitere Bearbeitung</w:t>
            </w:r>
          </w:p>
        </w:tc>
        <w:tc>
          <w:tcPr>
            <w:tcW w:w="1463" w:type="dxa"/>
          </w:tcPr>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lang w:val="en-GB"/>
              </w:rPr>
            </w:pPr>
            <w:r>
              <w:rPr>
                <w:sz w:val="22"/>
                <w:szCs w:val="22"/>
                <w:lang w:val="en-GB"/>
              </w:rPr>
              <w:t>Abt. 3</w:t>
            </w:r>
            <w:r>
              <w:rPr>
                <w:sz w:val="22"/>
                <w:szCs w:val="22"/>
                <w:lang w:val="en-GB"/>
              </w:rPr>
              <w:br/>
            </w:r>
          </w:p>
        </w:tc>
      </w:tr>
      <w:tr>
        <w:tc>
          <w:tcPr>
            <w:tcW w:w="684" w:type="dxa"/>
          </w:tcPr>
          <w:p>
            <w:pPr>
              <w:rPr>
                <w:b/>
              </w:rPr>
            </w:pPr>
            <w:r>
              <w:rPr>
                <w:b/>
              </w:rPr>
              <w:t>8</w:t>
            </w:r>
          </w:p>
        </w:tc>
        <w:tc>
          <w:tcPr>
            <w:tcW w:w="6824" w:type="dxa"/>
          </w:tcPr>
          <w:p>
            <w:pPr>
              <w:spacing w:line="276" w:lineRule="auto"/>
              <w:rPr>
                <w:b/>
                <w:sz w:val="28"/>
              </w:rPr>
            </w:pPr>
            <w:r>
              <w:rPr>
                <w:b/>
                <w:sz w:val="28"/>
              </w:rPr>
              <w:t>Dokumente</w:t>
            </w:r>
          </w:p>
          <w:p>
            <w:pPr>
              <w:pStyle w:val="Liste1"/>
            </w:pPr>
            <w:r>
              <w:t>Zwischenbericht</w:t>
            </w:r>
          </w:p>
          <w:p>
            <w:pPr>
              <w:pStyle w:val="Liste3"/>
            </w:pPr>
            <w:r>
              <w:t>Übersendung der Entwurfsfassung an wissenschaftlichen Beirat am Freitag, 15.07.22</w:t>
            </w:r>
          </w:p>
          <w:p>
            <w:pPr>
              <w:pStyle w:val="Liste3"/>
            </w:pPr>
            <w:r>
              <w:t>Bericht geht an Abteilungsleitungen für Rückmeldung, Frist bis 01.08.</w:t>
            </w:r>
          </w:p>
        </w:tc>
        <w:tc>
          <w:tcPr>
            <w:tcW w:w="1463" w:type="dxa"/>
          </w:tcPr>
          <w:p>
            <w:pPr>
              <w:rPr>
                <w:sz w:val="22"/>
                <w:szCs w:val="22"/>
              </w:rPr>
            </w:pPr>
          </w:p>
          <w:p>
            <w:pPr>
              <w:rPr>
                <w:sz w:val="22"/>
                <w:szCs w:val="22"/>
              </w:rPr>
            </w:pPr>
            <w:r>
              <w:rPr>
                <w:sz w:val="22"/>
                <w:szCs w:val="22"/>
              </w:rPr>
              <w:t>FG31</w:t>
            </w:r>
          </w:p>
          <w:p>
            <w:pPr>
              <w:rPr>
                <w:sz w:val="22"/>
                <w:szCs w:val="22"/>
              </w:rPr>
            </w:pPr>
            <w:r>
              <w:rPr>
                <w:sz w:val="22"/>
                <w:szCs w:val="22"/>
              </w:rPr>
              <w:t>(</w:t>
            </w:r>
            <w:proofErr w:type="gramStart"/>
            <w:r>
              <w:rPr>
                <w:sz w:val="22"/>
                <w:szCs w:val="22"/>
              </w:rPr>
              <w:t>an der Heiden</w:t>
            </w:r>
            <w:proofErr w:type="gramEnd"/>
            <w:r>
              <w:rPr>
                <w:sz w:val="22"/>
                <w:szCs w:val="22"/>
              </w:rPr>
              <w:t>)</w:t>
            </w:r>
          </w:p>
        </w:tc>
      </w:tr>
      <w:tr>
        <w:tc>
          <w:tcPr>
            <w:tcW w:w="684" w:type="dxa"/>
          </w:tcPr>
          <w:p>
            <w:pPr>
              <w:rPr>
                <w:b/>
              </w:rPr>
            </w:pPr>
            <w:r>
              <w:rPr>
                <w:b/>
              </w:rPr>
              <w:t>9</w:t>
            </w:r>
          </w:p>
        </w:tc>
        <w:tc>
          <w:tcPr>
            <w:tcW w:w="6824" w:type="dxa"/>
          </w:tcPr>
          <w:p>
            <w:pPr>
              <w:pStyle w:val="1"/>
            </w:pPr>
            <w:r>
              <w:t>Andere Themen</w:t>
            </w:r>
          </w:p>
          <w:p>
            <w:pPr>
              <w:pStyle w:val="Liste1"/>
            </w:pPr>
            <w:r>
              <w:t xml:space="preserve">Nächste Sitzung: Mittwoch, 20.07.2022, 11:00 Uhr, via </w:t>
            </w:r>
            <w:proofErr w:type="spellStart"/>
            <w:r>
              <w:t>Webex</w:t>
            </w:r>
            <w:proofErr w:type="spellEnd"/>
            <w:r>
              <w:br/>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12:47 Uhr</w:t>
      </w:r>
      <w:bookmarkStart w:id="0" w:name="_GoBack"/>
      <w:bookmarkEnd w:id="0"/>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Koordinierungsstelle des RKI </w:t>
    </w:r>
    <w:r>
      <w:rPr>
        <w:color w:val="1F497D" w:themeColor="text2"/>
      </w:rPr>
      <w:tab/>
    </w:r>
    <w:r>
      <w:rPr>
        <w:color w:val="1F497D" w:themeColor="text2"/>
      </w:rPr>
      <w:tab/>
      <w:t>Protokoll der COVID-19-Lage-AG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377B0"/>
    <w:multiLevelType w:val="hybridMultilevel"/>
    <w:tmpl w:val="B48AA7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64A4FD0"/>
    <w:multiLevelType w:val="hybridMultilevel"/>
    <w:tmpl w:val="4D58AAD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2AC5A26"/>
    <w:multiLevelType w:val="hybridMultilevel"/>
    <w:tmpl w:val="AEA44364"/>
    <w:lvl w:ilvl="0" w:tplc="EB4451E8">
      <w:start w:val="1"/>
      <w:numFmt w:val="bullet"/>
      <w:pStyle w:val="Liste1"/>
      <w:lvlText w:val=""/>
      <w:lvlJc w:val="left"/>
      <w:pPr>
        <w:ind w:left="473" w:hanging="360"/>
      </w:pPr>
      <w:rPr>
        <w:rFonts w:ascii="Symbol" w:hAnsi="Symbol" w:hint="default"/>
      </w:rPr>
    </w:lvl>
    <w:lvl w:ilvl="1" w:tplc="7A4C4BB4">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5"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6E6863"/>
    <w:multiLevelType w:val="hybridMultilevel"/>
    <w:tmpl w:val="B4ACDD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8AB08AF"/>
    <w:multiLevelType w:val="hybridMultilevel"/>
    <w:tmpl w:val="17AEDC54"/>
    <w:lvl w:ilvl="0" w:tplc="71F40AC2">
      <w:start w:val="1"/>
      <w:numFmt w:val="bullet"/>
      <w:pStyle w:val="Liste2"/>
      <w:lvlText w:val="o"/>
      <w:lvlJc w:val="left"/>
      <w:pPr>
        <w:ind w:left="833" w:hanging="360"/>
      </w:pPr>
      <w:rPr>
        <w:rFonts w:ascii="Courier New" w:hAnsi="Courier New" w:cs="Courier New" w:hint="default"/>
        <w:color w:val="auto"/>
      </w:rPr>
    </w:lvl>
    <w:lvl w:ilvl="1" w:tplc="04070005">
      <w:start w:val="1"/>
      <w:numFmt w:val="bullet"/>
      <w:lvlText w:val=""/>
      <w:lvlJc w:val="left"/>
      <w:pPr>
        <w:ind w:left="1553" w:hanging="360"/>
      </w:pPr>
      <w:rPr>
        <w:rFonts w:ascii="Wingdings" w:hAnsi="Wingdings"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9"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6207039F"/>
    <w:multiLevelType w:val="hybridMultilevel"/>
    <w:tmpl w:val="189447C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9"/>
  </w:num>
  <w:num w:numId="5">
    <w:abstractNumId w:val="5"/>
  </w:num>
  <w:num w:numId="6">
    <w:abstractNumId w:val="4"/>
  </w:num>
  <w:num w:numId="7">
    <w:abstractNumId w:val="8"/>
  </w:num>
  <w:num w:numId="8">
    <w:abstractNumId w:val="3"/>
  </w:num>
  <w:num w:numId="9">
    <w:abstractNumId w:val="11"/>
  </w:num>
  <w:num w:numId="10">
    <w:abstractNumId w:val="0"/>
  </w:num>
  <w:num w:numId="11">
    <w:abstractNumId w:val="7"/>
  </w:num>
  <w:num w:numId="12">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675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7585"/>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7"/>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43831">
      <w:bodyDiv w:val="1"/>
      <w:marLeft w:val="0"/>
      <w:marRight w:val="0"/>
      <w:marTop w:val="0"/>
      <w:marBottom w:val="0"/>
      <w:divBdr>
        <w:top w:val="none" w:sz="0" w:space="0" w:color="auto"/>
        <w:left w:val="none" w:sz="0" w:space="0" w:color="auto"/>
        <w:bottom w:val="none" w:sz="0" w:space="0" w:color="auto"/>
        <w:right w:val="none" w:sz="0" w:space="0" w:color="auto"/>
      </w:divBdr>
      <w:divsChild>
        <w:div w:id="569583662">
          <w:marLeft w:val="274"/>
          <w:marRight w:val="0"/>
          <w:marTop w:val="0"/>
          <w:marBottom w:val="0"/>
          <w:divBdr>
            <w:top w:val="none" w:sz="0" w:space="0" w:color="auto"/>
            <w:left w:val="none" w:sz="0" w:space="0" w:color="auto"/>
            <w:bottom w:val="none" w:sz="0" w:space="0" w:color="auto"/>
            <w:right w:val="none" w:sz="0" w:space="0" w:color="auto"/>
          </w:divBdr>
        </w:div>
      </w:divsChild>
    </w:div>
    <w:div w:id="158230297">
      <w:bodyDiv w:val="1"/>
      <w:marLeft w:val="0"/>
      <w:marRight w:val="0"/>
      <w:marTop w:val="0"/>
      <w:marBottom w:val="0"/>
      <w:divBdr>
        <w:top w:val="none" w:sz="0" w:space="0" w:color="auto"/>
        <w:left w:val="none" w:sz="0" w:space="0" w:color="auto"/>
        <w:bottom w:val="none" w:sz="0" w:space="0" w:color="auto"/>
        <w:right w:val="none" w:sz="0" w:space="0" w:color="auto"/>
      </w:divBdr>
    </w:div>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226304772">
      <w:bodyDiv w:val="1"/>
      <w:marLeft w:val="0"/>
      <w:marRight w:val="0"/>
      <w:marTop w:val="0"/>
      <w:marBottom w:val="0"/>
      <w:divBdr>
        <w:top w:val="none" w:sz="0" w:space="0" w:color="auto"/>
        <w:left w:val="none" w:sz="0" w:space="0" w:color="auto"/>
        <w:bottom w:val="none" w:sz="0" w:space="0" w:color="auto"/>
        <w:right w:val="none" w:sz="0" w:space="0" w:color="auto"/>
      </w:divBdr>
    </w:div>
    <w:div w:id="301231619">
      <w:bodyDiv w:val="1"/>
      <w:marLeft w:val="0"/>
      <w:marRight w:val="0"/>
      <w:marTop w:val="0"/>
      <w:marBottom w:val="0"/>
      <w:divBdr>
        <w:top w:val="none" w:sz="0" w:space="0" w:color="auto"/>
        <w:left w:val="none" w:sz="0" w:space="0" w:color="auto"/>
        <w:bottom w:val="none" w:sz="0" w:space="0" w:color="auto"/>
        <w:right w:val="none" w:sz="0" w:space="0" w:color="auto"/>
      </w:divBdr>
      <w:divsChild>
        <w:div w:id="322243105">
          <w:marLeft w:val="274"/>
          <w:marRight w:val="0"/>
          <w:marTop w:val="0"/>
          <w:marBottom w:val="0"/>
          <w:divBdr>
            <w:top w:val="none" w:sz="0" w:space="0" w:color="auto"/>
            <w:left w:val="none" w:sz="0" w:space="0" w:color="auto"/>
            <w:bottom w:val="none" w:sz="0" w:space="0" w:color="auto"/>
            <w:right w:val="none" w:sz="0" w:space="0" w:color="auto"/>
          </w:divBdr>
        </w:div>
      </w:divsChild>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4717021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06749042">
      <w:bodyDiv w:val="1"/>
      <w:marLeft w:val="0"/>
      <w:marRight w:val="0"/>
      <w:marTop w:val="0"/>
      <w:marBottom w:val="0"/>
      <w:divBdr>
        <w:top w:val="none" w:sz="0" w:space="0" w:color="auto"/>
        <w:left w:val="none" w:sz="0" w:space="0" w:color="auto"/>
        <w:bottom w:val="none" w:sz="0" w:space="0" w:color="auto"/>
        <w:right w:val="none" w:sz="0" w:space="0" w:color="auto"/>
      </w:divBdr>
      <w:divsChild>
        <w:div w:id="608512379">
          <w:marLeft w:val="274"/>
          <w:marRight w:val="0"/>
          <w:marTop w:val="0"/>
          <w:marBottom w:val="0"/>
          <w:divBdr>
            <w:top w:val="none" w:sz="0" w:space="0" w:color="auto"/>
            <w:left w:val="none" w:sz="0" w:space="0" w:color="auto"/>
            <w:bottom w:val="none" w:sz="0" w:space="0" w:color="auto"/>
            <w:right w:val="none" w:sz="0" w:space="0" w:color="auto"/>
          </w:divBdr>
        </w:div>
        <w:div w:id="1736005659">
          <w:marLeft w:val="274"/>
          <w:marRight w:val="0"/>
          <w:marTop w:val="0"/>
          <w:marBottom w:val="0"/>
          <w:divBdr>
            <w:top w:val="none" w:sz="0" w:space="0" w:color="auto"/>
            <w:left w:val="none" w:sz="0" w:space="0" w:color="auto"/>
            <w:bottom w:val="none" w:sz="0" w:space="0" w:color="auto"/>
            <w:right w:val="none" w:sz="0" w:space="0" w:color="auto"/>
          </w:divBdr>
        </w:div>
      </w:divsChild>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129973590">
      <w:bodyDiv w:val="1"/>
      <w:marLeft w:val="0"/>
      <w:marRight w:val="0"/>
      <w:marTop w:val="0"/>
      <w:marBottom w:val="0"/>
      <w:divBdr>
        <w:top w:val="none" w:sz="0" w:space="0" w:color="auto"/>
        <w:left w:val="none" w:sz="0" w:space="0" w:color="auto"/>
        <w:bottom w:val="none" w:sz="0" w:space="0" w:color="auto"/>
        <w:right w:val="none" w:sz="0" w:space="0" w:color="auto"/>
      </w:divBdr>
      <w:divsChild>
        <w:div w:id="1416589061">
          <w:marLeft w:val="274"/>
          <w:marRight w:val="0"/>
          <w:marTop w:val="0"/>
          <w:marBottom w:val="0"/>
          <w:divBdr>
            <w:top w:val="none" w:sz="0" w:space="0" w:color="auto"/>
            <w:left w:val="none" w:sz="0" w:space="0" w:color="auto"/>
            <w:bottom w:val="none" w:sz="0" w:space="0" w:color="auto"/>
            <w:right w:val="none" w:sz="0" w:space="0" w:color="auto"/>
          </w:divBdr>
        </w:div>
      </w:divsChild>
    </w:div>
    <w:div w:id="1450858053">
      <w:bodyDiv w:val="1"/>
      <w:marLeft w:val="0"/>
      <w:marRight w:val="0"/>
      <w:marTop w:val="0"/>
      <w:marBottom w:val="0"/>
      <w:divBdr>
        <w:top w:val="none" w:sz="0" w:space="0" w:color="auto"/>
        <w:left w:val="none" w:sz="0" w:space="0" w:color="auto"/>
        <w:bottom w:val="none" w:sz="0" w:space="0" w:color="auto"/>
        <w:right w:val="none" w:sz="0" w:space="0" w:color="auto"/>
      </w:divBdr>
      <w:divsChild>
        <w:div w:id="161893000">
          <w:marLeft w:val="274"/>
          <w:marRight w:val="0"/>
          <w:marTop w:val="0"/>
          <w:marBottom w:val="0"/>
          <w:divBdr>
            <w:top w:val="none" w:sz="0" w:space="0" w:color="auto"/>
            <w:left w:val="none" w:sz="0" w:space="0" w:color="auto"/>
            <w:bottom w:val="none" w:sz="0" w:space="0" w:color="auto"/>
            <w:right w:val="none" w:sz="0" w:space="0" w:color="auto"/>
          </w:divBdr>
        </w:div>
      </w:divsChild>
    </w:div>
    <w:div w:id="1514494069">
      <w:bodyDiv w:val="1"/>
      <w:marLeft w:val="0"/>
      <w:marRight w:val="0"/>
      <w:marTop w:val="0"/>
      <w:marBottom w:val="0"/>
      <w:divBdr>
        <w:top w:val="none" w:sz="0" w:space="0" w:color="auto"/>
        <w:left w:val="none" w:sz="0" w:space="0" w:color="auto"/>
        <w:bottom w:val="none" w:sz="0" w:space="0" w:color="auto"/>
        <w:right w:val="none" w:sz="0" w:space="0" w:color="auto"/>
      </w:divBdr>
      <w:divsChild>
        <w:div w:id="1020351026">
          <w:marLeft w:val="274"/>
          <w:marRight w:val="0"/>
          <w:marTop w:val="0"/>
          <w:marBottom w:val="0"/>
          <w:divBdr>
            <w:top w:val="none" w:sz="0" w:space="0" w:color="auto"/>
            <w:left w:val="none" w:sz="0" w:space="0" w:color="auto"/>
            <w:bottom w:val="none" w:sz="0" w:space="0" w:color="auto"/>
            <w:right w:val="none" w:sz="0" w:space="0" w:color="auto"/>
          </w:divBdr>
        </w:div>
      </w:divsChild>
    </w:div>
    <w:div w:id="1595288448">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 w:id="2144034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LageNational_2022-06-13_draft.ppt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OVID-19_internat.%20Lage_2022-07-13.ppt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
      <w:docPartPr>
        <w:name w:val="F0D9E73F34E743148301BB6C0E6942D3"/>
        <w:category>
          <w:name w:val="Allgemein"/>
          <w:gallery w:val="placeholder"/>
        </w:category>
        <w:types>
          <w:type w:val="bbPlcHdr"/>
        </w:types>
        <w:behaviors>
          <w:behavior w:val="content"/>
        </w:behaviors>
        <w:guid w:val="{A2B66DE9-E773-42B4-A4EF-3D1518F6A0D8}"/>
      </w:docPartPr>
      <w:docPartBody>
        <w:p>
          <w:pPr>
            <w:pStyle w:val="F0D9E73F34E743148301BB6C0E6942D3"/>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 w:type="paragraph" w:customStyle="1" w:styleId="F0D9E73F34E743148301BB6C0E6942D3">
    <w:name w:val="F0D9E73F34E743148301BB6C0E6942D3"/>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C46F92-41AC-4F04-9E65-EAD889FC7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2291</Words>
  <Characters>14437</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Wolter, Amrei</cp:lastModifiedBy>
  <cp:revision>11</cp:revision>
  <cp:lastPrinted>2020-05-06T16:43:00Z</cp:lastPrinted>
  <dcterms:created xsi:type="dcterms:W3CDTF">2022-07-15T10:57:00Z</dcterms:created>
  <dcterms:modified xsi:type="dcterms:W3CDTF">2022-07-15T13:59:00Z</dcterms:modified>
</cp:coreProperties>
</file>