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Wochentag, 10.08.2022,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Martin Mielke</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rPr>
          <w:sz w:val="22"/>
          <w:szCs w:val="22"/>
        </w:rPr>
      </w:pPr>
      <w:r>
        <w:rPr>
          <w:sz w:val="22"/>
          <w:szCs w:val="22"/>
        </w:rPr>
        <w:t>M. Mielke i.V.</w:t>
      </w:r>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FG11</w:t>
      </w:r>
    </w:p>
    <w:p>
      <w:pPr>
        <w:pStyle w:val="Listenabsatz"/>
        <w:numPr>
          <w:ilvl w:val="0"/>
          <w:numId w:val="2"/>
        </w:numPr>
        <w:spacing w:after="0"/>
        <w:contextualSpacing w:val="0"/>
        <w:rPr>
          <w:sz w:val="22"/>
          <w:szCs w:val="22"/>
        </w:rPr>
      </w:pPr>
      <w:r>
        <w:rPr>
          <w:sz w:val="22"/>
          <w:szCs w:val="22"/>
        </w:rPr>
        <w:t>FG12</w:t>
      </w:r>
    </w:p>
    <w:p>
      <w:pPr>
        <w:pStyle w:val="Listenabsatz"/>
        <w:numPr>
          <w:ilvl w:val="0"/>
          <w:numId w:val="2"/>
        </w:numPr>
        <w:spacing w:after="0"/>
        <w:contextualSpacing w:val="0"/>
        <w:rPr>
          <w:sz w:val="22"/>
          <w:szCs w:val="22"/>
        </w:rPr>
      </w:pPr>
      <w:r>
        <w:rPr>
          <w:sz w:val="22"/>
          <w:szCs w:val="22"/>
        </w:rPr>
        <w:t>FG15</w:t>
      </w:r>
    </w:p>
    <w:p>
      <w:pPr>
        <w:pStyle w:val="Listenabsatz"/>
        <w:numPr>
          <w:ilvl w:val="1"/>
          <w:numId w:val="2"/>
        </w:numPr>
        <w:spacing w:after="0" w:line="233" w:lineRule="auto"/>
        <w:contextualSpacing w:val="0"/>
        <w:rPr>
          <w:sz w:val="22"/>
          <w:szCs w:val="22"/>
        </w:rPr>
      </w:pPr>
      <w:r>
        <w:rPr>
          <w:sz w:val="22"/>
          <w:szCs w:val="22"/>
        </w:rPr>
        <w:t>Sindy Böttcher</w:t>
      </w:r>
    </w:p>
    <w:p>
      <w:pPr>
        <w:spacing w:after="0" w:line="233" w:lineRule="auto"/>
        <w:rPr>
          <w:sz w:val="22"/>
          <w:szCs w:val="22"/>
        </w:rPr>
      </w:pP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Barbara Biere</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Patrick Schmich</w:t>
      </w:r>
    </w:p>
    <w:p>
      <w:pPr>
        <w:pStyle w:val="Listenabsatz"/>
        <w:numPr>
          <w:ilvl w:val="1"/>
          <w:numId w:val="2"/>
        </w:numPr>
        <w:spacing w:after="0"/>
        <w:contextualSpacing w:val="0"/>
        <w:rPr>
          <w:rStyle w:val="highlight"/>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szCs w:val="22"/>
        </w:rPr>
      </w:pPr>
      <w:r>
        <w:rPr>
          <w:sz w:val="22"/>
          <w:szCs w:val="22"/>
        </w:rPr>
        <w:t xml:space="preserve">FG22 </w:t>
      </w:r>
    </w:p>
    <w:p>
      <w:pPr>
        <w:pStyle w:val="Listenabsatz"/>
        <w:numPr>
          <w:ilvl w:val="1"/>
          <w:numId w:val="2"/>
        </w:numPr>
        <w:spacing w:after="0"/>
        <w:contextualSpacing w:val="0"/>
        <w:rPr>
          <w:sz w:val="22"/>
          <w:szCs w:val="22"/>
        </w:rPr>
      </w:pPr>
      <w:r>
        <w:rPr>
          <w:sz w:val="22"/>
          <w:szCs w:val="22"/>
        </w:rPr>
        <w:t xml:space="preserve">Martin </w:t>
      </w:r>
      <w:proofErr w:type="spellStart"/>
      <w:r>
        <w:rPr>
          <w:sz w:val="22"/>
          <w:szCs w:val="22"/>
        </w:rPr>
        <w:t>Schlaud</w:t>
      </w:r>
      <w:proofErr w:type="spellEnd"/>
    </w:p>
    <w:p>
      <w:pPr>
        <w:pStyle w:val="Listenabsatz"/>
        <w:numPr>
          <w:ilvl w:val="1"/>
          <w:numId w:val="2"/>
        </w:numPr>
        <w:spacing w:after="0"/>
        <w:contextualSpacing w:val="0"/>
        <w:rPr>
          <w:sz w:val="22"/>
          <w:szCs w:val="22"/>
        </w:rPr>
      </w:pPr>
      <w:proofErr w:type="spellStart"/>
      <w:r>
        <w:rPr>
          <w:sz w:val="22"/>
          <w:szCs w:val="22"/>
        </w:rPr>
        <w:t>Cânâ</w:t>
      </w:r>
      <w:proofErr w:type="spellEnd"/>
      <w:r>
        <w:rPr>
          <w:sz w:val="22"/>
          <w:szCs w:val="22"/>
        </w:rPr>
        <w:t xml:space="preserve"> </w:t>
      </w:r>
      <w:proofErr w:type="spellStart"/>
      <w:r>
        <w:rPr>
          <w:sz w:val="22"/>
          <w:szCs w:val="22"/>
        </w:rPr>
        <w:t>Kußmaul</w:t>
      </w:r>
      <w:proofErr w:type="spellEnd"/>
    </w:p>
    <w:p>
      <w:pPr>
        <w:pStyle w:val="Listenabsatz"/>
        <w:numPr>
          <w:ilvl w:val="0"/>
          <w:numId w:val="2"/>
        </w:numPr>
        <w:spacing w:after="0"/>
        <w:contextualSpacing w:val="0"/>
        <w:rPr>
          <w:sz w:val="22"/>
          <w:szCs w:val="22"/>
        </w:rPr>
      </w:pPr>
      <w:r>
        <w:rPr>
          <w:sz w:val="22"/>
          <w:szCs w:val="22"/>
        </w:rPr>
        <w:t>FG23</w:t>
      </w:r>
    </w:p>
    <w:p>
      <w:pPr>
        <w:pStyle w:val="Listenabsatz"/>
        <w:numPr>
          <w:ilvl w:val="0"/>
          <w:numId w:val="2"/>
        </w:numPr>
        <w:spacing w:after="0"/>
        <w:contextualSpacing w:val="0"/>
        <w:rPr>
          <w:sz w:val="22"/>
          <w:szCs w:val="22"/>
        </w:rPr>
      </w:pPr>
      <w:r>
        <w:rPr>
          <w:sz w:val="22"/>
          <w:szCs w:val="22"/>
        </w:rPr>
        <w:t xml:space="preserve">FG 24 </w:t>
      </w:r>
    </w:p>
    <w:p>
      <w:pPr>
        <w:pStyle w:val="Listenabsatz"/>
        <w:numPr>
          <w:ilvl w:val="0"/>
          <w:numId w:val="2"/>
        </w:numPr>
        <w:spacing w:after="0"/>
        <w:contextualSpacing w:val="0"/>
        <w:rPr>
          <w:sz w:val="22"/>
        </w:rPr>
      </w:pPr>
      <w:r>
        <w:rPr>
          <w:sz w:val="22"/>
        </w:rPr>
        <w:t xml:space="preserve">FG25 </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Ulrike Grote</w:t>
      </w:r>
    </w:p>
    <w:p>
      <w:pPr>
        <w:pStyle w:val="Listenabsatz"/>
        <w:numPr>
          <w:ilvl w:val="1"/>
          <w:numId w:val="2"/>
        </w:numPr>
        <w:spacing w:after="0"/>
        <w:contextualSpacing w:val="0"/>
        <w:rPr>
          <w:sz w:val="22"/>
          <w:szCs w:val="22"/>
        </w:rPr>
      </w:pPr>
      <w:r>
        <w:rPr>
          <w:sz w:val="22"/>
          <w:szCs w:val="22"/>
        </w:rPr>
        <w:t>Ariane Halm</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Claudia Sievers</w:t>
      </w:r>
    </w:p>
    <w:p>
      <w:pPr>
        <w:pStyle w:val="Listenabsatz"/>
        <w:numPr>
          <w:ilvl w:val="1"/>
          <w:numId w:val="2"/>
        </w:numPr>
        <w:spacing w:after="0"/>
        <w:contextualSpacing w:val="0"/>
        <w:rPr>
          <w:sz w:val="22"/>
        </w:rPr>
      </w:pPr>
      <w:r>
        <w:rPr>
          <w:sz w:val="22"/>
        </w:rPr>
        <w:t>Timo Greiner</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szCs w:val="22"/>
        </w:rPr>
      </w:pPr>
      <w:r>
        <w:rPr>
          <w:sz w:val="22"/>
          <w:szCs w:val="22"/>
        </w:rPr>
        <w:t>FG34</w:t>
      </w: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Christina Frank</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Julia Hermes</w:t>
      </w:r>
    </w:p>
    <w:p>
      <w:pPr>
        <w:pStyle w:val="Listenabsatz"/>
        <w:numPr>
          <w:ilvl w:val="0"/>
          <w:numId w:val="3"/>
        </w:numPr>
        <w:spacing w:after="0"/>
        <w:contextualSpacing w:val="0"/>
        <w:rPr>
          <w:sz w:val="22"/>
          <w:szCs w:val="22"/>
        </w:rPr>
      </w:pPr>
      <w:r>
        <w:rPr>
          <w:sz w:val="22"/>
          <w:szCs w:val="22"/>
        </w:rPr>
        <w:t>ZBS1</w:t>
      </w:r>
    </w:p>
    <w:p>
      <w:pPr>
        <w:pStyle w:val="Listenabsatz"/>
        <w:numPr>
          <w:ilvl w:val="0"/>
          <w:numId w:val="3"/>
        </w:numPr>
        <w:spacing w:after="0"/>
        <w:contextualSpacing w:val="0"/>
        <w:rPr>
          <w:sz w:val="22"/>
          <w:szCs w:val="22"/>
        </w:rPr>
      </w:pPr>
      <w:r>
        <w:rPr>
          <w:sz w:val="22"/>
          <w:szCs w:val="22"/>
        </w:rPr>
        <w:t>ZBS7</w:t>
      </w:r>
    </w:p>
    <w:p>
      <w:pPr>
        <w:pStyle w:val="Listenabsatz"/>
        <w:numPr>
          <w:ilvl w:val="0"/>
          <w:numId w:val="3"/>
        </w:numPr>
        <w:spacing w:after="0"/>
        <w:contextualSpacing w:val="0"/>
        <w:rPr>
          <w:sz w:val="22"/>
          <w:szCs w:val="22"/>
        </w:rPr>
      </w:pPr>
      <w:r>
        <w:rPr>
          <w:sz w:val="22"/>
          <w:szCs w:val="22"/>
        </w:rPr>
        <w:t>MF2</w:t>
      </w:r>
    </w:p>
    <w:p>
      <w:pPr>
        <w:pStyle w:val="Listenabsatz"/>
        <w:numPr>
          <w:ilvl w:val="0"/>
          <w:numId w:val="3"/>
        </w:numPr>
        <w:spacing w:after="0"/>
        <w:contextualSpacing w:val="0"/>
        <w:rPr>
          <w:sz w:val="22"/>
          <w:szCs w:val="22"/>
        </w:rPr>
      </w:pPr>
      <w:r>
        <w:rPr>
          <w:sz w:val="22"/>
          <w:szCs w:val="22"/>
        </w:rPr>
        <w:t>MF3</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 xml:space="preserve">Sonia </w:t>
      </w:r>
      <w:proofErr w:type="spellStart"/>
      <w:r>
        <w:rPr>
          <w:sz w:val="22"/>
          <w:szCs w:val="22"/>
        </w:rPr>
        <w:t>Boender</w:t>
      </w:r>
      <w:proofErr w:type="spellEnd"/>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P4</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Anna Rohde</w:t>
      </w:r>
    </w:p>
    <w:p>
      <w:pPr>
        <w:pStyle w:val="Listenabsatz"/>
        <w:numPr>
          <w:ilvl w:val="0"/>
          <w:numId w:val="2"/>
        </w:numPr>
        <w:spacing w:after="0"/>
        <w:contextualSpacing w:val="0"/>
        <w:rPr>
          <w:rStyle w:val="highlight"/>
          <w:sz w:val="22"/>
          <w:szCs w:val="22"/>
        </w:rPr>
      </w:pPr>
      <w:r>
        <w:rPr>
          <w:rStyle w:val="highlight"/>
          <w:sz w:val="22"/>
          <w:szCs w:val="22"/>
        </w:rPr>
        <w:t>ZIG2</w:t>
      </w:r>
    </w:p>
    <w:p>
      <w:pPr>
        <w:pStyle w:val="Listenabsatz"/>
        <w:numPr>
          <w:ilvl w:val="0"/>
          <w:numId w:val="2"/>
        </w:numPr>
        <w:spacing w:after="0"/>
        <w:contextualSpacing w:val="0"/>
        <w:rPr>
          <w:rStyle w:val="highlight"/>
          <w:sz w:val="22"/>
          <w:szCs w:val="22"/>
        </w:rPr>
      </w:pPr>
      <w:r>
        <w:rPr>
          <w:rStyle w:val="highlight"/>
          <w:sz w:val="22"/>
          <w:szCs w:val="22"/>
        </w:rPr>
        <w:t>ZIG4</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 xml:space="preserve">Andrea </w:t>
      </w:r>
      <w:proofErr w:type="spellStart"/>
      <w:r>
        <w:rPr>
          <w:color w:val="000000" w:themeColor="text1"/>
          <w:sz w:val="22"/>
          <w:szCs w:val="22"/>
        </w:rPr>
        <w:t>Rückle</w:t>
      </w:r>
      <w:proofErr w:type="spellEnd"/>
    </w:p>
    <w:p>
      <w:pPr>
        <w:pStyle w:val="Listenabsatz"/>
        <w:numPr>
          <w:ilvl w:val="0"/>
          <w:numId w:val="2"/>
        </w:numPr>
        <w:spacing w:after="0"/>
        <w:contextualSpacing w:val="0"/>
        <w:rPr>
          <w:sz w:val="22"/>
          <w:szCs w:val="22"/>
        </w:rPr>
      </w:pP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b/>
                <w:bCs/>
                <w:i/>
                <w:color w:val="D99594" w:themeColor="accent2" w:themeTint="99"/>
              </w:rPr>
            </w:pPr>
            <w:r>
              <w:rPr>
                <w:rStyle w:val="2Zchn"/>
                <w:sz w:val="22"/>
                <w:szCs w:val="22"/>
              </w:rPr>
              <w:t>International</w:t>
            </w:r>
            <w:r>
              <w:rPr>
                <w:rStyle w:val="TagMiZchn"/>
                <w:bCs/>
              </w:rPr>
              <w:t xml:space="preserve"> </w:t>
            </w:r>
          </w:p>
          <w:p>
            <w:pPr>
              <w:pStyle w:val="Liste2"/>
            </w:pPr>
            <w:proofErr w:type="spellStart"/>
            <w:r>
              <w:t>Folien</w:t>
            </w:r>
            <w:proofErr w:type="spellEnd"/>
            <w:r>
              <w:t xml:space="preserve"> </w:t>
            </w:r>
            <w:hyperlink r:id="rId11" w:history="1">
              <w:proofErr w:type="spellStart"/>
              <w:r>
                <w:rPr>
                  <w:rStyle w:val="Hyperlink"/>
                </w:rPr>
                <w:t>hi</w:t>
              </w:r>
              <w:r>
                <w:rPr>
                  <w:rStyle w:val="Hyperlink"/>
                </w:rPr>
                <w:t>er</w:t>
              </w:r>
              <w:proofErr w:type="spellEnd"/>
            </w:hyperlink>
          </w:p>
          <w:p>
            <w:pPr>
              <w:pStyle w:val="Liste2"/>
            </w:pPr>
            <w:r>
              <w:t xml:space="preserve">WHO </w:t>
            </w:r>
            <w:proofErr w:type="spellStart"/>
            <w:r>
              <w:t>Datenstand</w:t>
            </w:r>
            <w:proofErr w:type="spellEnd"/>
            <w:r>
              <w:t xml:space="preserve"> 09.08.22</w:t>
            </w:r>
          </w:p>
          <w:p>
            <w:pPr>
              <w:pStyle w:val="Liste2"/>
              <w:rPr>
                <w:lang w:val="de-DE"/>
              </w:rPr>
            </w:pPr>
            <w:r>
              <w:rPr>
                <w:lang w:val="de-DE"/>
              </w:rPr>
              <w:t>Stagnation bzw. Rückgang der Fallzahlen weltweit (mit Ausnahme Asien). Weiterhin die meisten Fälle in Western Pacific und European Region. Todesfälle ebenfalls (mit Ausnahme Asien) fallend;</w:t>
            </w:r>
          </w:p>
          <w:p>
            <w:pPr>
              <w:pStyle w:val="Liste2"/>
              <w:rPr>
                <w:lang w:val="de-DE"/>
              </w:rPr>
            </w:pPr>
            <w:r>
              <w:rPr>
                <w:lang w:val="de-DE"/>
              </w:rPr>
              <w:t>7TI/100T EinwohnerInnen: mit wenigen Ausnahmen (Japan, Südkorea, Russland) Abschwächung, noch hohe 7TI/100T in Neuseeland, Australien, Südkorea und Japan zu beobachten.</w:t>
            </w:r>
          </w:p>
          <w:p>
            <w:pPr>
              <w:pStyle w:val="Liste2"/>
              <w:rPr>
                <w:lang w:val="de-DE"/>
              </w:rPr>
            </w:pPr>
            <w:r>
              <w:rPr>
                <w:lang w:val="de-DE"/>
              </w:rPr>
              <w:t xml:space="preserve">Russland: 85/100T, wenn auch insgesamt als niedrig anzusehen, handelt es sich hier aufgrund der hohen Bevölkerungszahl um eine relevante Anzahl an Infektionen. </w:t>
            </w:r>
            <w:r>
              <w:rPr>
                <w:lang w:val="de-DE"/>
              </w:rPr>
              <w:br/>
              <w:t xml:space="preserve">+ 62% im Vergleich zur Vorwoche. Info über ECDC, dass Hospitalisierungen um 27% gestiegen sind im Vergleich zur Vorwoche. Dominanz BA.5 seit Ende Juni. </w:t>
            </w:r>
          </w:p>
          <w:p>
            <w:pPr>
              <w:pStyle w:val="Liste2"/>
              <w:rPr>
                <w:lang w:val="de-DE"/>
              </w:rPr>
            </w:pPr>
            <w:r>
              <w:rPr>
                <w:lang w:val="de-DE"/>
              </w:rPr>
              <w:t xml:space="preserve">Europa: Daten über Sommer werden nicht sehr zuverlässig gemeldet, Verzögerungen </w:t>
            </w:r>
            <w:proofErr w:type="spellStart"/>
            <w:r>
              <w:rPr>
                <w:lang w:val="de-DE"/>
              </w:rPr>
              <w:t>u.A.</w:t>
            </w:r>
            <w:proofErr w:type="spellEnd"/>
            <w:r>
              <w:rPr>
                <w:lang w:val="de-DE"/>
              </w:rPr>
              <w:t xml:space="preserve"> bei Griechenland und Finnland.</w:t>
            </w:r>
          </w:p>
          <w:p>
            <w:pPr>
              <w:pStyle w:val="Liste2"/>
              <w:numPr>
                <w:ilvl w:val="0"/>
                <w:numId w:val="0"/>
              </w:numPr>
              <w:ind w:left="833"/>
            </w:pPr>
          </w:p>
          <w:p>
            <w:pPr>
              <w:pStyle w:val="Liste2"/>
              <w:numPr>
                <w:ilvl w:val="0"/>
                <w:numId w:val="0"/>
              </w:numPr>
              <w:rPr>
                <w:lang w:val="de-DE"/>
              </w:rPr>
            </w:pPr>
            <w:proofErr w:type="spellStart"/>
            <w:r>
              <w:rPr>
                <w:lang w:val="de-DE"/>
              </w:rPr>
              <w:t>ToDo</w:t>
            </w:r>
            <w:proofErr w:type="spellEnd"/>
            <w:r>
              <w:rPr>
                <w:lang w:val="de-DE"/>
              </w:rPr>
              <w:t xml:space="preserve">: Für nächste Woche vorbereiten: Übersicht über aktuelle Maßnahmen innerhalb der EU. </w:t>
            </w:r>
          </w:p>
          <w:p>
            <w:pPr>
              <w:pStyle w:val="2"/>
            </w:pPr>
            <w:r>
              <w:t xml:space="preserve">National </w:t>
            </w:r>
          </w:p>
          <w:p>
            <w:pPr>
              <w:pStyle w:val="Liste2"/>
              <w:numPr>
                <w:ilvl w:val="0"/>
                <w:numId w:val="0"/>
              </w:numPr>
            </w:pPr>
            <w:r>
              <w:t xml:space="preserve">Fallzahlen, </w:t>
            </w:r>
            <w:proofErr w:type="spellStart"/>
            <w:r>
              <w:t>Todesfälle</w:t>
            </w:r>
            <w:proofErr w:type="spellEnd"/>
            <w:r>
              <w:t xml:space="preserve">, Trend, </w:t>
            </w:r>
            <w:proofErr w:type="spellStart"/>
            <w:r>
              <w:t>Folien</w:t>
            </w:r>
            <w:proofErr w:type="spellEnd"/>
            <w:r>
              <w:t xml:space="preserve"> </w:t>
            </w:r>
            <w:hyperlink r:id="rId12" w:history="1">
              <w:proofErr w:type="spellStart"/>
              <w:r>
                <w:rPr>
                  <w:rStyle w:val="Hyperlink"/>
                </w:rPr>
                <w:t>hi</w:t>
              </w:r>
              <w:r>
                <w:rPr>
                  <w:rStyle w:val="Hyperlink"/>
                </w:rPr>
                <w:t>er</w:t>
              </w:r>
              <w:proofErr w:type="spellEnd"/>
            </w:hyperlink>
          </w:p>
          <w:p>
            <w:pPr>
              <w:pStyle w:val="Liste2"/>
              <w:rPr>
                <w:lang w:val="de-DE"/>
              </w:rPr>
            </w:pPr>
            <w:r>
              <w:rPr>
                <w:lang w:val="de-DE"/>
              </w:rPr>
              <w:t xml:space="preserve">Im Vergleich zur Vorwoche überall Rückgang in Infektionszahlen zu beobachten. </w:t>
            </w:r>
          </w:p>
          <w:p>
            <w:pPr>
              <w:pStyle w:val="Liste2"/>
              <w:rPr>
                <w:lang w:val="de-DE"/>
              </w:rPr>
            </w:pPr>
            <w:proofErr w:type="spellStart"/>
            <w:r>
              <w:rPr>
                <w:lang w:val="de-DE"/>
              </w:rPr>
              <w:t>SurvNet</w:t>
            </w:r>
            <w:proofErr w:type="spellEnd"/>
            <w:r>
              <w:rPr>
                <w:lang w:val="de-DE"/>
              </w:rPr>
              <w:t xml:space="preserve"> übermittelt: 31.379.757 (+72.737), davon 145.241 (+213) Todesfälle </w:t>
            </w:r>
          </w:p>
          <w:p>
            <w:pPr>
              <w:pStyle w:val="Liste2"/>
            </w:pPr>
            <w:r>
              <w:t xml:space="preserve">7-Tage-Inzidenz: 366,8/100.000 </w:t>
            </w:r>
            <w:proofErr w:type="spellStart"/>
            <w:r>
              <w:t>Einw</w:t>
            </w:r>
            <w:proofErr w:type="spellEnd"/>
            <w:r>
              <w:t>.</w:t>
            </w:r>
          </w:p>
          <w:p>
            <w:pPr>
              <w:pStyle w:val="Liste2"/>
              <w:rPr>
                <w:lang w:val="de-DE"/>
              </w:rPr>
            </w:pPr>
            <w:r>
              <w:rPr>
                <w:lang w:val="de-DE"/>
              </w:rPr>
              <w:t>Verlauf der 7-Tage-Inzidenz der Bundesländer:</w:t>
            </w:r>
          </w:p>
          <w:p>
            <w:pPr>
              <w:pStyle w:val="Liste3"/>
              <w:numPr>
                <w:ilvl w:val="0"/>
                <w:numId w:val="0"/>
              </w:numPr>
              <w:ind w:left="1190" w:hanging="357"/>
            </w:pPr>
            <w:r>
              <w:t>Überall deutlicher Rückgang zu beobachten;</w:t>
            </w:r>
          </w:p>
          <w:p>
            <w:pPr>
              <w:pStyle w:val="Liste3"/>
              <w:numPr>
                <w:ilvl w:val="0"/>
                <w:numId w:val="0"/>
              </w:numPr>
              <w:ind w:left="833"/>
            </w:pPr>
            <w:r>
              <w:t xml:space="preserve">Nur noch 2 LK mit einer 7TI höher als 1000. Anhand der </w:t>
            </w:r>
            <w:proofErr w:type="spellStart"/>
            <w:r>
              <w:t>Heatmap</w:t>
            </w:r>
            <w:proofErr w:type="spellEnd"/>
            <w:r>
              <w:t xml:space="preserve"> ist ebenfalls zu sehen, dass der Peak der Welle überschritten ist. </w:t>
            </w:r>
          </w:p>
          <w:p>
            <w:pPr>
              <w:pStyle w:val="Liste3"/>
              <w:numPr>
                <w:ilvl w:val="0"/>
                <w:numId w:val="0"/>
              </w:numPr>
              <w:ind w:left="1193" w:hanging="360"/>
            </w:pPr>
            <w:r>
              <w:t xml:space="preserve">Todesfälle: Nachmeldungen erwartet. </w:t>
            </w:r>
          </w:p>
          <w:p>
            <w:pPr>
              <w:pStyle w:val="Liste3"/>
              <w:numPr>
                <w:ilvl w:val="0"/>
                <w:numId w:val="0"/>
              </w:numPr>
              <w:ind w:left="1193" w:hanging="360"/>
            </w:pPr>
            <w:r>
              <w:t xml:space="preserve">Sterbefallzahlen/Übersterblichkeit Destatis: </w:t>
            </w:r>
          </w:p>
          <w:p>
            <w:pPr>
              <w:pStyle w:val="Liste3"/>
              <w:numPr>
                <w:ilvl w:val="0"/>
                <w:numId w:val="0"/>
              </w:numPr>
              <w:ind w:left="1193" w:hanging="360"/>
            </w:pPr>
            <w:r>
              <w:t>Momentaner Anstieg der Übersterblichkeit KW29/30</w:t>
            </w:r>
          </w:p>
          <w:p>
            <w:pPr>
              <w:pStyle w:val="Liste3"/>
              <w:numPr>
                <w:ilvl w:val="0"/>
                <w:numId w:val="0"/>
              </w:numPr>
              <w:ind w:left="1193" w:hanging="360"/>
            </w:pPr>
            <w:r>
              <w:t>vermutlich auf Hitzetage zurückzuführen, da es nicht einher</w:t>
            </w:r>
          </w:p>
          <w:p>
            <w:pPr>
              <w:pStyle w:val="Liste3"/>
              <w:numPr>
                <w:ilvl w:val="0"/>
                <w:numId w:val="0"/>
              </w:numPr>
              <w:ind w:left="1193" w:hanging="360"/>
            </w:pPr>
            <w:r>
              <w:t xml:space="preserve">geht mit deutlichem Anstieg der COVID-bedingten Todesfälle. </w:t>
            </w:r>
          </w:p>
          <w:p>
            <w:pPr>
              <w:pStyle w:val="Liste3"/>
              <w:numPr>
                <w:ilvl w:val="0"/>
                <w:numId w:val="0"/>
              </w:numPr>
              <w:ind w:left="1193" w:hanging="360"/>
            </w:pPr>
            <w:r>
              <w:t>Sonderauswertung Todesfälle Destatis (Folien 8 und 9):</w:t>
            </w:r>
          </w:p>
          <w:p>
            <w:pPr>
              <w:pStyle w:val="Liste3"/>
              <w:numPr>
                <w:ilvl w:val="0"/>
                <w:numId w:val="0"/>
              </w:numPr>
              <w:ind w:left="833"/>
            </w:pPr>
            <w:r>
              <w:t xml:space="preserve">Januar 2020-August 2021: 20 Todesfallkategorien wurden zusammengefasst, und in den Vergleich zu COVID-Todesfällen gesetzt. Anteil der jeweiligen Todesfälle an der Gesamtzahl abgebildet. </w:t>
            </w:r>
          </w:p>
          <w:p>
            <w:pPr>
              <w:pStyle w:val="Liste3"/>
              <w:numPr>
                <w:ilvl w:val="0"/>
                <w:numId w:val="0"/>
              </w:numPr>
              <w:ind w:left="1193"/>
            </w:pPr>
          </w:p>
          <w:p>
            <w:pPr>
              <w:pStyle w:val="Liste2"/>
              <w:numPr>
                <w:ilvl w:val="0"/>
                <w:numId w:val="0"/>
              </w:numPr>
              <w:rPr>
                <w:rStyle w:val="TagMiZchn"/>
                <w:b w:val="0"/>
                <w:bCs/>
                <w:lang w:val="de-DE"/>
              </w:rPr>
            </w:pPr>
            <w:r>
              <w:rPr>
                <w:rStyle w:val="3Zchn"/>
                <w:b w:val="0"/>
                <w:lang w:val="de-DE"/>
              </w:rPr>
              <w:t xml:space="preserve">Testkapazität und Testungen, Folien </w:t>
            </w:r>
            <w:hyperlink r:id="rId13" w:history="1">
              <w:r>
                <w:rPr>
                  <w:rStyle w:val="Hyperlink"/>
                  <w:lang w:val="de-DE"/>
                </w:rPr>
                <w:t>hi</w:t>
              </w:r>
              <w:r>
                <w:rPr>
                  <w:rStyle w:val="Hyperlink"/>
                  <w:lang w:val="de-DE"/>
                </w:rPr>
                <w:t>er</w:t>
              </w:r>
            </w:hyperlink>
            <w:r>
              <w:rPr>
                <w:lang w:val="de-DE"/>
              </w:rPr>
              <w:t xml:space="preserve"> </w:t>
            </w:r>
          </w:p>
          <w:p>
            <w:pPr>
              <w:pStyle w:val="Liste2"/>
              <w:rPr>
                <w:lang w:val="de-DE"/>
              </w:rPr>
            </w:pPr>
            <w:r>
              <w:rPr>
                <w:lang w:val="de-DE"/>
              </w:rPr>
              <w:lastRenderedPageBreak/>
              <w:t xml:space="preserve">15% Rückgang bei Testungen (knapp über 600T in KW31). Positivquote Rückgang von 54% (KW29) auf 45% (KW31); etwas weniger Labore berichteten. KVen vergüten momentan Antigentests nicht, da sie Problem mit Abrechnungen sehen aufgrund möglichen Betrugs. </w:t>
            </w:r>
          </w:p>
          <w:p>
            <w:pPr>
              <w:pStyle w:val="Liste2"/>
              <w:numPr>
                <w:ilvl w:val="0"/>
                <w:numId w:val="0"/>
              </w:numPr>
              <w:ind w:left="833"/>
              <w:rPr>
                <w:lang w:val="de-DE"/>
              </w:rPr>
            </w:pPr>
          </w:p>
          <w:p>
            <w:pPr>
              <w:pStyle w:val="Liste2"/>
              <w:numPr>
                <w:ilvl w:val="0"/>
                <w:numId w:val="0"/>
              </w:numPr>
            </w:pPr>
            <w:r>
              <w:t>ARS-</w:t>
            </w:r>
            <w:proofErr w:type="spellStart"/>
            <w:r>
              <w:t>Daten</w:t>
            </w:r>
            <w:proofErr w:type="spellEnd"/>
            <w:r>
              <w:t xml:space="preserve">, </w:t>
            </w:r>
            <w:proofErr w:type="spellStart"/>
            <w:r>
              <w:t>Folien</w:t>
            </w:r>
            <w:proofErr w:type="spellEnd"/>
            <w:r>
              <w:t xml:space="preserve"> </w:t>
            </w:r>
            <w:hyperlink r:id="rId14" w:history="1">
              <w:proofErr w:type="spellStart"/>
              <w:r>
                <w:rPr>
                  <w:rStyle w:val="Hyperlink"/>
                </w:rPr>
                <w:t>hier</w:t>
              </w:r>
              <w:proofErr w:type="spellEnd"/>
            </w:hyperlink>
            <w:r>
              <w:t xml:space="preserve"> </w:t>
            </w:r>
          </w:p>
          <w:p>
            <w:pPr>
              <w:pStyle w:val="Liste2"/>
              <w:rPr>
                <w:lang w:val="de-DE"/>
              </w:rPr>
            </w:pPr>
            <w:r>
              <w:rPr>
                <w:lang w:val="de-DE"/>
              </w:rPr>
              <w:t xml:space="preserve">Testungen und Anteil der pos. Testungen auch hier rückläufig. Regional überall ähnliches Bild; keine Ausreißer in bestimmten Altersgruppen zu beobachten. </w:t>
            </w:r>
          </w:p>
          <w:p>
            <w:pPr>
              <w:pStyle w:val="Liste2"/>
              <w:rPr>
                <w:lang w:val="de-DE"/>
              </w:rPr>
            </w:pPr>
            <w:r>
              <w:rPr>
                <w:lang w:val="de-DE"/>
              </w:rPr>
              <w:t>Ausbrüche: Kein deutlicher Anstieg zu beobachten. Im Vergleich zur Vorwoche 104 Ausbrüche med. Einrichtungen (150 in Vorwoche), 290 in Alten-/Pflegeheimen (370 Vorwoche). Todesfallzahlen ähnliches Bild: Plateau</w:t>
            </w:r>
          </w:p>
          <w:p>
            <w:pPr>
              <w:pStyle w:val="Liste2"/>
              <w:numPr>
                <w:ilvl w:val="0"/>
                <w:numId w:val="0"/>
              </w:numPr>
              <w:ind w:left="833"/>
              <w:rPr>
                <w:lang w:val="de-DE"/>
              </w:rPr>
            </w:pPr>
          </w:p>
          <w:p>
            <w:pPr>
              <w:pStyle w:val="Liste2"/>
              <w:numPr>
                <w:ilvl w:val="0"/>
                <w:numId w:val="0"/>
              </w:numPr>
              <w:rPr>
                <w:lang w:val="de-DE"/>
              </w:rPr>
            </w:pPr>
            <w:r>
              <w:rPr>
                <w:lang w:val="de-DE"/>
              </w:rPr>
              <w:t xml:space="preserve">VOC-Bericht und molekulare Surveillance, Folien </w:t>
            </w:r>
            <w:hyperlink r:id="rId15" w:history="1">
              <w:r>
                <w:rPr>
                  <w:rStyle w:val="Hyperlink"/>
                  <w:lang w:val="de-DE"/>
                </w:rPr>
                <w:t>hier</w:t>
              </w:r>
            </w:hyperlink>
          </w:p>
          <w:p>
            <w:pPr>
              <w:pStyle w:val="Liste2"/>
              <w:rPr>
                <w:lang w:val="de-DE"/>
              </w:rPr>
            </w:pPr>
            <w:r>
              <w:rPr>
                <w:lang w:val="de-DE"/>
              </w:rPr>
              <w:t xml:space="preserve">Keine große Änderung. Leichter Zuwachs BA.5 auf 94%. Abnahme BA.2 und BA.4 Fälle. BA2.75 leichter Zuwachs von 5 auf 17 Proben. </w:t>
            </w:r>
          </w:p>
          <w:p>
            <w:pPr>
              <w:pStyle w:val="Liste2"/>
              <w:numPr>
                <w:ilvl w:val="0"/>
                <w:numId w:val="0"/>
              </w:numPr>
            </w:pPr>
          </w:p>
          <w:p>
            <w:pPr>
              <w:pStyle w:val="Liste2"/>
              <w:numPr>
                <w:ilvl w:val="0"/>
                <w:numId w:val="0"/>
              </w:numPr>
              <w:rPr>
                <w:rStyle w:val="TagMiZchn"/>
                <w:b w:val="0"/>
                <w:i w:val="0"/>
                <w:color w:val="auto"/>
                <w:lang w:val="de-DE"/>
              </w:rPr>
            </w:pPr>
            <w:proofErr w:type="spellStart"/>
            <w:r>
              <w:rPr>
                <w:lang w:val="de-DE"/>
              </w:rPr>
              <w:t>Syndromische</w:t>
            </w:r>
            <w:proofErr w:type="spellEnd"/>
            <w:r>
              <w:rPr>
                <w:lang w:val="de-DE"/>
              </w:rPr>
              <w:t xml:space="preserve"> Surveillance</w:t>
            </w:r>
            <w:r>
              <w:rPr>
                <w:rStyle w:val="TagMiZchn"/>
                <w:b w:val="0"/>
                <w:i w:val="0"/>
                <w:color w:val="auto"/>
                <w:lang w:val="de-DE"/>
              </w:rPr>
              <w:t xml:space="preserve">, Folien </w:t>
            </w:r>
            <w:hyperlink r:id="rId16" w:history="1">
              <w:r>
                <w:rPr>
                  <w:rStyle w:val="Hyperlink"/>
                  <w:lang w:val="de-DE"/>
                </w:rPr>
                <w:t>hier</w:t>
              </w:r>
            </w:hyperlink>
          </w:p>
          <w:p>
            <w:pPr>
              <w:pStyle w:val="Liste2"/>
              <w:numPr>
                <w:ilvl w:val="0"/>
                <w:numId w:val="9"/>
              </w:numPr>
              <w:ind w:left="828" w:hanging="357"/>
              <w:rPr>
                <w:lang w:val="de-DE"/>
              </w:rPr>
            </w:pPr>
            <w:r>
              <w:rPr>
                <w:lang w:val="de-DE"/>
              </w:rPr>
              <w:t xml:space="preserve">ARE: Rückgang in den letzten Wochen. Etwa 2.8 </w:t>
            </w:r>
            <w:proofErr w:type="spellStart"/>
            <w:r>
              <w:rPr>
                <w:lang w:val="de-DE"/>
              </w:rPr>
              <w:t>Mio</w:t>
            </w:r>
            <w:proofErr w:type="spellEnd"/>
            <w:r>
              <w:rPr>
                <w:lang w:val="de-DE"/>
              </w:rPr>
              <w:t xml:space="preserve"> ARE unabhängig von Arztbesuchen. In allen </w:t>
            </w:r>
            <w:proofErr w:type="spellStart"/>
            <w:r>
              <w:rPr>
                <w:lang w:val="de-DE"/>
              </w:rPr>
              <w:t>Altersgrupppen</w:t>
            </w:r>
            <w:proofErr w:type="spellEnd"/>
            <w:r>
              <w:rPr>
                <w:lang w:val="de-DE"/>
              </w:rPr>
              <w:t xml:space="preserve"> U60 Rückgang zu beobachten. Ü60 Plateau. </w:t>
            </w:r>
          </w:p>
          <w:p>
            <w:pPr>
              <w:pStyle w:val="Liste2"/>
              <w:numPr>
                <w:ilvl w:val="0"/>
                <w:numId w:val="9"/>
              </w:numPr>
              <w:ind w:left="828" w:hanging="357"/>
              <w:rPr>
                <w:lang w:val="de-DE"/>
              </w:rPr>
            </w:pPr>
            <w:r>
              <w:rPr>
                <w:lang w:val="de-DE"/>
              </w:rPr>
              <w:t xml:space="preserve">Ambulanter Bereich ebenfalls Rückgang (in allen Altersgruppen). Unter 1 Mio. Arztbesuche aufgrund von ARE. Kinder bis 14 wieder auf vorpandemischem Niveau. Erwachsene (ab 15) sehr viel höhere Konsultationsinzidenz, bis zu 3x erhöht im Vergleich zu den Vorjahren. </w:t>
            </w:r>
          </w:p>
          <w:p>
            <w:pPr>
              <w:pStyle w:val="Liste2"/>
              <w:numPr>
                <w:ilvl w:val="0"/>
                <w:numId w:val="9"/>
              </w:numPr>
              <w:ind w:left="828" w:hanging="357"/>
              <w:rPr>
                <w:lang w:val="de-DE"/>
              </w:rPr>
            </w:pPr>
            <w:r>
              <w:rPr>
                <w:lang w:val="de-DE"/>
              </w:rPr>
              <w:t xml:space="preserve">ARE mit COVID Diagnose: in jüngeren Altersgruppen deutlicher Rückgang, ab 35 Rückgang etwas abgeschwächt, Ü80 leichter Anstieg. </w:t>
            </w:r>
          </w:p>
          <w:p>
            <w:pPr>
              <w:pStyle w:val="Liste2"/>
              <w:numPr>
                <w:ilvl w:val="0"/>
                <w:numId w:val="9"/>
              </w:numPr>
              <w:ind w:left="828" w:hanging="357"/>
              <w:rPr>
                <w:lang w:val="de-DE"/>
              </w:rPr>
            </w:pPr>
            <w:r>
              <w:rPr>
                <w:lang w:val="de-DE"/>
              </w:rPr>
              <w:t>Stationär: SARI insgesamt und SARI auf ITS: Rückgang aber stabil, mit vorpandemischen Jahren vergleichbar.</w:t>
            </w:r>
          </w:p>
          <w:p>
            <w:pPr>
              <w:pStyle w:val="Liste2"/>
              <w:numPr>
                <w:ilvl w:val="0"/>
                <w:numId w:val="0"/>
              </w:numPr>
              <w:ind w:left="833"/>
              <w:rPr>
                <w:lang w:val="de-DE"/>
              </w:rPr>
            </w:pPr>
            <w:r>
              <w:rPr>
                <w:lang w:val="de-DE"/>
              </w:rPr>
              <w:t>Erhöhung der Fallzahlen aus Vorwochen: Ü60 hauptsächlich betroffen, aber hier auch wieder Rückgang. Ü80: über 40% der COVID- Diagnosen bei SARI Patienten/innen.</w:t>
            </w:r>
          </w:p>
          <w:p>
            <w:pPr>
              <w:pStyle w:val="Liste2"/>
              <w:numPr>
                <w:ilvl w:val="0"/>
                <w:numId w:val="10"/>
              </w:numPr>
              <w:ind w:left="828" w:hanging="357"/>
              <w:rPr>
                <w:lang w:val="de-DE"/>
              </w:rPr>
            </w:pPr>
            <w:r>
              <w:rPr>
                <w:lang w:val="de-DE"/>
              </w:rPr>
              <w:t xml:space="preserve">Vergleich </w:t>
            </w:r>
            <w:proofErr w:type="spellStart"/>
            <w:r>
              <w:rPr>
                <w:lang w:val="de-DE"/>
              </w:rPr>
              <w:t>Hosp</w:t>
            </w:r>
            <w:proofErr w:type="spellEnd"/>
            <w:r>
              <w:rPr>
                <w:lang w:val="de-DE"/>
              </w:rPr>
              <w:t xml:space="preserve">-Inzidenzen Meldedaten und COVID SARI: starker Rückgang in KW30 hat sich etwas abgeschwächt. Stabile Zahlen vor allem in älteren Altersgruppen. </w:t>
            </w:r>
          </w:p>
          <w:p>
            <w:pPr>
              <w:pStyle w:val="Liste2"/>
              <w:numPr>
                <w:ilvl w:val="0"/>
                <w:numId w:val="0"/>
              </w:numPr>
              <w:rPr>
                <w:color w:val="FF0000"/>
                <w:lang w:val="de-DE"/>
              </w:rPr>
            </w:pPr>
          </w:p>
          <w:p>
            <w:pPr>
              <w:pStyle w:val="Liste2"/>
              <w:numPr>
                <w:ilvl w:val="0"/>
                <w:numId w:val="0"/>
              </w:numPr>
              <w:rPr>
                <w:rStyle w:val="TagMiZchn"/>
                <w:b w:val="0"/>
                <w:lang w:val="de-DE"/>
              </w:rPr>
            </w:pPr>
            <w:r>
              <w:rPr>
                <w:lang w:val="de-DE"/>
              </w:rPr>
              <w:t xml:space="preserve">Virologische Surveillance, NRZ Influenza-Daten, Folien </w:t>
            </w:r>
            <w:hyperlink r:id="rId17" w:history="1">
              <w:r>
                <w:rPr>
                  <w:rStyle w:val="Hyperlink"/>
                  <w:lang w:val="de-DE"/>
                </w:rPr>
                <w:t>hi</w:t>
              </w:r>
              <w:r>
                <w:rPr>
                  <w:rStyle w:val="Hyperlink"/>
                  <w:lang w:val="de-DE"/>
                </w:rPr>
                <w:t>er</w:t>
              </w:r>
            </w:hyperlink>
            <w:r>
              <w:rPr>
                <w:lang w:val="de-DE"/>
              </w:rPr>
              <w:t xml:space="preserve"> (Folien 13 und 14)</w:t>
            </w:r>
          </w:p>
          <w:p>
            <w:pPr>
              <w:pStyle w:val="Liste2"/>
              <w:rPr>
                <w:lang w:val="de-DE"/>
              </w:rPr>
            </w:pPr>
            <w:r>
              <w:rPr>
                <w:lang w:val="de-DE"/>
              </w:rPr>
              <w:t xml:space="preserve">Ausschließlich SARS-CoV-2 Nachweise, keine anderen Coronaviren. </w:t>
            </w:r>
          </w:p>
          <w:p>
            <w:pPr>
              <w:pStyle w:val="Liste2"/>
              <w:rPr>
                <w:lang w:val="de-DE"/>
              </w:rPr>
            </w:pPr>
            <w:r>
              <w:rPr>
                <w:lang w:val="de-DE"/>
              </w:rPr>
              <w:t xml:space="preserve">30% SARS-COV-2 (deutlicher Anstieg). </w:t>
            </w:r>
          </w:p>
          <w:p>
            <w:pPr>
              <w:pStyle w:val="Liste2"/>
              <w:rPr>
                <w:lang w:val="de-DE"/>
              </w:rPr>
            </w:pPr>
            <w:r>
              <w:rPr>
                <w:lang w:val="de-DE"/>
              </w:rPr>
              <w:t xml:space="preserve">Keine Influenza Viren nachgewiesen. </w:t>
            </w:r>
          </w:p>
          <w:p>
            <w:pPr>
              <w:pStyle w:val="Liste2"/>
              <w:rPr>
                <w:lang w:val="de-DE"/>
              </w:rPr>
            </w:pPr>
            <w:r>
              <w:rPr>
                <w:lang w:val="de-DE"/>
              </w:rPr>
              <w:t xml:space="preserve">Sonstige Atemwegsviren: insgesamt Rückgang. PIV und Rhino mit sinkenden Anteilen. RSV und </w:t>
            </w:r>
            <w:proofErr w:type="spellStart"/>
            <w:r>
              <w:rPr>
                <w:lang w:val="de-DE"/>
              </w:rPr>
              <w:t>hMPV</w:t>
            </w:r>
            <w:proofErr w:type="spellEnd"/>
            <w:r>
              <w:rPr>
                <w:lang w:val="de-DE"/>
              </w:rPr>
              <w:t xml:space="preserve"> </w:t>
            </w:r>
            <w:proofErr w:type="spellStart"/>
            <w:r>
              <w:rPr>
                <w:lang w:val="de-DE"/>
              </w:rPr>
              <w:t>nicht nac</w:t>
            </w:r>
            <w:proofErr w:type="spellEnd"/>
            <w:r>
              <w:rPr>
                <w:lang w:val="de-DE"/>
              </w:rPr>
              <w:t xml:space="preserve">hweisbar. </w:t>
            </w:r>
          </w:p>
          <w:p>
            <w:pPr>
              <w:pStyle w:val="Liste2"/>
              <w:numPr>
                <w:ilvl w:val="0"/>
                <w:numId w:val="0"/>
              </w:numPr>
              <w:ind w:left="833"/>
              <w:rPr>
                <w:lang w:val="de-DE"/>
              </w:rPr>
            </w:pPr>
          </w:p>
          <w:p>
            <w:pPr>
              <w:pStyle w:val="Liste2"/>
              <w:numPr>
                <w:ilvl w:val="0"/>
                <w:numId w:val="0"/>
              </w:numPr>
              <w:rPr>
                <w:bCs/>
                <w:i/>
                <w:color w:val="D99594" w:themeColor="accent2" w:themeTint="99"/>
                <w:lang w:val="de-DE"/>
              </w:rPr>
            </w:pPr>
            <w:r>
              <w:rPr>
                <w:lang w:val="de-DE"/>
              </w:rPr>
              <w:t xml:space="preserve">Zahlen zum DIVI-Intensivregister, Folien </w:t>
            </w:r>
            <w:hyperlink r:id="rId18" w:history="1">
              <w:r>
                <w:rPr>
                  <w:rStyle w:val="Hyperlink"/>
                  <w:lang w:val="de-DE"/>
                </w:rPr>
                <w:t>hier</w:t>
              </w:r>
            </w:hyperlink>
            <w:r>
              <w:rPr>
                <w:lang w:val="de-DE"/>
              </w:rPr>
              <w:t xml:space="preserve"> </w:t>
            </w:r>
          </w:p>
          <w:p>
            <w:pPr>
              <w:pStyle w:val="Liste3"/>
              <w:numPr>
                <w:ilvl w:val="0"/>
                <w:numId w:val="10"/>
              </w:numPr>
              <w:ind w:left="822" w:hanging="357"/>
            </w:pPr>
            <w:r>
              <w:t xml:space="preserve">1250 Patienten auf ITS. Rückgang in Belegung. </w:t>
            </w:r>
          </w:p>
          <w:p>
            <w:pPr>
              <w:pStyle w:val="Liste3"/>
              <w:numPr>
                <w:ilvl w:val="0"/>
                <w:numId w:val="10"/>
              </w:numPr>
              <w:ind w:left="822" w:hanging="357"/>
              <w:rPr>
                <w:rStyle w:val="TagMiZchn"/>
                <w:b w:val="0"/>
                <w:i w:val="0"/>
                <w:color w:val="auto"/>
              </w:rPr>
            </w:pPr>
            <w:r>
              <w:rPr>
                <w:rStyle w:val="TagMiZchn"/>
                <w:b w:val="0"/>
                <w:bCs/>
                <w:i w:val="0"/>
                <w:color w:val="auto"/>
              </w:rPr>
              <w:lastRenderedPageBreak/>
              <w:t xml:space="preserve">1060 COVID Neuaufnahmen; hier eher Plateau zu beobachten. </w:t>
            </w:r>
          </w:p>
          <w:p>
            <w:pPr>
              <w:pStyle w:val="Liste2"/>
              <w:numPr>
                <w:ilvl w:val="0"/>
                <w:numId w:val="10"/>
              </w:numPr>
              <w:ind w:left="822" w:hanging="357"/>
              <w:rPr>
                <w:rStyle w:val="TagMiZchn"/>
                <w:b w:val="0"/>
                <w:bCs/>
                <w:i w:val="0"/>
                <w:color w:val="auto"/>
                <w:lang w:val="de-DE"/>
              </w:rPr>
            </w:pPr>
            <w:proofErr w:type="spellStart"/>
            <w:r>
              <w:rPr>
                <w:rStyle w:val="TagMiZchn"/>
                <w:b w:val="0"/>
                <w:bCs/>
                <w:i w:val="0"/>
                <w:color w:val="auto"/>
                <w:lang w:val="de-DE"/>
              </w:rPr>
              <w:t>Verstorbenenzahlen</w:t>
            </w:r>
            <w:proofErr w:type="spellEnd"/>
            <w:r>
              <w:rPr>
                <w:rStyle w:val="TagMiZchn"/>
                <w:b w:val="0"/>
                <w:bCs/>
                <w:i w:val="0"/>
                <w:color w:val="auto"/>
                <w:lang w:val="de-DE"/>
              </w:rPr>
              <w:t>: Seitwärtsbewegung in den meisten BL. ST, BB Anstieg. Rückgang: NRW, SN, SH, BE und SL. Andere BL Plateau bzw. Seitwärtsbewegung.</w:t>
            </w:r>
          </w:p>
          <w:p>
            <w:pPr>
              <w:pStyle w:val="Liste2"/>
              <w:numPr>
                <w:ilvl w:val="0"/>
                <w:numId w:val="10"/>
              </w:numPr>
              <w:ind w:left="822" w:hanging="357"/>
              <w:rPr>
                <w:rStyle w:val="TagMiZchn"/>
                <w:b w:val="0"/>
                <w:bCs/>
                <w:i w:val="0"/>
                <w:color w:val="auto"/>
                <w:lang w:val="de-DE"/>
              </w:rPr>
            </w:pPr>
            <w:r>
              <w:rPr>
                <w:rStyle w:val="TagMiZchn"/>
                <w:b w:val="0"/>
                <w:bCs/>
                <w:i w:val="0"/>
                <w:color w:val="auto"/>
                <w:lang w:val="de-DE"/>
              </w:rPr>
              <w:t>Alle Behandlungsgruppen: Belegungen gehen zurück.</w:t>
            </w:r>
          </w:p>
          <w:p>
            <w:pPr>
              <w:pStyle w:val="Liste2"/>
              <w:numPr>
                <w:ilvl w:val="0"/>
                <w:numId w:val="10"/>
              </w:numPr>
              <w:ind w:left="822" w:hanging="357"/>
              <w:rPr>
                <w:rStyle w:val="TagMiZchn"/>
                <w:b w:val="0"/>
                <w:bCs/>
                <w:i w:val="0"/>
                <w:color w:val="auto"/>
                <w:lang w:val="de-DE"/>
              </w:rPr>
            </w:pPr>
            <w:r>
              <w:rPr>
                <w:rStyle w:val="TagMiZchn"/>
                <w:b w:val="0"/>
                <w:bCs/>
                <w:i w:val="0"/>
                <w:color w:val="auto"/>
                <w:lang w:val="de-DE"/>
              </w:rPr>
              <w:t xml:space="preserve">Gesamtblick belegte ITS-Betten (COVID und Non-COVID) – Vergleich Januar 2021: Gesamte Behandlungs- und Belegungszahlen von knapp 21T auf knapp 18T gefallen. Abfall freier Kapazitäten vor allem im High-Care-Bereich; Stark korreliert mit Betriebseinschränkungen aufgrund von Personalmangel. </w:t>
            </w:r>
          </w:p>
          <w:p>
            <w:pPr>
              <w:pStyle w:val="Liste2"/>
              <w:numPr>
                <w:ilvl w:val="0"/>
                <w:numId w:val="10"/>
              </w:numPr>
              <w:ind w:left="822" w:hanging="357"/>
              <w:rPr>
                <w:rStyle w:val="TagMiZchn"/>
                <w:b w:val="0"/>
                <w:bCs/>
                <w:i w:val="0"/>
                <w:color w:val="auto"/>
                <w:lang w:val="de-DE"/>
              </w:rPr>
            </w:pPr>
            <w:r>
              <w:rPr>
                <w:rStyle w:val="TagMiZchn"/>
                <w:b w:val="0"/>
                <w:bCs/>
                <w:i w:val="0"/>
                <w:color w:val="auto"/>
                <w:lang w:val="de-DE"/>
              </w:rPr>
              <w:t xml:space="preserve">Prognose: Eher weiter Seitwärtsbewegung bzw. leichter Rückgang zu erwarten. </w:t>
            </w:r>
          </w:p>
          <w:p>
            <w:pPr>
              <w:pStyle w:val="Liste2"/>
              <w:numPr>
                <w:ilvl w:val="0"/>
                <w:numId w:val="0"/>
              </w:numPr>
              <w:ind w:left="1193"/>
              <w:rPr>
                <w:rStyle w:val="TagMiZchn"/>
                <w:b w:val="0"/>
                <w:bCs/>
                <w:lang w:val="de-DE"/>
              </w:rPr>
            </w:pPr>
          </w:p>
          <w:p>
            <w:pPr>
              <w:pStyle w:val="Liste2"/>
              <w:numPr>
                <w:ilvl w:val="0"/>
                <w:numId w:val="0"/>
              </w:numPr>
            </w:pPr>
            <w:proofErr w:type="spellStart"/>
            <w:r>
              <w:t>Modellierungen</w:t>
            </w:r>
            <w:proofErr w:type="spellEnd"/>
            <w:r>
              <w:t xml:space="preserve"> </w:t>
            </w:r>
          </w:p>
          <w:p>
            <w:pPr>
              <w:pStyle w:val="Liste2"/>
            </w:pPr>
            <w:r>
              <w:t>(nicht berichtet)</w:t>
            </w:r>
          </w:p>
          <w:p>
            <w:pPr>
              <w:pStyle w:val="Liste2"/>
              <w:numPr>
                <w:ilvl w:val="0"/>
                <w:numId w:val="0"/>
              </w:numPr>
              <w:ind w:left="833"/>
            </w:pPr>
          </w:p>
          <w:p>
            <w:pPr>
              <w:pStyle w:val="Liste2"/>
              <w:numPr>
                <w:ilvl w:val="0"/>
                <w:numId w:val="0"/>
              </w:numPr>
            </w:pPr>
            <w:proofErr w:type="spellStart"/>
            <w:r>
              <w:t>Fragen</w:t>
            </w:r>
            <w:proofErr w:type="spellEnd"/>
            <w:r>
              <w:t xml:space="preserve">: </w:t>
            </w:r>
          </w:p>
          <w:p>
            <w:pPr>
              <w:pStyle w:val="Liste2"/>
              <w:numPr>
                <w:ilvl w:val="0"/>
                <w:numId w:val="8"/>
              </w:numPr>
              <w:rPr>
                <w:lang w:val="de-DE"/>
              </w:rPr>
            </w:pPr>
            <w:r>
              <w:rPr>
                <w:lang w:val="de-DE"/>
              </w:rPr>
              <w:t xml:space="preserve">Personalmangel: Hat die seit März 2022 geltende einrichtungsbezogen Impfpflicht hier einen Einfluss? – Nein, hier wird kein Einfluss beobachtet. Betriebssituation </w:t>
            </w:r>
            <w:proofErr w:type="spellStart"/>
            <w:r>
              <w:rPr>
                <w:lang w:val="de-DE"/>
              </w:rPr>
              <w:t>is</w:t>
            </w:r>
            <w:proofErr w:type="spellEnd"/>
            <w:r>
              <w:rPr>
                <w:lang w:val="de-DE"/>
              </w:rPr>
              <w:t xml:space="preserve"> generell eingeschränkt und diese Einschränkung verstärkt sich nach IST-Belegungspeak, d.h. COVID-Belastung vermutlich der Haupteinflussfaktor </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r>
          </w:p>
        </w:tc>
      </w:tr>
      <w:tr>
        <w:tc>
          <w:tcPr>
            <w:tcW w:w="684" w:type="dxa"/>
          </w:tcPr>
          <w:p>
            <w:pPr>
              <w:rPr>
                <w:b/>
              </w:rPr>
            </w:pPr>
            <w:r>
              <w:rPr>
                <w:b/>
              </w:rPr>
              <w:lastRenderedPageBreak/>
              <w:t>2</w:t>
            </w:r>
          </w:p>
        </w:tc>
        <w:tc>
          <w:tcPr>
            <w:tcW w:w="6824" w:type="dxa"/>
          </w:tcPr>
          <w:p>
            <w:pPr>
              <w:spacing w:line="276" w:lineRule="auto"/>
              <w:rPr>
                <w:b/>
                <w:sz w:val="28"/>
              </w:rPr>
            </w:pPr>
            <w:r>
              <w:rPr>
                <w:rStyle w:val="1Zchn"/>
              </w:rPr>
              <w:t>Update Impfen</w:t>
            </w:r>
            <w:r>
              <w:rPr>
                <w:b/>
                <w:sz w:val="28"/>
              </w:rPr>
              <w:t xml:space="preserve"> </w:t>
            </w:r>
          </w:p>
          <w:p>
            <w:pPr>
              <w:pStyle w:val="Listenabsatz"/>
              <w:numPr>
                <w:ilvl w:val="0"/>
                <w:numId w:val="11"/>
              </w:numPr>
              <w:spacing w:line="276" w:lineRule="auto"/>
              <w:rPr>
                <w:rStyle w:val="TagFrZchn"/>
                <w:b w:val="0"/>
                <w:i w:val="0"/>
                <w:color w:val="auto"/>
              </w:rPr>
            </w:pPr>
            <w:r>
              <w:rPr>
                <w:rStyle w:val="TagFrZchn"/>
                <w:b w:val="0"/>
                <w:i w:val="0"/>
                <w:color w:val="auto"/>
              </w:rPr>
              <w:t xml:space="preserve">Donnerstag oder Freitag dieser Woche: nächste Erhebung KROCO-Studie (Krankenhausbasierte Online Befragung): Impfquote Personal. Stand Ende Mai 2022: 9% des Klinikpersonals bisher 4. Impfung. Von bisher Ungeimpften sagen 95%, dass sie sich nicht impfen lassen werden. </w:t>
            </w:r>
          </w:p>
          <w:p>
            <w:pPr>
              <w:pStyle w:val="2"/>
            </w:pPr>
            <w:r>
              <w:t>STIKO</w:t>
            </w:r>
          </w:p>
          <w:p>
            <w:pPr>
              <w:pStyle w:val="Listenabsatz"/>
              <w:numPr>
                <w:ilvl w:val="0"/>
                <w:numId w:val="11"/>
              </w:numPr>
              <w:spacing w:line="276" w:lineRule="auto"/>
              <w:rPr>
                <w:sz w:val="22"/>
                <w:szCs w:val="22"/>
              </w:rPr>
            </w:pPr>
            <w:r>
              <w:rPr>
                <w:sz w:val="22"/>
                <w:szCs w:val="22"/>
              </w:rPr>
              <w:t>Heute findet ein Treffen statt;</w:t>
            </w:r>
          </w:p>
          <w:p>
            <w:pPr>
              <w:pStyle w:val="Listenabsatz"/>
              <w:numPr>
                <w:ilvl w:val="0"/>
                <w:numId w:val="11"/>
              </w:numPr>
              <w:spacing w:line="276" w:lineRule="auto"/>
              <w:rPr>
                <w:rStyle w:val="1Zchn"/>
                <w:b w:val="0"/>
                <w:sz w:val="22"/>
                <w:szCs w:val="22"/>
              </w:rPr>
            </w:pPr>
            <w:r>
              <w:rPr>
                <w:sz w:val="22"/>
                <w:szCs w:val="22"/>
              </w:rPr>
              <w:t xml:space="preserve">Themen: </w:t>
            </w:r>
            <w:proofErr w:type="spellStart"/>
            <w:r>
              <w:rPr>
                <w:sz w:val="22"/>
                <w:szCs w:val="22"/>
              </w:rPr>
              <w:t>Novavax</w:t>
            </w:r>
            <w:proofErr w:type="spellEnd"/>
            <w:r>
              <w:rPr>
                <w:sz w:val="22"/>
                <w:szCs w:val="22"/>
              </w:rPr>
              <w:t xml:space="preserve">- Impfempfehlung, Ausdehnung auf 12-17-Jährige. </w:t>
            </w:r>
            <w:r>
              <w:rPr>
                <w:rStyle w:val="1Zchn"/>
                <w:b w:val="0"/>
                <w:sz w:val="22"/>
                <w:szCs w:val="22"/>
              </w:rPr>
              <w:t xml:space="preserve">Monoklonaler AK als </w:t>
            </w:r>
            <w:proofErr w:type="spellStart"/>
            <w:r>
              <w:rPr>
                <w:rStyle w:val="1Zchn"/>
                <w:b w:val="0"/>
                <w:sz w:val="22"/>
                <w:szCs w:val="22"/>
              </w:rPr>
              <w:t>PrEp</w:t>
            </w:r>
            <w:proofErr w:type="spellEnd"/>
            <w:r>
              <w:rPr>
                <w:rStyle w:val="1Zchn"/>
                <w:b w:val="0"/>
                <w:sz w:val="22"/>
                <w:szCs w:val="22"/>
              </w:rPr>
              <w:t>; Beschlussentwurf zur Empfehlung der 4. Impfung für Ü60 Jährige; Ausweitung auf andere Altersgruppen? Entwurf wird morgen an 25 Fachgesellschaften versandt,</w:t>
            </w:r>
          </w:p>
          <w:p>
            <w:pPr>
              <w:pStyle w:val="Listenabsatz"/>
              <w:numPr>
                <w:ilvl w:val="0"/>
                <w:numId w:val="11"/>
              </w:numPr>
              <w:spacing w:line="276" w:lineRule="auto"/>
              <w:rPr>
                <w:rStyle w:val="1Zchn"/>
                <w:b w:val="0"/>
                <w:sz w:val="22"/>
                <w:szCs w:val="22"/>
              </w:rPr>
            </w:pPr>
            <w:r>
              <w:rPr>
                <w:rStyle w:val="1Zchn"/>
                <w:b w:val="0"/>
                <w:sz w:val="22"/>
                <w:szCs w:val="22"/>
              </w:rPr>
              <w:t xml:space="preserve">Voraussichtlich werden Empfehlungen nächste Woche im </w:t>
            </w:r>
            <w:proofErr w:type="spellStart"/>
            <w:r>
              <w:rPr>
                <w:rStyle w:val="1Zchn"/>
                <w:b w:val="0"/>
                <w:sz w:val="22"/>
                <w:szCs w:val="22"/>
              </w:rPr>
              <w:t>EpiDBull</w:t>
            </w:r>
            <w:proofErr w:type="spellEnd"/>
            <w:r>
              <w:rPr>
                <w:rStyle w:val="1Zchn"/>
                <w:b w:val="0"/>
                <w:sz w:val="22"/>
                <w:szCs w:val="22"/>
              </w:rPr>
              <w:t xml:space="preserve"> veröffentlich, begleitet von Pressemitteilung. </w:t>
            </w:r>
          </w:p>
          <w:p>
            <w:pPr>
              <w:pStyle w:val="Listenabsatz"/>
              <w:numPr>
                <w:ilvl w:val="0"/>
                <w:numId w:val="11"/>
              </w:numPr>
              <w:spacing w:line="276" w:lineRule="auto"/>
              <w:rPr>
                <w:rStyle w:val="1Zchn"/>
                <w:b w:val="0"/>
                <w:sz w:val="20"/>
                <w:szCs w:val="20"/>
              </w:rPr>
            </w:pPr>
            <w:r>
              <w:rPr>
                <w:rStyle w:val="1Zchn"/>
                <w:b w:val="0"/>
                <w:sz w:val="22"/>
                <w:szCs w:val="22"/>
              </w:rPr>
              <w:t>In 2 Wochen soll PEIKO-AG konstituiert werden. (AG für COVID-Impfempfehlungen gab es bei STIKO bereits seit Beginn der Pandemie, also keine wirkliche Neuerung); Externe ExpertInnen werden eingeladen (</w:t>
            </w:r>
            <w:proofErr w:type="spellStart"/>
            <w:r>
              <w:rPr>
                <w:rStyle w:val="1Zchn"/>
                <w:b w:val="0"/>
                <w:sz w:val="22"/>
                <w:szCs w:val="22"/>
              </w:rPr>
              <w:t>Hr</w:t>
            </w:r>
            <w:proofErr w:type="spellEnd"/>
            <w:r>
              <w:rPr>
                <w:rStyle w:val="1Zchn"/>
                <w:b w:val="0"/>
                <w:sz w:val="22"/>
                <w:szCs w:val="22"/>
              </w:rPr>
              <w:t xml:space="preserve"> Sander, Fr </w:t>
            </w:r>
            <w:proofErr w:type="spellStart"/>
            <w:r>
              <w:rPr>
                <w:rStyle w:val="1Zchn"/>
                <w:b w:val="0"/>
                <w:sz w:val="22"/>
                <w:szCs w:val="22"/>
              </w:rPr>
              <w:t>Priesemann</w:t>
            </w:r>
            <w:proofErr w:type="spellEnd"/>
            <w:r>
              <w:rPr>
                <w:rStyle w:val="1Zchn"/>
                <w:b w:val="0"/>
                <w:sz w:val="22"/>
                <w:szCs w:val="22"/>
              </w:rPr>
              <w:t xml:space="preserve">, Fr Falk, </w:t>
            </w:r>
            <w:proofErr w:type="spellStart"/>
            <w:r>
              <w:rPr>
                <w:rStyle w:val="1Zchn"/>
                <w:b w:val="0"/>
                <w:sz w:val="22"/>
                <w:szCs w:val="22"/>
              </w:rPr>
              <w:t>Hr</w:t>
            </w:r>
            <w:proofErr w:type="spellEnd"/>
            <w:r>
              <w:rPr>
                <w:rStyle w:val="1Zchn"/>
                <w:b w:val="0"/>
                <w:sz w:val="22"/>
                <w:szCs w:val="22"/>
              </w:rPr>
              <w:t xml:space="preserve"> Berner). Minister möchte auch teilnehmen. </w:t>
            </w:r>
          </w:p>
          <w:p>
            <w:pPr>
              <w:spacing w:line="276" w:lineRule="auto"/>
              <w:rPr>
                <w:rStyle w:val="1Zchn"/>
                <w:b w:val="0"/>
                <w:sz w:val="20"/>
                <w:szCs w:val="20"/>
              </w:rPr>
            </w:pPr>
          </w:p>
          <w:p>
            <w:pPr>
              <w:spacing w:line="276" w:lineRule="auto"/>
              <w:rPr>
                <w:rStyle w:val="1Zchn"/>
                <w:b w:val="0"/>
                <w:sz w:val="22"/>
                <w:szCs w:val="22"/>
              </w:rPr>
            </w:pPr>
            <w:r>
              <w:rPr>
                <w:rStyle w:val="1Zchn"/>
                <w:b w:val="0"/>
                <w:sz w:val="22"/>
                <w:szCs w:val="22"/>
              </w:rPr>
              <w:t xml:space="preserve">Fragen: wie sieht die momentane Dauer Impfschutz gegen schwere Infektionen aus? - Eigene Daten zeigen sehr </w:t>
            </w:r>
            <w:proofErr w:type="spellStart"/>
            <w:r>
              <w:rPr>
                <w:rStyle w:val="1Zchn"/>
                <w:b w:val="0"/>
                <w:sz w:val="22"/>
                <w:szCs w:val="22"/>
              </w:rPr>
              <w:t>konstanten</w:t>
            </w:r>
            <w:proofErr w:type="spellEnd"/>
            <w:r>
              <w:rPr>
                <w:rStyle w:val="1Zchn"/>
                <w:b w:val="0"/>
                <w:sz w:val="22"/>
                <w:szCs w:val="22"/>
              </w:rPr>
              <w:t xml:space="preserve"> Schutz nach 3 </w:t>
            </w:r>
            <w:r>
              <w:rPr>
                <w:rStyle w:val="1Zchn"/>
                <w:b w:val="0"/>
                <w:sz w:val="22"/>
                <w:szCs w:val="22"/>
              </w:rPr>
              <w:lastRenderedPageBreak/>
              <w:t xml:space="preserve">Impfungen im Bezug auf </w:t>
            </w:r>
            <w:proofErr w:type="spellStart"/>
            <w:r>
              <w:rPr>
                <w:rStyle w:val="1Zchn"/>
                <w:b w:val="0"/>
                <w:sz w:val="22"/>
                <w:szCs w:val="22"/>
              </w:rPr>
              <w:t>Hosp</w:t>
            </w:r>
            <w:proofErr w:type="spellEnd"/>
            <w:r>
              <w:rPr>
                <w:rStyle w:val="1Zchn"/>
                <w:b w:val="0"/>
                <w:sz w:val="22"/>
                <w:szCs w:val="22"/>
              </w:rPr>
              <w:t xml:space="preserve">. (85%). WHO hat </w:t>
            </w:r>
            <w:proofErr w:type="spellStart"/>
            <w:r>
              <w:rPr>
                <w:rStyle w:val="1Zchn"/>
                <w:b w:val="0"/>
                <w:sz w:val="22"/>
                <w:szCs w:val="22"/>
              </w:rPr>
              <w:t>äÄhnliches</w:t>
            </w:r>
            <w:proofErr w:type="spellEnd"/>
            <w:r>
              <w:rPr>
                <w:rStyle w:val="1Zchn"/>
                <w:b w:val="0"/>
                <w:sz w:val="22"/>
                <w:szCs w:val="22"/>
              </w:rPr>
              <w:t xml:space="preserve"> vorgestellt - Review mit 96 Studien, alle Studien zeigen auch hier, dass 3 Dosen in Bezug auf schwere Infektionen weiterhin wirksam. Rückgang bei Omikron im niedrigen Prozentbereich. </w:t>
            </w:r>
          </w:p>
          <w:p>
            <w:pPr>
              <w:spacing w:line="276" w:lineRule="auto"/>
              <w:rPr>
                <w:rStyle w:val="1Zchn"/>
              </w:rPr>
            </w:pPr>
            <w:r>
              <w:rPr>
                <w:rStyle w:val="1Zchn"/>
                <w:b w:val="0"/>
                <w:sz w:val="22"/>
                <w:szCs w:val="22"/>
              </w:rPr>
              <w:t>Wirksamkeit Varianten -adaptierter Impfstoffe? Bisher keine Daten; ob Transmission verhindert wird, ist nicht bekannt.</w:t>
            </w:r>
            <w:r>
              <w:rPr>
                <w:rStyle w:val="1Zchn"/>
                <w:b w:val="0"/>
                <w:sz w:val="20"/>
                <w:szCs w:val="20"/>
              </w:rPr>
              <w:t xml:space="preserve"> </w:t>
            </w:r>
          </w:p>
        </w:tc>
        <w:tc>
          <w:tcPr>
            <w:tcW w:w="1463" w:type="dxa"/>
          </w:tcPr>
          <w:p>
            <w:pPr>
              <w:rPr>
                <w:sz w:val="22"/>
                <w:szCs w:val="22"/>
              </w:rPr>
            </w:pPr>
            <w:r>
              <w:rPr>
                <w:sz w:val="22"/>
                <w:szCs w:val="22"/>
              </w:rPr>
              <w:lastRenderedPageBreak/>
              <w:t>FG 33</w:t>
            </w:r>
          </w:p>
        </w:tc>
      </w:tr>
      <w:tr>
        <w:tc>
          <w:tcPr>
            <w:tcW w:w="684" w:type="dxa"/>
          </w:tcPr>
          <w:p>
            <w:pPr>
              <w:rPr>
                <w:b/>
              </w:rPr>
            </w:pPr>
            <w:r>
              <w:rPr>
                <w:b/>
              </w:rPr>
              <w:t>3</w:t>
            </w:r>
          </w:p>
        </w:tc>
        <w:tc>
          <w:tcPr>
            <w:tcW w:w="6824" w:type="dxa"/>
          </w:tcPr>
          <w:p>
            <w:pPr>
              <w:spacing w:line="276" w:lineRule="auto"/>
              <w:rPr>
                <w:rStyle w:val="TagFrZchn"/>
              </w:rPr>
            </w:pPr>
            <w:r>
              <w:rPr>
                <w:rStyle w:val="1Zchn"/>
              </w:rPr>
              <w:t>Internationales</w:t>
            </w:r>
            <w:r>
              <w:rPr>
                <w:b/>
                <w:color w:val="FF0000"/>
              </w:rPr>
              <w:t xml:space="preserve"> </w:t>
            </w:r>
          </w:p>
          <w:p>
            <w:pPr>
              <w:pStyle w:val="Liste1"/>
            </w:pPr>
            <w:r>
              <w:t>(nicht berichtet)</w:t>
            </w:r>
          </w:p>
        </w:tc>
        <w:tc>
          <w:tcPr>
            <w:tcW w:w="1463" w:type="dxa"/>
          </w:tcPr>
          <w:p>
            <w:pPr>
              <w:rPr>
                <w:sz w:val="22"/>
                <w:szCs w:val="22"/>
              </w:rPr>
            </w:pPr>
          </w:p>
          <w:p>
            <w:pPr>
              <w:rPr>
                <w:sz w:val="22"/>
                <w:szCs w:val="22"/>
              </w:rPr>
            </w:pPr>
            <w:r>
              <w:rPr>
                <w:sz w:val="22"/>
                <w:szCs w:val="22"/>
              </w:rPr>
              <w:t>ZIG</w:t>
            </w:r>
          </w:p>
        </w:tc>
      </w:tr>
      <w:tr>
        <w:tc>
          <w:tcPr>
            <w:tcW w:w="684" w:type="dxa"/>
          </w:tcPr>
          <w:p>
            <w:pPr>
              <w:rPr>
                <w:b/>
              </w:rPr>
            </w:pPr>
            <w:r>
              <w:rPr>
                <w:b/>
              </w:rPr>
              <w:t>4</w:t>
            </w:r>
          </w:p>
        </w:tc>
        <w:tc>
          <w:tcPr>
            <w:tcW w:w="6824" w:type="dxa"/>
          </w:tcPr>
          <w:p>
            <w:pPr>
              <w:spacing w:line="276" w:lineRule="auto"/>
              <w:rPr>
                <w:b/>
                <w:sz w:val="28"/>
              </w:rPr>
            </w:pPr>
            <w:r>
              <w:rPr>
                <w:rStyle w:val="1Zchn"/>
              </w:rPr>
              <w:t>Update digitale Projekte</w:t>
            </w:r>
            <w:r>
              <w:rPr>
                <w:b/>
                <w:sz w:val="28"/>
              </w:rPr>
              <w:t xml:space="preserve"> </w:t>
            </w:r>
          </w:p>
          <w:p>
            <w:pPr>
              <w:spacing w:line="276" w:lineRule="auto"/>
              <w:rPr>
                <w:color w:val="C2D69B" w:themeColor="accent3" w:themeTint="99"/>
                <w:sz w:val="20"/>
                <w:szCs w:val="20"/>
              </w:rPr>
            </w:pPr>
            <w:r>
              <w:rPr>
                <w:sz w:val="20"/>
                <w:szCs w:val="20"/>
              </w:rPr>
              <w:t>Nicht berichtet</w:t>
            </w:r>
          </w:p>
        </w:tc>
        <w:tc>
          <w:tcPr>
            <w:tcW w:w="1463" w:type="dxa"/>
          </w:tcPr>
          <w:p>
            <w:pPr>
              <w:rPr>
                <w:sz w:val="22"/>
                <w:szCs w:val="22"/>
              </w:rPr>
            </w:pPr>
          </w:p>
          <w:p>
            <w:pPr>
              <w:rPr>
                <w:sz w:val="22"/>
                <w:szCs w:val="22"/>
              </w:rPr>
            </w:pPr>
            <w:r>
              <w:rPr>
                <w:sz w:val="22"/>
                <w:szCs w:val="22"/>
              </w:rPr>
              <w:t>FG21</w:t>
            </w:r>
          </w:p>
        </w:tc>
      </w:tr>
      <w:tr>
        <w:tc>
          <w:tcPr>
            <w:tcW w:w="684" w:type="dxa"/>
          </w:tcPr>
          <w:p>
            <w:pPr>
              <w:rPr>
                <w:b/>
              </w:rPr>
            </w:pPr>
            <w:r>
              <w:rPr>
                <w:b/>
              </w:rPr>
              <w:t>5</w:t>
            </w:r>
          </w:p>
        </w:tc>
        <w:tc>
          <w:tcPr>
            <w:tcW w:w="6824" w:type="dxa"/>
          </w:tcPr>
          <w:p>
            <w:pPr>
              <w:spacing w:line="276" w:lineRule="auto"/>
              <w:rPr>
                <w:rStyle w:val="1Zchn"/>
              </w:rPr>
            </w:pPr>
            <w:r>
              <w:rPr>
                <w:rStyle w:val="1Zchn"/>
              </w:rPr>
              <w:t>Daten aus der Gesundheitsberichterstattung</w:t>
            </w:r>
          </w:p>
          <w:p>
            <w:pPr>
              <w:spacing w:line="276" w:lineRule="auto"/>
              <w:rPr>
                <w:rStyle w:val="1Zchn"/>
              </w:rPr>
            </w:pPr>
            <w:r>
              <w:rPr>
                <w:rStyle w:val="1Zchn"/>
              </w:rPr>
              <w:t>•</w:t>
            </w:r>
            <w:r>
              <w:rPr>
                <w:rStyle w:val="1Zchn"/>
              </w:rPr>
              <w:tab/>
            </w:r>
            <w:proofErr w:type="spellStart"/>
            <w:r>
              <w:rPr>
                <w:rStyle w:val="1Zchn"/>
                <w:sz w:val="22"/>
                <w:szCs w:val="22"/>
              </w:rPr>
              <w:t>CoMoLo</w:t>
            </w:r>
            <w:proofErr w:type="spellEnd"/>
            <w:r>
              <w:rPr>
                <w:rStyle w:val="1Zchn"/>
                <w:sz w:val="22"/>
                <w:szCs w:val="22"/>
              </w:rPr>
              <w:t xml:space="preserve"> Studie - Daten zur Immunantwort nach Infektion oder Impfung</w:t>
            </w:r>
          </w:p>
          <w:p>
            <w:pPr>
              <w:pStyle w:val="Listenabsatz"/>
              <w:numPr>
                <w:ilvl w:val="0"/>
                <w:numId w:val="12"/>
              </w:numPr>
              <w:spacing w:line="276" w:lineRule="auto"/>
              <w:rPr>
                <w:rStyle w:val="1Zchn"/>
                <w:b w:val="0"/>
                <w:sz w:val="22"/>
                <w:szCs w:val="22"/>
              </w:rPr>
            </w:pPr>
            <w:r>
              <w:rPr>
                <w:rStyle w:val="1Zchn"/>
                <w:b w:val="0"/>
                <w:sz w:val="22"/>
                <w:szCs w:val="22"/>
              </w:rPr>
              <w:t xml:space="preserve">Immunitätsstatus nach Infektion: Änderung im zeitlichen Verlauf und Einfluss Impfung auf </w:t>
            </w:r>
            <w:proofErr w:type="spellStart"/>
            <w:r>
              <w:rPr>
                <w:rStyle w:val="1Zchn"/>
                <w:b w:val="0"/>
                <w:sz w:val="22"/>
                <w:szCs w:val="22"/>
              </w:rPr>
              <w:t>imm</w:t>
            </w:r>
            <w:proofErr w:type="spellEnd"/>
            <w:r>
              <w:rPr>
                <w:rStyle w:val="1Zchn"/>
                <w:b w:val="0"/>
                <w:sz w:val="22"/>
                <w:szCs w:val="22"/>
              </w:rPr>
              <w:t xml:space="preserve">. Laborparameter? </w:t>
            </w:r>
          </w:p>
          <w:p>
            <w:pPr>
              <w:pStyle w:val="Listenabsatz"/>
              <w:numPr>
                <w:ilvl w:val="0"/>
                <w:numId w:val="12"/>
              </w:numPr>
              <w:spacing w:line="276" w:lineRule="auto"/>
              <w:rPr>
                <w:rStyle w:val="1Zchn"/>
                <w:b w:val="0"/>
                <w:sz w:val="22"/>
                <w:szCs w:val="22"/>
              </w:rPr>
            </w:pPr>
            <w:r>
              <w:rPr>
                <w:rStyle w:val="1Zchn"/>
                <w:b w:val="0"/>
                <w:sz w:val="22"/>
                <w:szCs w:val="22"/>
              </w:rPr>
              <w:t xml:space="preserve">Nachverfolgung von Teilnehmenden aus 4 Hotspot Studien. </w:t>
            </w:r>
          </w:p>
          <w:p>
            <w:pPr>
              <w:pStyle w:val="Listenabsatz"/>
              <w:numPr>
                <w:ilvl w:val="0"/>
                <w:numId w:val="12"/>
              </w:numPr>
              <w:spacing w:line="276" w:lineRule="auto"/>
              <w:rPr>
                <w:rStyle w:val="1Zchn"/>
                <w:b w:val="0"/>
                <w:sz w:val="22"/>
                <w:szCs w:val="22"/>
              </w:rPr>
            </w:pPr>
            <w:r>
              <w:rPr>
                <w:rStyle w:val="1Zchn"/>
                <w:b w:val="0"/>
                <w:sz w:val="22"/>
                <w:szCs w:val="22"/>
              </w:rPr>
              <w:t>Blutproben von allen Teilnehmenden aus Straubing. In anderen Orten nur von mutmaßlich Seropositiven;</w:t>
            </w:r>
          </w:p>
          <w:p>
            <w:pPr>
              <w:pStyle w:val="Listenabsatz"/>
              <w:numPr>
                <w:ilvl w:val="0"/>
                <w:numId w:val="12"/>
              </w:numPr>
              <w:spacing w:line="276" w:lineRule="auto"/>
              <w:rPr>
                <w:rStyle w:val="1Zchn"/>
                <w:b w:val="0"/>
                <w:sz w:val="22"/>
                <w:szCs w:val="22"/>
              </w:rPr>
            </w:pPr>
            <w:r>
              <w:rPr>
                <w:rStyle w:val="1Zchn"/>
                <w:b w:val="0"/>
                <w:sz w:val="22"/>
                <w:szCs w:val="22"/>
              </w:rPr>
              <w:t>Laborparameter: S- und N-Antigentests; T-Zell- Aktivitätsmessung</w:t>
            </w:r>
          </w:p>
          <w:p>
            <w:pPr>
              <w:pStyle w:val="Listenabsatz"/>
              <w:numPr>
                <w:ilvl w:val="0"/>
                <w:numId w:val="12"/>
              </w:numPr>
              <w:spacing w:line="276" w:lineRule="auto"/>
              <w:rPr>
                <w:rStyle w:val="1Zchn"/>
                <w:b w:val="0"/>
                <w:sz w:val="22"/>
                <w:szCs w:val="22"/>
              </w:rPr>
            </w:pPr>
            <w:proofErr w:type="spellStart"/>
            <w:r>
              <w:rPr>
                <w:rStyle w:val="1Zchn"/>
                <w:b w:val="0"/>
                <w:sz w:val="22"/>
                <w:szCs w:val="22"/>
              </w:rPr>
              <w:t>Nachbeprobungszeit</w:t>
            </w:r>
            <w:proofErr w:type="spellEnd"/>
            <w:r>
              <w:rPr>
                <w:rStyle w:val="1Zchn"/>
                <w:b w:val="0"/>
                <w:sz w:val="22"/>
                <w:szCs w:val="22"/>
              </w:rPr>
              <w:t>: Impfempfehlung galt bereits.; Betrachtung der Rückgang der AK (Antikörper) durch Impfung etwas erschwert</w:t>
            </w:r>
          </w:p>
          <w:p>
            <w:pPr>
              <w:pStyle w:val="Listenabsatz"/>
              <w:numPr>
                <w:ilvl w:val="0"/>
                <w:numId w:val="12"/>
              </w:numPr>
              <w:spacing w:line="276" w:lineRule="auto"/>
              <w:rPr>
                <w:rStyle w:val="1Zchn"/>
                <w:b w:val="0"/>
                <w:sz w:val="22"/>
                <w:szCs w:val="22"/>
              </w:rPr>
            </w:pPr>
            <w:r>
              <w:rPr>
                <w:rStyle w:val="1Zchn"/>
                <w:b w:val="0"/>
                <w:sz w:val="22"/>
                <w:szCs w:val="22"/>
              </w:rPr>
              <w:t xml:space="preserve">Verlauf AK Konz bei Teilnehmenden, die bereits in Welle 0 infiziert waren, ohne Angabe von Impfung oder Reinfektion: 25% </w:t>
            </w:r>
            <w:proofErr w:type="spellStart"/>
            <w:r>
              <w:rPr>
                <w:rStyle w:val="1Zchn"/>
                <w:b w:val="0"/>
                <w:sz w:val="22"/>
                <w:szCs w:val="22"/>
              </w:rPr>
              <w:t>Zunahme</w:t>
            </w:r>
            <w:proofErr w:type="spellEnd"/>
            <w:r>
              <w:rPr>
                <w:rStyle w:val="1Zchn"/>
                <w:b w:val="0"/>
                <w:sz w:val="22"/>
                <w:szCs w:val="22"/>
              </w:rPr>
              <w:t xml:space="preserve"> der AK (Annahme: Reinfektionen ohne eindeutige Symptomatik)</w:t>
            </w:r>
          </w:p>
          <w:p>
            <w:pPr>
              <w:pStyle w:val="Listenabsatz"/>
              <w:numPr>
                <w:ilvl w:val="0"/>
                <w:numId w:val="12"/>
              </w:numPr>
              <w:spacing w:line="276" w:lineRule="auto"/>
              <w:rPr>
                <w:rStyle w:val="1Zchn"/>
                <w:b w:val="0"/>
                <w:sz w:val="22"/>
                <w:szCs w:val="22"/>
              </w:rPr>
            </w:pPr>
            <w:r>
              <w:rPr>
                <w:rStyle w:val="1Zchn"/>
                <w:b w:val="0"/>
                <w:sz w:val="22"/>
                <w:szCs w:val="22"/>
              </w:rPr>
              <w:t xml:space="preserve">Allgemein: Zwischenerhebungen: deutlicher Rückgang der AK. Stärker zu beobachten bei Männern im Vergleich zu Frauen, und stärkerer Rückgang mit zunehmendem Alter. </w:t>
            </w:r>
          </w:p>
          <w:p>
            <w:pPr>
              <w:pStyle w:val="Listenabsatz"/>
              <w:numPr>
                <w:ilvl w:val="0"/>
                <w:numId w:val="12"/>
              </w:numPr>
              <w:spacing w:line="276" w:lineRule="auto"/>
              <w:rPr>
                <w:rStyle w:val="1Zchn"/>
                <w:b w:val="0"/>
                <w:sz w:val="22"/>
                <w:szCs w:val="22"/>
              </w:rPr>
            </w:pPr>
            <w:r>
              <w:rPr>
                <w:rStyle w:val="1Zchn"/>
                <w:b w:val="0"/>
                <w:sz w:val="22"/>
                <w:szCs w:val="22"/>
              </w:rPr>
              <w:t xml:space="preserve">AK-Konz. nach Anzahl der Antigenkontakte? – 3 AG-Kontakte: höchste AK-Konz. </w:t>
            </w:r>
          </w:p>
          <w:p>
            <w:pPr>
              <w:pStyle w:val="Listenabsatz"/>
              <w:numPr>
                <w:ilvl w:val="0"/>
                <w:numId w:val="12"/>
              </w:numPr>
              <w:spacing w:line="276" w:lineRule="auto"/>
              <w:rPr>
                <w:rStyle w:val="1Zchn"/>
                <w:b w:val="0"/>
                <w:sz w:val="22"/>
                <w:szCs w:val="22"/>
              </w:rPr>
            </w:pPr>
            <w:r>
              <w:rPr>
                <w:rStyle w:val="1Zchn"/>
                <w:b w:val="0"/>
                <w:sz w:val="22"/>
                <w:szCs w:val="22"/>
              </w:rPr>
              <w:t>Welche Variablen hängen mit AK-Konz nach Impfung/Infektion zusammen? –Anzahl der AG-Kontakte; einmal geimpft höhere AK-Konz als nie geimpft und einmal infiziert. Je mehr Impf</w:t>
            </w:r>
            <w:bookmarkStart w:id="1" w:name="_GoBack"/>
            <w:bookmarkEnd w:id="1"/>
            <w:r>
              <w:rPr>
                <w:rStyle w:val="1Zchn"/>
                <w:b w:val="0"/>
                <w:sz w:val="22"/>
                <w:szCs w:val="22"/>
              </w:rPr>
              <w:t xml:space="preserve">ungen bzw. AG-Kontakte desto höhere AK-Konz.  </w:t>
            </w:r>
          </w:p>
          <w:p>
            <w:pPr>
              <w:pStyle w:val="Listenabsatz"/>
              <w:numPr>
                <w:ilvl w:val="0"/>
                <w:numId w:val="12"/>
              </w:numPr>
              <w:spacing w:line="276" w:lineRule="auto"/>
              <w:rPr>
                <w:rStyle w:val="1Zchn"/>
                <w:b w:val="0"/>
                <w:sz w:val="22"/>
                <w:szCs w:val="22"/>
              </w:rPr>
            </w:pPr>
            <w:r>
              <w:rPr>
                <w:rStyle w:val="1Zchn"/>
                <w:b w:val="0"/>
                <w:sz w:val="22"/>
                <w:szCs w:val="22"/>
              </w:rPr>
              <w:t xml:space="preserve">Impfungen und AK-Konz: </w:t>
            </w:r>
            <w:proofErr w:type="spellStart"/>
            <w:r>
              <w:rPr>
                <w:rStyle w:val="1Zchn"/>
                <w:b w:val="0"/>
                <w:sz w:val="22"/>
                <w:szCs w:val="22"/>
              </w:rPr>
              <w:t>Moderna</w:t>
            </w:r>
            <w:proofErr w:type="spellEnd"/>
            <w:r>
              <w:rPr>
                <w:rStyle w:val="1Zchn"/>
                <w:b w:val="0"/>
                <w:sz w:val="22"/>
                <w:szCs w:val="22"/>
              </w:rPr>
              <w:t xml:space="preserve"> am effektivsten, AZ am schlechtesten </w:t>
            </w:r>
          </w:p>
          <w:p>
            <w:pPr>
              <w:pStyle w:val="Listenabsatz"/>
              <w:numPr>
                <w:ilvl w:val="0"/>
                <w:numId w:val="12"/>
              </w:numPr>
              <w:spacing w:line="276" w:lineRule="auto"/>
              <w:rPr>
                <w:rStyle w:val="1Zchn"/>
                <w:b w:val="0"/>
                <w:sz w:val="22"/>
                <w:szCs w:val="22"/>
              </w:rPr>
            </w:pPr>
            <w:r>
              <w:rPr>
                <w:rStyle w:val="1Zchn"/>
                <w:b w:val="0"/>
                <w:sz w:val="22"/>
                <w:szCs w:val="22"/>
              </w:rPr>
              <w:t xml:space="preserve">Einflussfaktoren auf AK-Konz: Zeit seit letzter Infektion/Impfung: je länger zurückliegend, desto niedrigere AK-Konz, höheres Lebensalter niedriger AK-Konz., Frauen erhöhte Konz. Im Vergleich zu Männern.  </w:t>
            </w:r>
          </w:p>
          <w:p>
            <w:pPr>
              <w:pStyle w:val="Listenabsatz"/>
              <w:numPr>
                <w:ilvl w:val="0"/>
                <w:numId w:val="12"/>
              </w:numPr>
              <w:spacing w:line="276" w:lineRule="auto"/>
              <w:rPr>
                <w:rStyle w:val="1Zchn"/>
                <w:b w:val="0"/>
                <w:sz w:val="22"/>
                <w:szCs w:val="22"/>
              </w:rPr>
            </w:pPr>
            <w:r>
              <w:rPr>
                <w:rStyle w:val="1Zchn"/>
                <w:b w:val="0"/>
                <w:sz w:val="22"/>
                <w:szCs w:val="22"/>
              </w:rPr>
              <w:t xml:space="preserve">T-Zell Aktivität/Reaktion: ähnliches Bild. </w:t>
            </w:r>
          </w:p>
          <w:p>
            <w:pPr>
              <w:spacing w:line="276" w:lineRule="auto"/>
              <w:rPr>
                <w:rStyle w:val="1Zchn"/>
                <w:b w:val="0"/>
                <w:sz w:val="22"/>
                <w:szCs w:val="22"/>
              </w:rPr>
            </w:pPr>
            <w:r>
              <w:rPr>
                <w:rStyle w:val="1Zchn"/>
                <w:b w:val="0"/>
                <w:sz w:val="22"/>
                <w:szCs w:val="22"/>
              </w:rPr>
              <w:t xml:space="preserve">Fragen: </w:t>
            </w:r>
          </w:p>
          <w:p>
            <w:pPr>
              <w:spacing w:line="276" w:lineRule="auto"/>
              <w:rPr>
                <w:rStyle w:val="1Zchn"/>
                <w:b w:val="0"/>
                <w:sz w:val="22"/>
                <w:szCs w:val="22"/>
              </w:rPr>
            </w:pPr>
            <w:r>
              <w:rPr>
                <w:rStyle w:val="1Zchn"/>
                <w:b w:val="0"/>
                <w:sz w:val="22"/>
                <w:szCs w:val="22"/>
              </w:rPr>
              <w:lastRenderedPageBreak/>
              <w:t xml:space="preserve">Wie werden die Daten zeitnah kommuniziert werden? Haben sie einen Einfluss auf bereits bestehende Empfehlungen? - Factsheet diesen Monat publizieren in Abstimmung mit BMG. </w:t>
            </w:r>
          </w:p>
          <w:p>
            <w:pPr>
              <w:spacing w:line="276" w:lineRule="auto"/>
              <w:rPr>
                <w:rStyle w:val="1Zchn"/>
                <w:b w:val="0"/>
                <w:sz w:val="22"/>
                <w:szCs w:val="22"/>
              </w:rPr>
            </w:pPr>
            <w:r>
              <w:rPr>
                <w:rStyle w:val="1Zchn"/>
                <w:b w:val="0"/>
                <w:sz w:val="22"/>
                <w:szCs w:val="22"/>
              </w:rPr>
              <w:t xml:space="preserve">Wichtig hierbei: Es werden Fragen kommen, WAS diese Daten im Hinblick auf den Schutz vor einer Reinfektion aussagen. Höhe der AK sagt nach wie vor nichts über Schwere der Infektion oder Schutz vor Reinfektion aus. </w:t>
            </w:r>
          </w:p>
          <w:p>
            <w:pPr>
              <w:spacing w:line="276" w:lineRule="auto"/>
              <w:rPr>
                <w:rStyle w:val="1Zchn"/>
                <w:b w:val="0"/>
                <w:sz w:val="20"/>
                <w:szCs w:val="20"/>
              </w:rPr>
            </w:pPr>
            <w:r>
              <w:rPr>
                <w:rStyle w:val="1Zchn"/>
                <w:b w:val="0"/>
                <w:sz w:val="22"/>
                <w:szCs w:val="22"/>
              </w:rPr>
              <w:t xml:space="preserve">Ergebnisse werden in Übereinstimmung mit bereits bestehenden Empfehlungen gesehen. Keine Anpassungen notwendig. </w:t>
            </w:r>
          </w:p>
        </w:tc>
        <w:tc>
          <w:tcPr>
            <w:tcW w:w="1463" w:type="dxa"/>
          </w:tcPr>
          <w:p>
            <w:pPr>
              <w:rPr>
                <w:sz w:val="22"/>
                <w:szCs w:val="22"/>
              </w:rPr>
            </w:pPr>
            <w:r>
              <w:rPr>
                <w:sz w:val="22"/>
                <w:szCs w:val="22"/>
              </w:rPr>
              <w:lastRenderedPageBreak/>
              <w:t>FG22</w:t>
            </w:r>
          </w:p>
        </w:tc>
      </w:tr>
      <w:tr>
        <w:tc>
          <w:tcPr>
            <w:tcW w:w="684" w:type="dxa"/>
          </w:tcPr>
          <w:p>
            <w:pPr>
              <w:rPr>
                <w:b/>
              </w:rPr>
            </w:pPr>
            <w:r>
              <w:rPr>
                <w:b/>
              </w:rPr>
              <w:t>6</w:t>
            </w:r>
          </w:p>
        </w:tc>
        <w:tc>
          <w:tcPr>
            <w:tcW w:w="6824" w:type="dxa"/>
          </w:tcPr>
          <w:p>
            <w:pPr>
              <w:pStyle w:val="1"/>
            </w:pPr>
            <w:r>
              <w:t>Aktuelle Risikobewertung</w:t>
            </w:r>
          </w:p>
          <w:p>
            <w:pPr>
              <w:pStyle w:val="Liste1"/>
            </w:pPr>
            <w:r>
              <w:t xml:space="preserve">Diskussion der Änderungsvorschläge zur Risikobewertung </w:t>
            </w:r>
          </w:p>
          <w:p>
            <w:pPr>
              <w:pStyle w:val="Liste2"/>
            </w:pPr>
            <w:proofErr w:type="spellStart"/>
            <w:r>
              <w:t>Kein</w:t>
            </w:r>
            <w:proofErr w:type="spellEnd"/>
            <w:r>
              <w:t xml:space="preserve"> </w:t>
            </w:r>
            <w:proofErr w:type="spellStart"/>
            <w:r>
              <w:t>Ändeungsbedarf</w:t>
            </w:r>
            <w:proofErr w:type="spellEnd"/>
          </w:p>
        </w:tc>
        <w:tc>
          <w:tcPr>
            <w:tcW w:w="1463" w:type="dxa"/>
          </w:tcPr>
          <w:p>
            <w:pPr>
              <w:rPr>
                <w:sz w:val="22"/>
                <w:szCs w:val="22"/>
              </w:rPr>
            </w:pPr>
          </w:p>
          <w:p>
            <w:pPr>
              <w:rPr>
                <w:sz w:val="22"/>
                <w:szCs w:val="22"/>
              </w:rPr>
            </w:pPr>
            <w:r>
              <w:rPr>
                <w:sz w:val="22"/>
                <w:szCs w:val="22"/>
              </w:rPr>
              <w:t>Abt. 3</w:t>
            </w:r>
          </w:p>
        </w:tc>
      </w:tr>
      <w:tr>
        <w:tc>
          <w:tcPr>
            <w:tcW w:w="684" w:type="dxa"/>
          </w:tcPr>
          <w:p>
            <w:pPr>
              <w:rPr>
                <w:b/>
              </w:rPr>
            </w:pPr>
            <w:r>
              <w:rPr>
                <w:b/>
              </w:rPr>
              <w:t>7</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 xml:space="preserve">  (nicht berichtet)</w:t>
            </w:r>
          </w:p>
        </w:tc>
        <w:tc>
          <w:tcPr>
            <w:tcW w:w="1463" w:type="dxa"/>
          </w:tcPr>
          <w:p>
            <w:pPr>
              <w:rPr>
                <w:sz w:val="22"/>
                <w:szCs w:val="22"/>
              </w:rPr>
            </w:pPr>
            <w:proofErr w:type="spellStart"/>
            <w:r>
              <w:rPr>
                <w:sz w:val="22"/>
                <w:szCs w:val="22"/>
              </w:rPr>
              <w:t>Präs</w:t>
            </w:r>
            <w:proofErr w:type="spellEnd"/>
            <w:r>
              <w:rPr>
                <w:sz w:val="22"/>
                <w:szCs w:val="22"/>
              </w:rPr>
              <w:t>.</w:t>
            </w:r>
          </w:p>
        </w:tc>
      </w:tr>
      <w:tr>
        <w:trPr>
          <w:trHeight w:val="518"/>
        </w:trPr>
        <w:tc>
          <w:tcPr>
            <w:tcW w:w="684" w:type="dxa"/>
          </w:tcPr>
          <w:p>
            <w:pPr>
              <w:rPr>
                <w:b/>
              </w:rPr>
            </w:pPr>
            <w:r>
              <w:rPr>
                <w:b/>
              </w:rPr>
              <w:t>8</w:t>
            </w:r>
          </w:p>
        </w:tc>
        <w:tc>
          <w:tcPr>
            <w:tcW w:w="6824" w:type="dxa"/>
          </w:tcPr>
          <w:p>
            <w:pPr>
              <w:pStyle w:val="1"/>
            </w:pPr>
            <w:r>
              <w:t>Kommunikation</w:t>
            </w:r>
          </w:p>
          <w:p>
            <w:pPr>
              <w:pStyle w:val="2"/>
            </w:pPr>
            <w:r>
              <w:t>BZgA</w:t>
            </w:r>
          </w:p>
          <w:p>
            <w:pPr>
              <w:pStyle w:val="Liste1"/>
            </w:pPr>
            <w:r>
              <w:t>Nochmal aufgegriffen und aktualisiert: Korrektes Verhalten bei häuslicher Isolation nach SARS-CoV-2-Infektion, sowie Verhalten bei pos. Testergebnis. (Merkblatt und FAQ in Überarbeitung)</w:t>
            </w:r>
          </w:p>
          <w:p>
            <w:pPr>
              <w:pStyle w:val="Liste1"/>
            </w:pPr>
            <w:r>
              <w:t xml:space="preserve">Überarbeitung Erregersteckbrief </w:t>
            </w:r>
            <w:proofErr w:type="spellStart"/>
          </w:p>
          <w:p>
            <w:pPr>
              <w:pStyle w:val="Liste1"/>
            </w:pPr>
            <w:proofErr w:type="spellEnd"/>
            <w:r>
              <w:t>Haas: Bitte nochmals darauf achten, dass der Begriff „Quarantäne“ nicht mehr in der Kommunikation verwendet wird!</w:t>
            </w:r>
          </w:p>
          <w:p>
            <w:pPr>
              <w:pStyle w:val="Liste1"/>
            </w:pPr>
            <w:r>
              <w:t>Änderungen an Empfehlungen für Herbst/Winter? – Fr Leuker</w:t>
            </w:r>
          </w:p>
          <w:p>
            <w:pPr>
              <w:pStyle w:val="2"/>
            </w:pPr>
            <w:r>
              <w:t>Presse</w:t>
            </w:r>
          </w:p>
          <w:p>
            <w:pPr>
              <w:pStyle w:val="Liste1"/>
            </w:pPr>
            <w:r>
              <w:t>Nicht berichtet</w:t>
            </w:r>
          </w:p>
          <w:p>
            <w:pPr>
              <w:pStyle w:val="2"/>
            </w:pPr>
            <w:r>
              <w:t>P1</w:t>
            </w:r>
          </w:p>
          <w:p>
            <w:pPr>
              <w:pStyle w:val="Liste1"/>
              <w:numPr>
                <w:ilvl w:val="0"/>
                <w:numId w:val="14"/>
              </w:numPr>
            </w:pPr>
            <w:r>
              <w:t>Hinweise für die Bevölkerung: Was ist jetzt wichtig? Flyer Stand 05.07 „sicher durch den Sommer“- noch aktuell</w:t>
            </w:r>
          </w:p>
          <w:p>
            <w:pPr>
              <w:pStyle w:val="Liste1"/>
              <w:numPr>
                <w:ilvl w:val="0"/>
                <w:numId w:val="14"/>
              </w:numPr>
            </w:pPr>
            <w:r>
              <w:t>Hinweise für Herbst/Winter: Anpassung vorgestellt:</w:t>
            </w:r>
          </w:p>
          <w:p>
            <w:pPr>
              <w:pStyle w:val="Liste1"/>
              <w:numPr>
                <w:ilvl w:val="0"/>
                <w:numId w:val="14"/>
              </w:numPr>
            </w:pPr>
            <w:r>
              <w:t xml:space="preserve">Es ist geplant, den Flyer Ende Sept online zustellen. </w:t>
            </w:r>
          </w:p>
          <w:p>
            <w:pPr>
              <w:pStyle w:val="Liste1"/>
              <w:numPr>
                <w:ilvl w:val="0"/>
                <w:numId w:val="14"/>
              </w:numPr>
            </w:pPr>
            <w:r>
              <w:t xml:space="preserve">Änderungen: Nicht auf COVID-19 alleine, sondern auf Atemwegserkrankungen allg. eingehen. – Wird einstimmig als sinnvoll angesehen </w:t>
            </w:r>
          </w:p>
          <w:p>
            <w:pPr>
              <w:pStyle w:val="Liste1"/>
              <w:numPr>
                <w:ilvl w:val="0"/>
                <w:numId w:val="14"/>
              </w:numPr>
            </w:pPr>
            <w:r>
              <w:t>Themen des Flyers:</w:t>
            </w:r>
          </w:p>
          <w:p>
            <w:pPr>
              <w:pStyle w:val="Liste1"/>
              <w:numPr>
                <w:ilvl w:val="4"/>
                <w:numId w:val="3"/>
              </w:numPr>
              <w:ind w:left="822" w:hanging="357"/>
            </w:pPr>
            <w:r>
              <w:t>bei Symptomen zu Hause bleiben und an eigenes Umfeld denken (Risikokontakte),</w:t>
            </w:r>
          </w:p>
          <w:p>
            <w:pPr>
              <w:pStyle w:val="Liste1"/>
              <w:numPr>
                <w:ilvl w:val="4"/>
                <w:numId w:val="3"/>
              </w:numPr>
              <w:ind w:left="822" w:hanging="357"/>
            </w:pPr>
            <w:r>
              <w:t xml:space="preserve">Smartes Lüften in Innenräumen, </w:t>
            </w:r>
          </w:p>
          <w:p>
            <w:pPr>
              <w:pStyle w:val="Liste1"/>
              <w:numPr>
                <w:ilvl w:val="4"/>
                <w:numId w:val="3"/>
              </w:numPr>
              <w:ind w:left="822" w:hanging="357"/>
            </w:pPr>
            <w:r>
              <w:t xml:space="preserve">MNS in Innenräumen – sollte Maskenart benannt werden? – Nein, keine Einmischung in pol. Diskussionen, allgemein weiterhin bleiben mit „medizinischem MNS“.; </w:t>
            </w:r>
          </w:p>
          <w:p>
            <w:pPr>
              <w:pStyle w:val="Liste1"/>
              <w:numPr>
                <w:ilvl w:val="4"/>
                <w:numId w:val="3"/>
              </w:numPr>
              <w:ind w:left="822" w:hanging="357"/>
            </w:pPr>
            <w:r>
              <w:t xml:space="preserve">Impfungen schützen vor schweren Erkrankungen (Verlinkung auf BMG Impf-Guide); </w:t>
            </w:r>
          </w:p>
          <w:p>
            <w:pPr>
              <w:pStyle w:val="Liste1"/>
              <w:numPr>
                <w:ilvl w:val="4"/>
                <w:numId w:val="3"/>
              </w:numPr>
              <w:ind w:left="822" w:hanging="357"/>
            </w:pPr>
            <w:r>
              <w:t xml:space="preserve">Infektionen behandeln und wissen wo es Hilfe gibt. </w:t>
            </w:r>
          </w:p>
          <w:p>
            <w:pPr>
              <w:pStyle w:val="Liste1"/>
              <w:numPr>
                <w:ilvl w:val="0"/>
                <w:numId w:val="8"/>
              </w:numPr>
            </w:pPr>
            <w:r>
              <w:lastRenderedPageBreak/>
              <w:t>Weitere Begleittexte mit Details können optional erstellt werden (z.B. Wie genau lüften)</w:t>
            </w:r>
          </w:p>
          <w:p>
            <w:pPr>
              <w:pStyle w:val="Liste1"/>
            </w:pPr>
            <w:r>
              <w:t>Thema im Herbst (Energie sparen und gleichzeitig Lüften): Smart Lüften wird als gute Wortwahl angesehen</w:t>
            </w:r>
          </w:p>
          <w:p>
            <w:pPr>
              <w:pStyle w:val="Liste1"/>
            </w:pPr>
            <w:r>
              <w:t xml:space="preserve">Frage: Testen vor Treffen mit Anderen aufnehmen? Oder vor Treffen mit Risikogruppen im privaten Umfeld? Hier müsste ergänzt werden „auf COVID“; Für Influenza sind Testangebote nicht verfügbar. In einem Flyer </w:t>
            </w:r>
            <w:proofErr w:type="spellStart"/>
            <w:r>
              <w:t>evtl</w:t>
            </w:r>
            <w:proofErr w:type="spellEnd"/>
            <w:r>
              <w:t xml:space="preserve"> kein triviales Problem </w:t>
            </w:r>
          </w:p>
          <w:p>
            <w:pPr>
              <w:pStyle w:val="Liste1"/>
            </w:pPr>
            <w:r>
              <w:t>Beim Lüften auf UBA hinweisen.</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9</w:t>
            </w:r>
          </w:p>
        </w:tc>
        <w:tc>
          <w:tcPr>
            <w:tcW w:w="6824" w:type="dxa"/>
          </w:tcPr>
          <w:p>
            <w:pPr>
              <w:pStyle w:val="1"/>
            </w:pPr>
            <w:r>
              <w:t>RKI-Strategie Fragen</w:t>
            </w:r>
          </w:p>
          <w:p>
            <w:pPr>
              <w:pStyle w:val="2"/>
              <w:rPr>
                <w:sz w:val="22"/>
                <w:szCs w:val="22"/>
              </w:rPr>
            </w:pPr>
            <w:r>
              <w:rPr>
                <w:sz w:val="22"/>
                <w:szCs w:val="22"/>
              </w:rPr>
              <w:t>Intern</w:t>
            </w:r>
          </w:p>
          <w:p>
            <w:pPr>
              <w:pStyle w:val="Liste1"/>
              <w:numPr>
                <w:ilvl w:val="0"/>
                <w:numId w:val="0"/>
              </w:numPr>
              <w:ind w:left="473" w:hanging="360"/>
            </w:pPr>
            <w:r>
              <w:t xml:space="preserve">Info O. Wichmann Steuerungskreis Impfkommunikation. BMG zur Sommer- und Herbstkampagne: Eigener Blog mit Minister geplant. </w:t>
            </w:r>
            <w:proofErr w:type="spellStart"/>
            <w:r>
              <w:t>BzGA</w:t>
            </w:r>
            <w:proofErr w:type="spellEnd"/>
            <w:r>
              <w:t xml:space="preserve">, </w:t>
            </w:r>
            <w:proofErr w:type="spellStart"/>
            <w:r>
              <w:t>BkA</w:t>
            </w:r>
            <w:r>
              <w:t>mt</w:t>
            </w:r>
            <w:proofErr w:type="spellEnd"/>
            <w:r>
              <w:t xml:space="preserve"> und </w:t>
            </w:r>
            <w:proofErr w:type="spellStart"/>
            <w:r>
              <w:t>BPresseamt</w:t>
            </w:r>
            <w:proofErr w:type="spellEnd"/>
            <w:r>
              <w:t xml:space="preserve"> bei Treffen vertreten. 2 Optionen für Ausrichtung auf den Herbst: 1: </w:t>
            </w:r>
            <w:r>
              <w:t>d</w:t>
            </w:r>
            <w:r>
              <w:t xml:space="preserve">ramatisierend oder 2: </w:t>
            </w:r>
            <w:r>
              <w:t>f</w:t>
            </w:r>
            <w:r>
              <w:t>aktenbasiert, sachliche Kommunikation. Entscheidung BMG</w:t>
            </w:r>
            <w:r>
              <w:t xml:space="preserve">: </w:t>
            </w:r>
            <w:r>
              <w:t xml:space="preserve">Option 1. </w:t>
            </w:r>
            <w:r>
              <w:t>Feedback von Seiten</w:t>
            </w:r>
            <w:r>
              <w:t xml:space="preserve"> </w:t>
            </w:r>
            <w:proofErr w:type="spellStart"/>
            <w:r>
              <w:t>BkA</w:t>
            </w:r>
            <w:proofErr w:type="spellEnd"/>
            <w:r>
              <w:t xml:space="preserve">, ob jetzt dafür der richtige Zeitpunkt? </w:t>
            </w:r>
            <w:r>
              <w:t xml:space="preserve">Und Feedback von </w:t>
            </w:r>
            <w:proofErr w:type="spellStart"/>
            <w:r>
              <w:t>BzGA</w:t>
            </w:r>
            <w:proofErr w:type="spellEnd"/>
            <w:r>
              <w:t xml:space="preserve">, dass nicht geeignete Kommunikation. </w:t>
            </w:r>
            <w:r>
              <w:t>Vermehrt werden Themen bespielt (</w:t>
            </w:r>
            <w:proofErr w:type="spellStart"/>
            <w:r>
              <w:t>LongCOVID</w:t>
            </w:r>
            <w:proofErr w:type="spellEnd"/>
            <w:r>
              <w:t>), die mit Impfen nichts zu tun haben. P1 und Press</w:t>
            </w:r>
            <w:r>
              <w:t>e</w:t>
            </w:r>
            <w:r>
              <w:t xml:space="preserve">stelle sollten bei Terminen vertreten sein. Strategiefrage: O. Wichmann klärt es mit </w:t>
            </w:r>
            <w:proofErr w:type="spellStart"/>
            <w:r>
              <w:t>Hr</w:t>
            </w:r>
            <w:proofErr w:type="spellEnd"/>
            <w:r>
              <w:t xml:space="preserve"> Wieler ab.</w:t>
            </w:r>
          </w:p>
          <w:p>
            <w:pPr>
              <w:pStyle w:val="Liste1"/>
              <w:numPr>
                <w:ilvl w:val="0"/>
                <w:numId w:val="0"/>
              </w:numPr>
              <w:ind w:left="113"/>
            </w:pPr>
          </w:p>
          <w:p>
            <w:pPr>
              <w:pStyle w:val="Liste1"/>
              <w:numPr>
                <w:ilvl w:val="0"/>
                <w:numId w:val="0"/>
              </w:numPr>
              <w:ind w:left="113"/>
            </w:pPr>
            <w:r>
              <w:t>RKI Kommunikationsstrategie: Es sollten k</w:t>
            </w:r>
            <w:r>
              <w:t>ein</w:t>
            </w:r>
            <w:r>
              <w:t>e</w:t>
            </w:r>
            <w:r>
              <w:t xml:space="preserve"> Schreckenss</w:t>
            </w:r>
            <w:r>
              <w:t>z</w:t>
            </w:r>
            <w:r>
              <w:t>enari</w:t>
            </w:r>
            <w:r>
              <w:t>en</w:t>
            </w:r>
            <w:r>
              <w:t xml:space="preserve"> </w:t>
            </w:r>
            <w:r>
              <w:t>für Bevölkerung herbeigeredet werden</w:t>
            </w:r>
            <w:r>
              <w:t xml:space="preserve">. </w:t>
            </w:r>
            <w:r>
              <w:t xml:space="preserve">Flexible Anpassung je nach Infektionslage und Einsatz präventiver Maßnahmen sollten klar kommuniziert werden </w:t>
            </w:r>
          </w:p>
          <w:p>
            <w:pPr>
              <w:pStyle w:val="Liste1"/>
              <w:numPr>
                <w:ilvl w:val="0"/>
                <w:numId w:val="0"/>
              </w:numPr>
              <w:ind w:left="113"/>
            </w:pPr>
          </w:p>
          <w:p>
            <w:pPr>
              <w:pStyle w:val="Liste1"/>
              <w:numPr>
                <w:ilvl w:val="0"/>
                <w:numId w:val="0"/>
              </w:numPr>
              <w:ind w:left="113"/>
              <w:rPr>
                <w:b/>
              </w:rPr>
            </w:pPr>
            <w:r>
              <w:rPr>
                <w:b/>
              </w:rPr>
              <w:t>Allgemein</w:t>
            </w:r>
          </w:p>
          <w:p>
            <w:pPr>
              <w:pStyle w:val="Listenabsatz"/>
              <w:numPr>
                <w:ilvl w:val="0"/>
                <w:numId w:val="13"/>
              </w:numPr>
              <w:spacing w:after="200"/>
              <w:rPr>
                <w:b/>
                <w:sz w:val="22"/>
                <w:szCs w:val="22"/>
              </w:rPr>
            </w:pPr>
            <w:r>
              <w:rPr>
                <w:sz w:val="22"/>
                <w:szCs w:val="22"/>
              </w:rPr>
              <w:t>"Pandemieradar"</w:t>
            </w:r>
            <w:r>
              <w:rPr>
                <w:sz w:val="22"/>
                <w:szCs w:val="22"/>
              </w:rPr>
              <w:t xml:space="preserve">: Verständnis, dass neben den bereits vorhandenen Meldedaten Minister damit zusätzlich Hospitalisierung aufgrund von COVID, Bettenbelegung und </w:t>
            </w:r>
            <w:proofErr w:type="spellStart"/>
            <w:r>
              <w:rPr>
                <w:sz w:val="22"/>
                <w:szCs w:val="22"/>
              </w:rPr>
              <w:t>Abwassersurveillance</w:t>
            </w:r>
            <w:proofErr w:type="spellEnd"/>
            <w:r>
              <w:rPr>
                <w:sz w:val="22"/>
                <w:szCs w:val="22"/>
              </w:rPr>
              <w:t xml:space="preserve"> meint. </w:t>
            </w:r>
          </w:p>
          <w:p>
            <w:pPr>
              <w:pStyle w:val="Listenabsatz"/>
              <w:numPr>
                <w:ilvl w:val="0"/>
                <w:numId w:val="13"/>
              </w:numPr>
              <w:spacing w:after="200"/>
              <w:rPr>
                <w:b/>
                <w:sz w:val="22"/>
                <w:szCs w:val="22"/>
              </w:rPr>
            </w:pPr>
            <w:r>
              <w:rPr>
                <w:sz w:val="22"/>
                <w:szCs w:val="22"/>
              </w:rPr>
              <w:t>"Krankenhauspanel" (Begriffe des BMG im Rahmen der IfSG-Novelle und der Surveillance)</w:t>
            </w:r>
            <w:r>
              <w:rPr>
                <w:sz w:val="22"/>
                <w:szCs w:val="22"/>
              </w:rPr>
              <w:t xml:space="preserve">; „Panel“ wird nicht als geeignetes Wording angesehen; </w:t>
            </w:r>
            <w:proofErr w:type="spellStart"/>
            <w:r>
              <w:rPr>
                <w:sz w:val="22"/>
                <w:szCs w:val="22"/>
              </w:rPr>
              <w:t>Krankenhaussentinel</w:t>
            </w:r>
            <w:proofErr w:type="spellEnd"/>
            <w:r>
              <w:rPr>
                <w:sz w:val="22"/>
                <w:szCs w:val="22"/>
              </w:rPr>
              <w:t xml:space="preserve"> wäre der geeignete Begriff;</w:t>
            </w:r>
            <w:r>
              <w:rPr>
                <w:sz w:val="22"/>
                <w:szCs w:val="22"/>
              </w:rPr>
              <w:t xml:space="preserve"> </w:t>
            </w:r>
            <w:proofErr w:type="spellStart"/>
            <w:r>
              <w:rPr>
                <w:sz w:val="22"/>
                <w:szCs w:val="22"/>
              </w:rPr>
              <w:t>Syndr</w:t>
            </w:r>
            <w:proofErr w:type="spellEnd"/>
            <w:r>
              <w:rPr>
                <w:sz w:val="22"/>
                <w:szCs w:val="22"/>
              </w:rPr>
              <w:t xml:space="preserve">. Surveillance (und hier auch ICOSARI) sollte ausgebaut werden; bisher weder Hausmittel noch Mittel vom BMG erhalten. </w:t>
            </w:r>
          </w:p>
          <w:p>
            <w:pPr>
              <w:pStyle w:val="Liste1"/>
              <w:numPr>
                <w:ilvl w:val="0"/>
                <w:numId w:val="13"/>
              </w:numPr>
              <w:ind w:left="714" w:hanging="357"/>
            </w:pPr>
            <w:proofErr w:type="spellStart"/>
            <w:r>
              <w:t>Abwassersurveillance</w:t>
            </w:r>
            <w:proofErr w:type="spellEnd"/>
            <w:r>
              <w:t xml:space="preserve">: BMG hat deutlich gemacht, dass neben dem </w:t>
            </w:r>
            <w:proofErr w:type="gramStart"/>
            <w:r>
              <w:t>bereits laufenden Pilot</w:t>
            </w:r>
            <w:proofErr w:type="gramEnd"/>
            <w:r>
              <w:t xml:space="preserve">, die Surveillance ausgeweitet werden soll. Erwartungen sind hoch; ob es ein geeignetes System zur Früherkennung ist, sollte im Rahmen </w:t>
            </w:r>
            <w:proofErr w:type="gramStart"/>
            <w:r>
              <w:t>des Pilot</w:t>
            </w:r>
            <w:proofErr w:type="gramEnd"/>
            <w:r>
              <w:t xml:space="preserve"> evaluiert werden. Verknüpfung der Abwasser- mit Ges. daten läuft (neue Softwarelösung). Standardisierung, Harmonisierung, Bewertbarkeit, Aussagekraft - diese Infos können noch nicht geliefert werden. Aber Umstellung in Realmodus soll bereits jetzt erfolgen. Personelle Ressourcen benötigt; RKI hat momentan den Auftrag die Architektur für das Monitoring zu liefern. UBA stark involviert.</w:t>
            </w:r>
          </w:p>
          <w:p>
            <w:pPr>
              <w:pStyle w:val="Liste1"/>
              <w:numPr>
                <w:ilvl w:val="0"/>
                <w:numId w:val="0"/>
              </w:numPr>
              <w:ind w:left="357"/>
            </w:pPr>
            <w:r>
              <w:lastRenderedPageBreak/>
              <w:t xml:space="preserve">       Wo sollen Daten generiert, wo gesammelt und ausgewertet  </w:t>
            </w:r>
            <w:r>
              <w:br/>
              <w:t xml:space="preserve">       werden? Noch nicht geklärt. Wichtig, </w:t>
            </w:r>
            <w:proofErr w:type="gramStart"/>
            <w:r>
              <w:t>das</w:t>
            </w:r>
            <w:proofErr w:type="gramEnd"/>
            <w:r>
              <w:t xml:space="preserve"> hier offen und klar    </w:t>
            </w:r>
            <w:r>
              <w:br/>
              <w:t xml:space="preserve">        mit dem BMG kommuniziert wird, was das Pilotprojekt bisher </w:t>
            </w:r>
            <w:r>
              <w:br/>
              <w:t xml:space="preserve">        liefern kann.</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FG33,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lang w:val="en-GB"/>
              </w:rPr>
            </w:pPr>
            <w:r>
              <w:rPr>
                <w:sz w:val="22"/>
                <w:szCs w:val="22"/>
                <w:lang w:val="en-GB"/>
              </w:rPr>
              <w:t>FG32, 36, 37</w:t>
            </w:r>
          </w:p>
        </w:tc>
      </w:tr>
      <w:tr>
        <w:tc>
          <w:tcPr>
            <w:tcW w:w="684" w:type="dxa"/>
          </w:tcPr>
          <w:p>
            <w:pPr>
              <w:rPr>
                <w:b/>
              </w:rPr>
            </w:pPr>
            <w:r>
              <w:rPr>
                <w:b/>
              </w:rPr>
              <w:t>9</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10</w:t>
            </w:r>
          </w:p>
        </w:tc>
        <w:tc>
          <w:tcPr>
            <w:tcW w:w="6824" w:type="dxa"/>
          </w:tcPr>
          <w:p>
            <w:pPr>
              <w:pStyle w:val="1"/>
            </w:pPr>
            <w:r>
              <w:t>Labordiagnostik</w:t>
            </w:r>
          </w:p>
          <w:p>
            <w:pPr>
              <w:pStyle w:val="2"/>
              <w:rPr>
                <w:b w:val="0"/>
                <w:sz w:val="22"/>
                <w:szCs w:val="22"/>
              </w:rPr>
            </w:pPr>
            <w:r>
              <w:rPr>
                <w:b w:val="0"/>
                <w:sz w:val="22"/>
                <w:szCs w:val="22"/>
              </w:rPr>
              <w:t xml:space="preserve">DGAM-Teilnahme an AG Diagnostik am BMG; Klärung: Rolle der Labordiagnostik z.B. bei Indikation </w:t>
            </w:r>
            <w:proofErr w:type="spellStart"/>
            <w:r>
              <w:rPr>
                <w:b w:val="0"/>
                <w:sz w:val="22"/>
                <w:szCs w:val="22"/>
              </w:rPr>
              <w:t>Paxlovid</w:t>
            </w:r>
            <w:proofErr w:type="spellEnd"/>
          </w:p>
          <w:p>
            <w:pPr>
              <w:pStyle w:val="2"/>
            </w:pPr>
            <w:r>
              <w:t>ZBS1</w:t>
            </w:r>
          </w:p>
          <w:p>
            <w:pPr>
              <w:pStyle w:val="2"/>
              <w:rPr>
                <w:b w:val="0"/>
                <w:sz w:val="22"/>
                <w:szCs w:val="22"/>
              </w:rPr>
            </w:pPr>
            <w:r>
              <w:rPr>
                <w:b w:val="0"/>
                <w:sz w:val="22"/>
                <w:szCs w:val="22"/>
              </w:rPr>
              <w:t>Nicht berichtet</w:t>
            </w:r>
          </w:p>
        </w:tc>
        <w:tc>
          <w:tcPr>
            <w:tcW w:w="1463" w:type="dxa"/>
          </w:tcPr>
          <w:p>
            <w:pPr>
              <w:rPr>
                <w:sz w:val="22"/>
                <w:szCs w:val="22"/>
              </w:rPr>
            </w:pPr>
          </w:p>
          <w:p>
            <w:pPr>
              <w:rPr>
                <w:sz w:val="22"/>
                <w:szCs w:val="22"/>
              </w:rPr>
            </w:pPr>
          </w:p>
          <w:p>
            <w:pPr>
              <w:rPr>
                <w:sz w:val="22"/>
                <w:szCs w:val="22"/>
              </w:rPr>
            </w:pPr>
            <w:r>
              <w:rPr>
                <w:sz w:val="22"/>
                <w:szCs w:val="22"/>
              </w:rPr>
              <w:t xml:space="preserve">FG17 </w:t>
            </w:r>
          </w:p>
          <w:p>
            <w:pPr>
              <w:rPr>
                <w:sz w:val="22"/>
                <w:szCs w:val="22"/>
              </w:rPr>
            </w:pPr>
          </w:p>
          <w:p>
            <w:pPr>
              <w:rPr>
                <w:sz w:val="22"/>
                <w:szCs w:val="22"/>
              </w:rPr>
            </w:pPr>
          </w:p>
          <w:p>
            <w:pPr>
              <w:rPr>
                <w:sz w:val="22"/>
                <w:szCs w:val="22"/>
              </w:rPr>
            </w:pPr>
            <w:r>
              <w:rPr>
                <w:sz w:val="22"/>
                <w:szCs w:val="22"/>
              </w:rPr>
              <w:t>ZBS1</w:t>
            </w: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numPr>
                <w:ilvl w:val="0"/>
                <w:numId w:val="0"/>
              </w:numPr>
              <w:ind w:left="113"/>
            </w:pPr>
            <w:r>
              <w:t xml:space="preserve">Stellungnahmen: DGKH zum Lüften in Schulen. Inhaltlich deckt sich Empfehlung prinzipiell mit der des RKI und des UBA, die Herleitung ist nur etwas speziell. </w:t>
            </w:r>
          </w:p>
          <w:p>
            <w:pPr>
              <w:pStyle w:val="NurText"/>
            </w:pPr>
            <w:hyperlink r:id="rId19" w:history="1">
              <w:r>
                <w:rPr>
                  <w:rStyle w:val="Hyperlink"/>
                </w:rPr>
                <w:t>https://www.krankenhaushygiene.de/pdfdata/2022_07_11_Stellungnahme-Luftreinigung-COVID-V2.pdf</w:t>
              </w:r>
            </w:hyperlink>
            <w:r>
              <w:t xml:space="preserve"> </w:t>
            </w:r>
          </w:p>
          <w:p>
            <w:pPr>
              <w:pStyle w:val="Liste1"/>
              <w:rPr>
                <w:i/>
              </w:rPr>
            </w:pPr>
            <w:r>
              <w:t xml:space="preserve">Entspricht Diskussionen um Leitlinien: gegen alleinige Lüftungsgeräte in Räumen </w:t>
            </w:r>
            <w:proofErr w:type="gramStart"/>
            <w:r>
              <w:t>-  Additives</w:t>
            </w:r>
            <w:proofErr w:type="gramEnd"/>
            <w:r>
              <w:t xml:space="preserve"> nicht exklusives Einsetzen von Raumluftgeräten. Techniken sehr unterschiedlich, daher RKI immer zurückhaltend geäußert. Technik nicht immer validierbar. RKI empfiehlt generell keine Lüftungsgeräte, hat sich aber auch nie explizit dagegen ausgesprochen. </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 xml:space="preserve">Es wird von pol. Seite erwartet, dass eine stärkere Aussage zur Frage: „Hospitalisierung mit oder aufgrund von SARS-CoV-2?“ getroffen werden kann. Frage: sind Ausführungen dazu im jetzigen Entwurf des IfSG ausreichend, damit Daten von RKI Seite erhoben werden dürfen? </w:t>
            </w:r>
          </w:p>
        </w:tc>
        <w:tc>
          <w:tcPr>
            <w:tcW w:w="1463" w:type="dxa"/>
          </w:tcPr>
          <w:p>
            <w:pPr>
              <w:rPr>
                <w:sz w:val="22"/>
                <w:szCs w:val="22"/>
              </w:rPr>
            </w:pPr>
          </w:p>
          <w:p>
            <w:pPr>
              <w:rPr>
                <w:sz w:val="22"/>
                <w:szCs w:val="22"/>
              </w:rPr>
            </w:pPr>
            <w:r>
              <w:rPr>
                <w:sz w:val="22"/>
                <w:szCs w:val="22"/>
              </w:rPr>
              <w:t>AL3</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 xml:space="preserve">FG31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der Koordinierungsstelle</w:t>
            </w:r>
            <w:r>
              <w:rPr>
                <w:b/>
                <w:sz w:val="28"/>
              </w:rPr>
              <w:t xml:space="preserve"> </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FG31</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Nächste Sitzung: Mittwoch, 17.08.2022, 11:00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lastRenderedPageBreak/>
        <w:t>Ende: 12:57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56CA11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B7942688">
      <w:start w:val="20"/>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3304A7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3"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C3E1197"/>
    <w:multiLevelType w:val="hybridMultilevel"/>
    <w:tmpl w:val="F31E8DC2"/>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094841"/>
    <w:multiLevelType w:val="hybridMultilevel"/>
    <w:tmpl w:val="58FC1398"/>
    <w:lvl w:ilvl="0" w:tplc="04070003">
      <w:start w:val="1"/>
      <w:numFmt w:val="bullet"/>
      <w:lvlText w:val="o"/>
      <w:lvlJc w:val="left"/>
      <w:pPr>
        <w:ind w:left="1553" w:hanging="360"/>
      </w:pPr>
      <w:rPr>
        <w:rFonts w:ascii="Courier New" w:hAnsi="Courier New" w:cs="Courier New"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abstractNum w:abstractNumId="9" w15:restartNumberingAfterBreak="0">
    <w:nsid w:val="5221133B"/>
    <w:multiLevelType w:val="hybridMultilevel"/>
    <w:tmpl w:val="9398BC08"/>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0" w15:restartNumberingAfterBreak="0">
    <w:nsid w:val="540C0A15"/>
    <w:multiLevelType w:val="hybridMultilevel"/>
    <w:tmpl w:val="0D0E2D6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FC705E0"/>
    <w:multiLevelType w:val="hybridMultilevel"/>
    <w:tmpl w:val="738649C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59D5D30"/>
    <w:multiLevelType w:val="hybridMultilevel"/>
    <w:tmpl w:val="C5A4B1E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655410"/>
    <w:multiLevelType w:val="hybridMultilevel"/>
    <w:tmpl w:val="7DCEE4C4"/>
    <w:lvl w:ilvl="0" w:tplc="04070003">
      <w:start w:val="1"/>
      <w:numFmt w:val="bullet"/>
      <w:lvlText w:val="o"/>
      <w:lvlJc w:val="left"/>
      <w:pPr>
        <w:ind w:left="1553" w:hanging="360"/>
      </w:pPr>
      <w:rPr>
        <w:rFonts w:ascii="Courier New" w:hAnsi="Courier New" w:cs="Courier New"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3"/>
  </w:num>
  <w:num w:numId="6">
    <w:abstractNumId w:val="2"/>
  </w:num>
  <w:num w:numId="7">
    <w:abstractNumId w:val="6"/>
  </w:num>
  <w:num w:numId="8">
    <w:abstractNumId w:val="11"/>
  </w:num>
  <w:num w:numId="9">
    <w:abstractNumId w:val="8"/>
  </w:num>
  <w:num w:numId="10">
    <w:abstractNumId w:val="13"/>
  </w:num>
  <w:num w:numId="11">
    <w:abstractNumId w:val="12"/>
  </w:num>
  <w:num w:numId="12">
    <w:abstractNumId w:val="10"/>
  </w:num>
  <w:num w:numId="13">
    <w:abstractNumId w:val="4"/>
  </w:num>
  <w:num w:numId="1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75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482769852">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Testzahlerfassung%20am%20RKI_2022_08-10.pptx" TargetMode="External"/><Relationship Id="rId18" Type="http://schemas.openxmlformats.org/officeDocument/2006/relationships/hyperlink" Target="2022-08-10_Intensivregister_SPoCK.ppt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LageNational_2022-08-10.pptx" TargetMode="External"/><Relationship Id="rId17" Type="http://schemas.openxmlformats.org/officeDocument/2006/relationships/hyperlink" Target="syndrom-ARE-SARI-COVID_bis_KW31_2022_f&#252;r-Krisenstab.pptx" TargetMode="External"/><Relationship Id="rId2" Type="http://schemas.openxmlformats.org/officeDocument/2006/relationships/numbering" Target="numbering.xml"/><Relationship Id="rId16" Type="http://schemas.openxmlformats.org/officeDocument/2006/relationships/hyperlink" Target="syndrom-ARE-SARI-COVID_bis_KW31_2022_f&#252;r-Krisenstab.ppt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nternat.%20Lage_2022-08-10.pptx" TargetMode="External"/><Relationship Id="rId5" Type="http://schemas.openxmlformats.org/officeDocument/2006/relationships/webSettings" Target="webSettings.xml"/><Relationship Id="rId15" Type="http://schemas.openxmlformats.org/officeDocument/2006/relationships/hyperlink" Target="2022-08_10_LageAG-VOC.pptx" TargetMode="External"/><Relationship Id="rId10" Type="http://schemas.openxmlformats.org/officeDocument/2006/relationships/footer" Target="footer2.xml"/><Relationship Id="rId19" Type="http://schemas.openxmlformats.org/officeDocument/2006/relationships/hyperlink" Target="https://www.krankenhaushygiene.de/pdfdata/2022_07_11_Stellungnahme-Luftreinigung-COVID-V2.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220810_SARS-CoV-2%20in%20ARS_Krisenstabssitzung.ppt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E97CB-8EA4-46BD-B845-211A18525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2187</Words>
  <Characters>13785</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Jung-Sendzik, Tanja</cp:lastModifiedBy>
  <cp:revision>28</cp:revision>
  <cp:lastPrinted>2020-05-06T16:43:00Z</cp:lastPrinted>
  <dcterms:created xsi:type="dcterms:W3CDTF">2022-08-10T07:58:00Z</dcterms:created>
  <dcterms:modified xsi:type="dcterms:W3CDTF">2022-08-10T14:07:00Z</dcterms:modified>
</cp:coreProperties>
</file>