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Wochentag, 16.08.2022,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/ 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Biere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FG28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Susanne </w:t>
      </w:r>
      <w:proofErr w:type="spellStart"/>
      <w:r>
        <w:rPr>
          <w:sz w:val="22"/>
          <w:szCs w:val="22"/>
        </w:rPr>
        <w:t>Bartig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Claudia Hövener</w:t>
      </w:r>
    </w:p>
    <w:p>
      <w:pPr>
        <w:pStyle w:val="Listenabsatz"/>
        <w:spacing w:after="0"/>
        <w:contextualSpacing w:val="0"/>
        <w:rPr>
          <w:rStyle w:val="highlight"/>
          <w:sz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Renke Biallas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Sievers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</w:t>
      </w:r>
    </w:p>
    <w:p>
      <w:pPr>
        <w:spacing w:after="0"/>
        <w:rPr>
          <w:sz w:val="22"/>
          <w:szCs w:val="22"/>
        </w:rPr>
      </w:pPr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Julia Hermes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Sarah Esquevin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ZIG2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</w:rPr>
        <w:t>Astrid Rose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spacing w:line="276" w:lineRule="auto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1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Negativer Fallzahlentrend innerhalb Europas, und auch auf anderen Kontinenten setzt sich fort, Ausreißer in Asien; Vergleich unter den Ländern kaum noch möglich, da Teststrategien angepasst, bzw. in den meisten Ländern runtergefahren.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Höchste Fallzahl in Asien mit 53% der Fälle der letzten Woche.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Todesfallzahlen nehmen generell weltweit ab, außer Asien und Ozeanien.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Europäische Länder: verzögerte Meldungen aus Albanien, Schweiz, Griechenland; Finnland meldet wieder regelmäßig;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Europa- Maßnahmen-Maßnahmen im Vergleich: Maskenpflicht, Isolationspflicht, Impfung; Maskenpflicht gibt es nur noch in wenigen Ländern im ÖPVN oder im med. Bereich; Der Großteil der Nachbarländer empfiehlt den 2. Booster für bestimmte Risiko/Altersgruppen; Schweden und Irland ab Sept: 3. Booster; Isolationspflicht nur noch in F, I NL;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Kanada und USA: hier sind Maßnahmen noch schwieriger zu vergleichen aufgrund der unterschiedlichen Regelungen in den Provinzen/Bundesstaaten;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Teststrategien in Europa im Vergleich: eine Erlassantwort ans BMG wird im Protokoll verlinkt.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HYPERLINK "LageNational_2022-08-17.pptx" </w:instrText>
            </w:r>
            <w:r>
              <w:fldChar w:fldCharType="separate"/>
            </w:r>
            <w:proofErr w:type="spellStart"/>
            <w:r>
              <w:rPr>
                <w:rStyle w:val="Hyperlink"/>
              </w:rPr>
              <w:t>hier</w:t>
            </w:r>
            <w:proofErr w:type="spellEnd"/>
            <w:r>
              <w:fldChar w:fldCharType="end"/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Rückgang setzt sich fort bzw. momentan </w:t>
            </w:r>
            <w:proofErr w:type="spellStart"/>
            <w:r>
              <w:rPr>
                <w:lang w:val="de-DE"/>
              </w:rPr>
              <w:t>Einpendelung</w:t>
            </w:r>
            <w:proofErr w:type="spellEnd"/>
            <w:r>
              <w:rPr>
                <w:lang w:val="de-DE"/>
              </w:rPr>
              <w:t xml:space="preserve"> auf Plateau; 10x geringere 7TI im Vergleich zu vor einem Jahr (37/100T im August 2021)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Heatmap</w:t>
            </w:r>
            <w:proofErr w:type="spellEnd"/>
            <w:r>
              <w:rPr>
                <w:lang w:val="de-DE"/>
              </w:rPr>
              <w:t>: in allen Altersgruppen Rückgang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Todesfälle: Peak scheint noch nicht erreicht, mit Nachmeldungen ist zu rechnen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Destatis Daten: keine Besonderheiten im Vergleich zur Vorwoche. 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übermittelte aktive Fälle: 31.666.475 (+67.390), davon 146.030 (+192) Todesfälle </w:t>
            </w:r>
          </w:p>
          <w:p>
            <w:pPr>
              <w:pStyle w:val="Liste2"/>
            </w:pPr>
            <w:r>
              <w:t xml:space="preserve">7-Tage-Inzidenz: 311,8/100.000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rStyle w:val="TagMiZchn"/>
                <w:b w:val="0"/>
                <w:i w:val="0"/>
                <w:color w:val="auto"/>
              </w:rPr>
            </w:pPr>
            <w:r>
              <w:rPr>
                <w:rStyle w:val="3Zchn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ARS-Daten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VOC-Bericht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Molekulare</w:t>
            </w:r>
            <w:proofErr w:type="spellEnd"/>
            <w:r>
              <w:rPr>
                <w:b/>
              </w:rPr>
              <w:t xml:space="preserve"> Surveillance,</w:t>
            </w:r>
            <w:r>
              <w:t xml:space="preserve">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HYPERLINK "2022-08_17_LageAG-VOC.pptx" </w:instrText>
            </w:r>
            <w:r>
              <w:fldChar w:fldCharType="separate"/>
            </w:r>
            <w:proofErr w:type="spellStart"/>
            <w:r>
              <w:rPr>
                <w:rStyle w:val="Hyperlink"/>
              </w:rPr>
              <w:t>hier</w:t>
            </w:r>
            <w:proofErr w:type="spellEnd"/>
            <w:r>
              <w:fldChar w:fldCharType="end"/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Leichter Anstieg von BA.5 auf 95%, Rückgang von BA.2 und BA.4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BA.5 Sublinien-Anteile haben sich nur wenig verändert.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Leichte Zunahme BA.2.75: 23 in Stichprobe; nicht auffällig</w:t>
            </w:r>
          </w:p>
          <w:p>
            <w:pPr>
              <w:pStyle w:val="Liste2"/>
              <w:numPr>
                <w:ilvl w:val="0"/>
                <w:numId w:val="0"/>
              </w:numPr>
            </w:pPr>
            <w:proofErr w:type="spellStart"/>
            <w:r>
              <w:rPr>
                <w:b/>
              </w:rPr>
              <w:t>Syndromische</w:t>
            </w:r>
            <w:proofErr w:type="spellEnd"/>
            <w:r>
              <w:rPr>
                <w:b/>
              </w:rPr>
              <w:t xml:space="preserve"> Surveillance</w:t>
            </w:r>
            <w:r>
              <w:t xml:space="preserve">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2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  <w:r>
              <w:rPr>
                <w:rStyle w:val="TagMiZchn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 auf Bevölkerungsebene/</w:t>
            </w:r>
            <w:proofErr w:type="spellStart"/>
            <w:r>
              <w:rPr>
                <w:lang w:val="de-DE"/>
              </w:rPr>
              <w:t>GrippeWeb</w:t>
            </w:r>
            <w:proofErr w:type="spellEnd"/>
            <w:r>
              <w:rPr>
                <w:lang w:val="de-DE"/>
              </w:rPr>
              <w:t>: leichter Anstieg; 3.700 ARE/100T; Anstieg in allen Altersgruppen, Niveau vergleichbar mit denen der vorpandemischen Jahre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Ambulaten</w:t>
            </w:r>
            <w:proofErr w:type="spellEnd"/>
            <w:r>
              <w:rPr>
                <w:lang w:val="de-DE"/>
              </w:rPr>
              <w:t xml:space="preserve"> Arztkonsultationen aufgrund von ARE: Rückgang, aber erhöhtes Niveau im Vergleich zu vorpandemischen Jahren; bei Erwachsenen 2- 3x Erhörung. </w:t>
            </w:r>
            <w:proofErr w:type="gramStart"/>
            <w:r>
              <w:rPr>
                <w:lang w:val="de-DE"/>
              </w:rPr>
              <w:t>Bei Kinder</w:t>
            </w:r>
            <w:proofErr w:type="gramEnd"/>
            <w:r>
              <w:rPr>
                <w:lang w:val="de-DE"/>
              </w:rPr>
              <w:t xml:space="preserve"> wieder Normalisierung. 0.8 Mio. </w:t>
            </w:r>
            <w:proofErr w:type="spellStart"/>
            <w:r>
              <w:rPr>
                <w:lang w:val="de-DE"/>
              </w:rPr>
              <w:t>Konsulationen</w:t>
            </w:r>
            <w:proofErr w:type="spellEnd"/>
            <w:r>
              <w:rPr>
                <w:lang w:val="de-DE"/>
              </w:rPr>
              <w:t xml:space="preserve"> aufgrund von ARE. In NRW sind Ferien bereits zu Ende: leichter Anstieg in Altersgruppe 5-14-Jährige zu beobachten.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ARE mit COVID19 im ambulanten Bereich: insgesamt setzt sich der Rückgang aus den letzten Wochen fort, aber </w:t>
            </w:r>
            <w:proofErr w:type="spellStart"/>
            <w:r>
              <w:rPr>
                <w:lang w:val="de-DE"/>
              </w:rPr>
              <w:t>Stabilisierung</w:t>
            </w:r>
            <w:proofErr w:type="spellEnd"/>
            <w:r>
              <w:rPr>
                <w:lang w:val="de-DE"/>
              </w:rPr>
              <w:t xml:space="preserve"> bei 5-14-Jährigen, leichter Anstieg 60-79, Ü 80 stabil.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ICOSARI: Rückgang deutlich zu sehen. Vergleichbar zu den vorpandemischen Jahren; Ab 80 leicht erhöhte Werte im Vergleich zu Vorjahren. ITS-Behandlung ebenfalls vergleichbare Zahlen zu Vorjahren.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Anteil COVD-Diagnosen an SARI Fällen: Rückgang (27% alle Altersgruppen), auch Rückgang bei Ü80 (von 40% auf 30%); Influenza spielt keine Rolle momentan; SARI mit ITS: ebenfalls rückläufig. 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Hosp</w:t>
            </w:r>
            <w:proofErr w:type="spellEnd"/>
            <w:r>
              <w:rPr>
                <w:lang w:val="de-DE"/>
              </w:rPr>
              <w:t xml:space="preserve">.-Inzidenzen: Auch hier Rückgang deutlich zu sehen und setzt sich fort. 2.1 COVID-SARI/100T. 1800 neue KH-Aufnahmen.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rStyle w:val="TagMiZchn"/>
                <w:b w:val="0"/>
                <w:lang w:val="de-DE"/>
              </w:rPr>
            </w:pPr>
            <w:r>
              <w:rPr>
                <w:b/>
                <w:lang w:val="de-DE"/>
              </w:rPr>
              <w:t xml:space="preserve">Virologische Surveillance, NRZ Influenza-Daten, </w:t>
            </w:r>
            <w:r>
              <w:rPr>
                <w:lang w:val="de-DE"/>
              </w:rPr>
              <w:t xml:space="preserve">Folien </w:t>
            </w:r>
            <w:hyperlink r:id="rId13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, Folien 13 und 14</w:t>
            </w:r>
            <w:r>
              <w:rPr>
                <w:b/>
                <w:lang w:val="de-DE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Keine Coronaviren außer SARS-CoV-2 nachgewiesen; Seitwärtsbewegung zu beobachten,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Influenza: Sporadisch nachgewiesen A(H3N2),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Andere Atemwegserreger: PIC aller 4 Typen, Rhino (jeweils etwa 11%), </w:t>
            </w:r>
            <w:proofErr w:type="spellStart"/>
            <w:r>
              <w:rPr>
                <w:lang w:val="de-DE"/>
              </w:rPr>
              <w:t>hMpV</w:t>
            </w:r>
            <w:proofErr w:type="spellEnd"/>
            <w:r>
              <w:rPr>
                <w:lang w:val="de-DE"/>
              </w:rPr>
              <w:t xml:space="preserve"> sporadisch nachgewiesen, kein RSV, bei allen ist eine Seitwärtsbewegung zu beobachten.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Zahlen zum DIVI-Intensivregister, </w:t>
            </w:r>
            <w:r>
              <w:rPr>
                <w:lang w:val="de-DE"/>
              </w:rPr>
              <w:t xml:space="preserve">Folien </w:t>
            </w:r>
            <w:hyperlink r:id="rId14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 xml:space="preserve">1096 COVID-PatientInnen auf der ITS. 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>Plateau der ITS-COVID-Neuaufnahmen (911 innerhalb der letzten 7 Tage),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>Plateau Anzahl der Verstorbenen mit positivem SARS-CoV-2 Test; Tendenz Rückgang,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 xml:space="preserve">BL: in den meisten Rückgang zu sehen. Trend zeigt allgemein nach unten oder Plateau. 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 xml:space="preserve">Behandlungsbelegung/-gruppen. Starker Rückgang bei leichter Unterstützung, Rückgang bei invasiv-beatmeten PatientInnen etwas geringer. ECMO Behandlung kaum in der letzten Welle. 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 xml:space="preserve">Verfügbarkeit Behandlungskapazitäten: High Care: Berg baut sich langsam ab, Belastung aber nach wie vor hoch, 62% der Meldenden melden begrenzte oder keine Verfügbarkeit; 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lastRenderedPageBreak/>
              <w:t xml:space="preserve">Altersgruppen: Rückgang und Plateau außer bei Ü80, hier leichter Anstieg. Großer Teil der ITS wird dominiert von Ü70. </w:t>
            </w:r>
          </w:p>
          <w:p>
            <w:pPr>
              <w:pStyle w:val="Liste2"/>
              <w:numPr>
                <w:ilvl w:val="0"/>
                <w:numId w:val="48"/>
              </w:numPr>
              <w:ind w:left="828" w:hanging="357"/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 xml:space="preserve">Prognosen: deutschlandweiter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Modellierungen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2"/>
              <w:numPr>
                <w:ilvl w:val="0"/>
                <w:numId w:val="0"/>
              </w:num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Diskussion</w:t>
            </w:r>
            <w:proofErr w:type="spellEnd"/>
            <w:r>
              <w:rPr>
                <w:b/>
              </w:rPr>
              <w:t>/Info:</w:t>
            </w:r>
          </w:p>
          <w:p>
            <w:pPr>
              <w:pStyle w:val="Liste2"/>
              <w:numPr>
                <w:ilvl w:val="0"/>
                <w:numId w:val="47"/>
              </w:numPr>
              <w:rPr>
                <w:lang w:val="de-DE"/>
              </w:rPr>
            </w:pPr>
            <w:r>
              <w:rPr>
                <w:lang w:val="de-DE"/>
              </w:rPr>
              <w:t>FG37: Ausbrüche in Altenheimen gehen zurück</w:t>
            </w:r>
          </w:p>
          <w:p>
            <w:pPr>
              <w:pStyle w:val="Liste2"/>
              <w:numPr>
                <w:ilvl w:val="0"/>
                <w:numId w:val="47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Steigen COVID-Todesfälle weiterhin? Übersterblichkeitsdaten von Destatis zeigen weiteren Anstieg. Destatis ist noch in Woche 29, wir zeigen Daten aus KW32. Graphiken passen zueinander, Destatis zeitverzögert. </w:t>
            </w:r>
          </w:p>
          <w:p>
            <w:pPr>
              <w:pStyle w:val="Liste2"/>
              <w:numPr>
                <w:ilvl w:val="0"/>
                <w:numId w:val="4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Abb. Folie 7, Lage National: Obere Kurve: Gesamtsterblichkeit warum in letzten 9 Wochen </w:t>
            </w:r>
            <w:proofErr w:type="gramStart"/>
            <w:r>
              <w:rPr>
                <w:lang w:val="de-DE"/>
              </w:rPr>
              <w:t>gestrichelt ?</w:t>
            </w:r>
            <w:proofErr w:type="gramEnd"/>
            <w:r>
              <w:rPr>
                <w:lang w:val="de-DE"/>
              </w:rPr>
              <w:t xml:space="preserve"> –Projektion. COVID Fälle aus System darunter abgebildet. Kann es deutlicher dargestellt werden? Wochenbericht: Angabe, dass auch bei Todesfällen leicht sinkende Tendenz? – Nein, aufgrund möglicher Nachmeldungen noch keine Entwarnung bei Todesfällen </w:t>
            </w:r>
            <w:proofErr w:type="spellStart"/>
            <w:r>
              <w:rPr>
                <w:lang w:val="de-DE"/>
              </w:rPr>
              <w:t>geben.</w:t>
            </w:r>
            <w:proofErr w:type="spellEnd"/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47"/>
              </w:numPr>
              <w:rPr>
                <w:lang w:val="de-DE"/>
              </w:rPr>
            </w:pPr>
            <w:r>
              <w:rPr>
                <w:lang w:val="de-DE"/>
              </w:rPr>
              <w:t xml:space="preserve">Gesamtfallzahlen: wie beschreiben? – Beschreibung durch „Infektionsdruck ist weiterhin hoch. Risikobewertung auch noch auf hoch.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 xml:space="preserve">Heute findet eine Sitzung der STIKO statt; Hauptthemen: - Auswertung der Ergebnisse des </w:t>
            </w:r>
            <w:proofErr w:type="spellStart"/>
            <w:r>
              <w:t>Stellungnahmeverfahrens</w:t>
            </w:r>
            <w:proofErr w:type="spellEnd"/>
            <w:r>
              <w:t xml:space="preserve">. Indikation 2. Booster. Hier liegt der Vorschlag vor, die Altersgrenze auf 60+ abzusenken und Indikationsgruppen auszuweiten über </w:t>
            </w:r>
            <w:proofErr w:type="spellStart"/>
            <w:r>
              <w:t>Immundefiziente</w:t>
            </w:r>
            <w:proofErr w:type="spellEnd"/>
            <w:r>
              <w:t xml:space="preserve"> auf andere Risikogruppen hinaus. Änderung Intervall 1 und 2. Booster regelhaft 6 Monate. Nachfrage der BL wie mit vorbestehenden Infektionen umgegangen werden soll (Ersetzt eine Infektion den Booster?); Bisher gibt es hierzu keine klare Positionierung der STIKO. </w:t>
            </w:r>
          </w:p>
          <w:p>
            <w:pPr>
              <w:pStyle w:val="Liste1"/>
            </w:pPr>
            <w:r>
              <w:t>22.08: konstituierende Sitzung der PEIKO (AG Covid-19-Impfungen) unter Beteilung von externen Sachverständigen sowie BMG (</w:t>
            </w:r>
            <w:proofErr w:type="spellStart"/>
            <w:r>
              <w:t>Hr</w:t>
            </w:r>
            <w:proofErr w:type="spellEnd"/>
            <w:r>
              <w:t xml:space="preserve"> Rottmann, Fr Korr)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rStyle w:val="1Zchn"/>
                <w:b w:val="0"/>
                <w:sz w:val="22"/>
              </w:rPr>
            </w:pPr>
            <w:r>
              <w:rPr>
                <w:rStyle w:val="1Zchn"/>
                <w:b w:val="0"/>
                <w:sz w:val="22"/>
              </w:rPr>
              <w:t>Frage: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rStyle w:val="1Zchn"/>
                <w:b w:val="0"/>
                <w:sz w:val="22"/>
              </w:rPr>
            </w:pPr>
            <w:r>
              <w:rPr>
                <w:rStyle w:val="1Zchn"/>
                <w:b w:val="0"/>
                <w:sz w:val="22"/>
              </w:rPr>
              <w:t>3. Auffrischimpfung bei Risikogruppen, die sich bereits relativ früh im Jahr das 4. Mal haben impfen lassen? – bisher nicht diskutiert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CWA soll bis Mai 2023 verlängert werden; bisher liegt hierzu noch keine schriftliche Aussage vor.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Minister hat unterschiedliche Ideen, wie CWA zusätzlich genutzt werden soll: Kernidee: Nutzung zur Befreiung von der Maskenpflicht im Herbst z.B. in Restaurants bei frischer Impfung/Testung.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Effekte sind hier auch auf </w:t>
            </w:r>
            <w:proofErr w:type="spellStart"/>
            <w:r>
              <w:rPr>
                <w:sz w:val="22"/>
                <w:szCs w:val="22"/>
              </w:rPr>
              <w:t>CovPass</w:t>
            </w:r>
            <w:proofErr w:type="spellEnd"/>
            <w:r>
              <w:rPr>
                <w:sz w:val="22"/>
                <w:szCs w:val="22"/>
              </w:rPr>
              <w:t xml:space="preserve"> App zu erwarten.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Unterstützung bei Unregelmäßigkeiten bei Abrechnungen in Testzentren/Ärzten/Kliniken: hierzu fanden mehrere Treffen </w:t>
            </w:r>
            <w:r>
              <w:rPr>
                <w:sz w:val="22"/>
                <w:szCs w:val="22"/>
              </w:rPr>
              <w:lastRenderedPageBreak/>
              <w:t xml:space="preserve">statt. GA Köln stellt einen Testdatensatz zur Analyse zur Verfügung; Ziel: Anomalien im Datensatz </w:t>
            </w:r>
            <w:proofErr w:type="spellStart"/>
            <w:r>
              <w:rPr>
                <w:sz w:val="22"/>
                <w:szCs w:val="22"/>
              </w:rPr>
              <w:t>aufgedecken</w:t>
            </w:r>
            <w:proofErr w:type="spellEnd"/>
            <w:r>
              <w:rPr>
                <w:sz w:val="22"/>
                <w:szCs w:val="22"/>
              </w:rPr>
              <w:t xml:space="preserve"> und beschreiben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CWA </w:t>
            </w:r>
            <w:proofErr w:type="spellStart"/>
            <w:r>
              <w:rPr>
                <w:sz w:val="22"/>
                <w:szCs w:val="22"/>
              </w:rPr>
              <w:t>BackendDaten</w:t>
            </w:r>
            <w:proofErr w:type="spellEnd"/>
            <w:r>
              <w:rPr>
                <w:sz w:val="22"/>
                <w:szCs w:val="22"/>
              </w:rPr>
              <w:t xml:space="preserve"> zur externen Validierung nutzbar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Bericht hierzu in Bearbeitung (Deadline von Seiten des BMG: 18.08)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20.9 sollen dann über KBV Daten aus dem ganzen Bundesgebiet geliefert werde; Datenqualität nicht klar;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Aufwand auf unserer Seite wird geprüft, da Konzept in eine neue VO einfließen soll; 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Fragen: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color w:val="C2D69B" w:themeColor="accent3" w:themeTint="99"/>
                <w:sz w:val="22"/>
                <w:szCs w:val="22"/>
              </w:rPr>
            </w:pPr>
            <w:r>
              <w:rPr>
                <w:sz w:val="22"/>
                <w:szCs w:val="22"/>
              </w:rPr>
              <w:t>Presseanfrage NDR/WDR/SZ mit Frist heute: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color w:val="C2D69B" w:themeColor="accent3" w:themeTint="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Welche Expertise hat das RKI in diesem Bereich? Hat das RKI die nötige Erfahrung? – Antwort: Ja, Anomalien in Datensätzen aufdecken ist tägliche Arbeit, wichtig ist hier: wir finden nicht heraus, wer betrügt, sondern liefern die technische Unterstützung. Unsere Aufgabe: Datenauswertung zur Prävention; Meldungen der Daten erfolgen and KVen Gesundheitsbehörden vor Ort, Was mit den Daten dort geschieht wird in VO geregelt.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color w:val="C2D69B" w:themeColor="accent3" w:themeTint="99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Wieviele</w:t>
            </w:r>
            <w:proofErr w:type="spellEnd"/>
            <w:r>
              <w:rPr>
                <w:sz w:val="22"/>
                <w:szCs w:val="22"/>
              </w:rPr>
              <w:t xml:space="preserve"> MA werden sich in Zukunft damit beschäftigen – Antwort: noch in Diskussionen mit BMG, aktuell befindet sich die Struktur noch im Aufbau, </w:t>
            </w:r>
            <w:proofErr w:type="spellStart"/>
            <w:r>
              <w:rPr>
                <w:sz w:val="22"/>
                <w:szCs w:val="22"/>
              </w:rPr>
              <w:t>abhg</w:t>
            </w:r>
            <w:proofErr w:type="spellEnd"/>
            <w:r>
              <w:rPr>
                <w:sz w:val="22"/>
                <w:szCs w:val="22"/>
              </w:rPr>
              <w:t xml:space="preserve">. von Ergebnissen; </w:t>
            </w:r>
          </w:p>
          <w:p>
            <w:pPr>
              <w:spacing w:line="276" w:lineRule="auto"/>
              <w:rPr>
                <w:color w:val="C2D69B" w:themeColor="accent3" w:themeTint="99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Do: Fr Glasmacher bereitet eine Antwort zur Anfrage NDR/WDR/SZ vor, und zirkuliert diese an Leitung und P. Schmich.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824" w:type="dxa"/>
          </w:tcPr>
          <w:p>
            <w:pPr>
              <w:rPr>
                <w:b/>
              </w:rPr>
            </w:pPr>
            <w:r>
              <w:rPr>
                <w:b/>
              </w:rPr>
              <w:t>Daten aus der Gesundheitsberichterstattung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Vortrag S. </w:t>
            </w:r>
            <w:proofErr w:type="spellStart"/>
            <w:r>
              <w:rPr>
                <w:sz w:val="22"/>
                <w:szCs w:val="22"/>
              </w:rPr>
              <w:t>Bartig</w:t>
            </w:r>
            <w:proofErr w:type="spellEnd"/>
            <w:r>
              <w:rPr>
                <w:sz w:val="22"/>
                <w:szCs w:val="22"/>
              </w:rPr>
              <w:t xml:space="preserve"> und C. Hövener 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„Soziale Deprivation und COVID-19, Soziale Determinanten des Impfverhaltens“ </w:t>
            </w:r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GEDA Daten-Auswertung, Daten werden im J.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of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Health Monitoring dieses Jahr veröffentlicht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In Gegenden mit hoher Deprivation sind Menschen nicht unbedingt von höherem Infektionsgeschehen betroffen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Aber Unterschiede in Mortalität: höhere Sterblichkeit in Gruppen mit hoher Deprivation im Vergleich zu Menschen mit mittlerer und geringer Deprivation.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Soziale Determinanten Einfluss Auf COVID- Impfstatus: Befragung bundesweit, telefonisch, Juli – Dez 2021. 87% der Befragten gaben an, geimpft zu sein; Quote variiert mit Alter. – niedrigste Quote bei Anfang-30-Jährigen, steigendes Alter- steigende Quote;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Indikatoren: Bildungsniveau, Netto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äqu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. Einkommen, Wohnregion, Stadt vs. Land, Migrationsgeschichte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Impfquote nimmt mit steigender Bildung und steigendem Einkommen zu; Unterschiede Impfquote Bildung hoch zu Bildung niedrig: 9% höhere Impfquote, hohes vs. Niedriges </w:t>
            </w:r>
            <w:r>
              <w:rPr>
                <w:rStyle w:val="1Zchn"/>
                <w:b w:val="0"/>
                <w:sz w:val="22"/>
                <w:szCs w:val="22"/>
              </w:rPr>
              <w:lastRenderedPageBreak/>
              <w:t>Einkommen 15% höhere. Unterschied West-Ost: 10% höhere Impfquote; Auf dem Land sind Menschen weniger geimpft als in der Stadt. Migrationshintergrund: bei Zugewanderten liegt die Impfquote um 10% niedriger.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Altersdifferenziert: bei Ü60-Impfquote sind soziale Unterschiede deutlich geringer ausgeprägt; Impfquote kaum abhängig von Bildungsniveau in dieser Altersgruppe im Vergleich zu jüngeren Generationen.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Fazit: Impfinanspruchnahme variiert in Abhängigkeit von verschiedenen sozialen Determinanten.</w:t>
            </w:r>
            <w:r>
              <w:rPr>
                <w:rStyle w:val="1Zchn"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Probleme bei Menschen mit Migrationshintergrund sind nicht notwendigerweise auf Deprivation zurückzuführen, sondern können auch in Sprachbarrieren oder im Zugang zur Versorgung begründet liegen. </w:t>
            </w:r>
            <w:r>
              <w:rPr>
                <w:rStyle w:val="1Zchn"/>
                <w:b w:val="0"/>
                <w:sz w:val="22"/>
                <w:szCs w:val="22"/>
              </w:rPr>
              <w:t>Tiefergehende Analysen sind hier wichtig. COVIMO Anhaltspunkte: Sprachkenntnisse und Vertrauen wichtig für Impfinanspruchnahme. Daten von GEDA Fokus (Menschen mit Migrationshintergrund) sollen diese Daten ergänzen.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Höhere Mortalität bei höherer Deprivation: in diesen Gruppen besteht eine höhere Prävalenz von Vorerkrankungen, die Risiko eines schweren Verlaufs erhöhen.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Maßnahmen: wir brauchen zielgerichtete, niedrigschwellige Angebote für bestimmte Gruppen und u.a. Sensibilisierung der Ärzteschaft/des med. Personals. Politikübergreifende Anstrengungen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notwenig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>.</w:t>
            </w:r>
            <w:r>
              <w:rPr>
                <w:rStyle w:val="1Zchn"/>
                <w:sz w:val="22"/>
                <w:szCs w:val="22"/>
              </w:rPr>
              <w:t xml:space="preserve"> </w:t>
            </w:r>
          </w:p>
          <w:p>
            <w:pPr>
              <w:spacing w:line="276" w:lineRule="auto"/>
              <w:rPr>
                <w:rStyle w:val="1Zchn"/>
                <w:sz w:val="22"/>
                <w:szCs w:val="22"/>
              </w:rPr>
            </w:pPr>
          </w:p>
          <w:p>
            <w:p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Fragen/Kommentare: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In diesen Gruppen wegen weniger PCR Tests durchgeführt.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Kernbotschafteb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für Minister und Leitung. (es wurde zum Thema bereits ein Initiativbericht zur 4. Welle verfasst; wenig Feedback von Seiten des BMG).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Internationale Publikation geplant? Journal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of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Health Monitoring: auf D und EN; nochmal Bericht zum Thema ans BMG? -Feedback: ja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Feedback </w:t>
            </w:r>
            <w:proofErr w:type="gramStart"/>
            <w:r>
              <w:rPr>
                <w:rStyle w:val="1Zchn"/>
                <w:b w:val="0"/>
                <w:sz w:val="22"/>
                <w:szCs w:val="22"/>
              </w:rPr>
              <w:t>ZIG:;</w:t>
            </w:r>
            <w:proofErr w:type="gramEnd"/>
            <w:r>
              <w:rPr>
                <w:rStyle w:val="1Zchn"/>
                <w:b w:val="0"/>
                <w:sz w:val="22"/>
                <w:szCs w:val="22"/>
              </w:rPr>
              <w:t xml:space="preserve"> Akzentuierung der deutschen Daten im Rahmen internationaler Zusammenarbeit möglich. WHO plant einen Report zu COVID-19 und sozialen Ungleichheiten (2023) mit Länder-Konsultationen. ZIG verfasst im 2-Wochen Rhythmus einen Bericht ans BMG, in dem u.a. wichtige Fachpublikationen erwähnt werden: Thema hier aufgreifen. </w:t>
            </w:r>
            <w:bookmarkStart w:id="1" w:name="_GoBack"/>
            <w:bookmarkEnd w:id="1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FG28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2"/>
            </w:pPr>
            <w:proofErr w:type="spellStart"/>
            <w:r>
              <w:t>Kein</w:t>
            </w:r>
            <w:proofErr w:type="spellEnd"/>
            <w:r>
              <w:t xml:space="preserve"> </w:t>
            </w:r>
            <w:proofErr w:type="spellStart"/>
            <w:r>
              <w:t>Änderungsbedarf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b w:val="0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  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FAQ zu der neuen STIKO Empfehlungen in Vorbereitung</w:t>
            </w:r>
            <w:proofErr w:type="gramStart"/>
            <w:r>
              <w:t xml:space="preserve">? </w:t>
            </w:r>
            <w:proofErr w:type="gramEnd"/>
            <w:r>
              <w:t xml:space="preserve">Welche Änderungen?? - Pressestelle meldet sich bei </w:t>
            </w:r>
            <w:proofErr w:type="spellStart"/>
            <w:r>
              <w:t>BzGA</w:t>
            </w:r>
            <w:proofErr w:type="spellEnd"/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 xml:space="preserve">(nicht berichtet)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2"/>
            </w:pPr>
            <w:r>
              <w:t xml:space="preserve"> </w:t>
            </w:r>
            <w:proofErr w:type="spellStart"/>
            <w:r>
              <w:t>Siehe</w:t>
            </w:r>
            <w:proofErr w:type="spellEnd"/>
            <w:r>
              <w:t xml:space="preserve"> </w:t>
            </w:r>
            <w:proofErr w:type="spellStart"/>
            <w:r>
              <w:t>virol</w:t>
            </w:r>
            <w:proofErr w:type="spellEnd"/>
            <w:r>
              <w:t>. Surveillance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  <w:rPr>
                <w:rStyle w:val="Hyperlink"/>
                <w:color w:val="auto"/>
                <w:u w:val="none"/>
              </w:rPr>
            </w:pPr>
            <w:r>
              <w:t xml:space="preserve">Frage Herr Mielke: Bewertung der Untererfassung und des Krankenstandes </w:t>
            </w:r>
            <w:hyperlink r:id="rId15" w:history="1">
              <w:r>
                <w:rPr>
                  <w:rStyle w:val="Hyperlink"/>
                  <w:color w:val="auto"/>
                </w:rPr>
                <w:t>https://www.deutschlandfunk.de/zahl-der-krankschreibungen-wegen-covid-19-steigt-weiter-100.html</w:t>
              </w:r>
            </w:hyperlink>
          </w:p>
          <w:p>
            <w:pPr>
              <w:pStyle w:val="Liste1"/>
            </w:pPr>
            <w:r>
              <w:t>Barmer: steigende Zahlen bei Krankmeldungen während wir angeben, dass der Gipfel überschritten ist; Evtl. begründet in telefonischen Krankschreibungen</w:t>
            </w:r>
            <w:proofErr w:type="gramStart"/>
            <w:r>
              <w:t xml:space="preserve">? </w:t>
            </w:r>
            <w:proofErr w:type="spellStart"/>
            <w:proofErr w:type="gramEnd"/>
            <w:r>
              <w:t>Dikrepanz</w:t>
            </w:r>
            <w:proofErr w:type="spellEnd"/>
            <w:r>
              <w:t xml:space="preserve">?  </w:t>
            </w:r>
          </w:p>
          <w:p>
            <w:pPr>
              <w:pStyle w:val="Liste1"/>
            </w:pPr>
            <w:r>
              <w:t>Untererfassung Infektionen anhand der Datenspende-App (Gruppe Brockmann)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t>To</w:t>
            </w:r>
            <w:proofErr w:type="spellEnd"/>
            <w:r>
              <w:t xml:space="preserve"> Do: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 xml:space="preserve">nCoV-Lage für nächste Woche als Aufgabe an Herrn Brockmann vergeben </w:t>
            </w:r>
            <w:proofErr w:type="spellStart"/>
            <w:r>
              <w:t>vergeben</w:t>
            </w:r>
            <w:proofErr w:type="spellEnd"/>
            <w:r>
              <w:t xml:space="preserve"> –Darstellung der Untererfassung von Infektionszahlen über Datenspende-App</w:t>
            </w:r>
          </w:p>
          <w:p>
            <w:pPr>
              <w:pStyle w:val="Liste1"/>
              <w:numPr>
                <w:ilvl w:val="0"/>
                <w:numId w:val="47"/>
              </w:numPr>
            </w:pPr>
            <w:proofErr w:type="spellStart"/>
            <w:r>
              <w:t>Hr</w:t>
            </w:r>
            <w:proofErr w:type="spellEnd"/>
            <w:r>
              <w:t xml:space="preserve"> Mielke bitte bei der nächsten Lage-AG präzisiert, was hier diskutiert werden soll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Es gibt wieder mehr zu tun, einige Erlasse gingen ein, Lageberichtschicht morgen nicht besetzt. Nach wie vor ist es sehr schwierig einige Positionen langfristig und permanent zu besetzen.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Wochentag, 24.08.2022, 11:00 Uhr, via </w:t>
            </w:r>
            <w:proofErr w:type="spellStart"/>
            <w:r>
              <w:t>Webex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12:24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ECA"/>
    <w:multiLevelType w:val="hybridMultilevel"/>
    <w:tmpl w:val="27149018"/>
    <w:lvl w:ilvl="0" w:tplc="A04AAE88">
      <w:start w:val="109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6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 w15:restartNumberingAfterBreak="0">
    <w:nsid w:val="7F9E313A"/>
    <w:multiLevelType w:val="hybridMultilevel"/>
    <w:tmpl w:val="08980968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23"/>
  </w:num>
  <w:num w:numId="7">
    <w:abstractNumId w:val="29"/>
  </w:num>
  <w:num w:numId="8">
    <w:abstractNumId w:val="17"/>
  </w:num>
  <w:num w:numId="9">
    <w:abstractNumId w:val="6"/>
  </w:num>
  <w:num w:numId="10">
    <w:abstractNumId w:val="34"/>
  </w:num>
  <w:num w:numId="11">
    <w:abstractNumId w:val="28"/>
  </w:num>
  <w:num w:numId="12">
    <w:abstractNumId w:val="19"/>
  </w:num>
  <w:num w:numId="13">
    <w:abstractNumId w:val="16"/>
  </w:num>
  <w:num w:numId="14">
    <w:abstractNumId w:val="24"/>
  </w:num>
  <w:num w:numId="15">
    <w:abstractNumId w:val="21"/>
  </w:num>
  <w:num w:numId="16">
    <w:abstractNumId w:val="1"/>
  </w:num>
  <w:num w:numId="17">
    <w:abstractNumId w:val="15"/>
  </w:num>
  <w:num w:numId="18">
    <w:abstractNumId w:val="32"/>
  </w:num>
  <w:num w:numId="19">
    <w:abstractNumId w:val="13"/>
  </w:num>
  <w:num w:numId="20">
    <w:abstractNumId w:val="30"/>
  </w:num>
  <w:num w:numId="21">
    <w:abstractNumId w:val="9"/>
  </w:num>
  <w:num w:numId="22">
    <w:abstractNumId w:val="11"/>
  </w:num>
  <w:num w:numId="23">
    <w:abstractNumId w:val="3"/>
  </w:num>
  <w:num w:numId="24">
    <w:abstractNumId w:val="25"/>
  </w:num>
  <w:num w:numId="25">
    <w:abstractNumId w:val="18"/>
  </w:num>
  <w:num w:numId="26">
    <w:abstractNumId w:val="2"/>
  </w:num>
  <w:num w:numId="27">
    <w:abstractNumId w:val="27"/>
  </w:num>
  <w:num w:numId="28">
    <w:abstractNumId w:val="33"/>
  </w:num>
  <w:num w:numId="29">
    <w:abstractNumId w:val="17"/>
  </w:num>
  <w:num w:numId="30">
    <w:abstractNumId w:val="17"/>
  </w:num>
  <w:num w:numId="31">
    <w:abstractNumId w:val="31"/>
  </w:num>
  <w:num w:numId="32">
    <w:abstractNumId w:val="26"/>
  </w:num>
  <w:num w:numId="33">
    <w:abstractNumId w:val="17"/>
  </w:num>
  <w:num w:numId="34">
    <w:abstractNumId w:val="17"/>
  </w:num>
  <w:num w:numId="35">
    <w:abstractNumId w:val="17"/>
  </w:num>
  <w:num w:numId="36">
    <w:abstractNumId w:val="8"/>
  </w:num>
  <w:num w:numId="37">
    <w:abstractNumId w:val="7"/>
  </w:num>
  <w:num w:numId="38">
    <w:abstractNumId w:val="8"/>
  </w:num>
  <w:num w:numId="39">
    <w:abstractNumId w:val="17"/>
  </w:num>
  <w:num w:numId="40">
    <w:abstractNumId w:val="20"/>
  </w:num>
  <w:num w:numId="41">
    <w:abstractNumId w:val="10"/>
  </w:num>
  <w:num w:numId="42">
    <w:abstractNumId w:val="8"/>
  </w:num>
  <w:num w:numId="43">
    <w:abstractNumId w:val="35"/>
  </w:num>
  <w:num w:numId="44">
    <w:abstractNumId w:val="12"/>
  </w:num>
  <w:num w:numId="45">
    <w:abstractNumId w:val="36"/>
  </w:num>
  <w:num w:numId="46">
    <w:abstractNumId w:val="20"/>
  </w:num>
  <w:num w:numId="47">
    <w:abstractNumId w:val="0"/>
  </w:num>
  <w:num w:numId="48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syndrom-ARE-SARI-COVID_bis_KW32_2022_f&#252;r-Krisenstab.ppt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yndrom-ARE-SARI-COVID_bis_KW32_2022_f&#252;r-Krisenstab.pptx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2-08-17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utschlandfunk.de/zahl-der-krankschreibungen-wegen-covid-19-steigt-weiter-100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2022-08-17_Intensivregister_SPoCK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47CFD-6ACC-4516-8ADA-C2C6AE5A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1922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Jung-Sendzik, Tanja</cp:lastModifiedBy>
  <cp:revision>22</cp:revision>
  <cp:lastPrinted>2020-05-06T16:43:00Z</cp:lastPrinted>
  <dcterms:created xsi:type="dcterms:W3CDTF">2022-08-17T07:53:00Z</dcterms:created>
  <dcterms:modified xsi:type="dcterms:W3CDTF">2022-08-17T13:31:00Z</dcterms:modified>
</cp:coreProperties>
</file>