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24.08.20222,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lang w:val="en-US"/>
        </w:rPr>
      </w:pPr>
      <w:r>
        <w:rPr>
          <w:b/>
          <w:sz w:val="22"/>
          <w:lang w:val="en-US"/>
        </w:rPr>
        <w:t>Moderation: Lars Schaade / Ute Rexroth</w:t>
      </w:r>
    </w:p>
    <w:p>
      <w:pPr>
        <w:spacing w:after="0"/>
        <w:rPr>
          <w:b/>
          <w:sz w:val="22"/>
          <w:lang w:val="en-US"/>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spacing w:after="0"/>
        <w:ind w:left="1080"/>
        <w:rPr>
          <w:sz w:val="22"/>
          <w:szCs w:val="22"/>
        </w:rPr>
      </w:pP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 xml:space="preserve">Martin </w:t>
      </w:r>
      <w:proofErr w:type="spellStart"/>
      <w:r>
        <w:rPr>
          <w:sz w:val="22"/>
          <w:szCs w:val="22"/>
        </w:rPr>
        <w:t>Thißen</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Amrei Wolter (Protokoll)</w:t>
      </w:r>
    </w:p>
    <w:p>
      <w:pPr>
        <w:pStyle w:val="Listenabsatz"/>
        <w:numPr>
          <w:ilvl w:val="1"/>
          <w:numId w:val="2"/>
        </w:numPr>
        <w:spacing w:after="0"/>
        <w:contextualSpacing w:val="0"/>
        <w:rPr>
          <w:sz w:val="22"/>
          <w:szCs w:val="22"/>
        </w:rPr>
      </w:pPr>
      <w:r>
        <w:rPr>
          <w:sz w:val="22"/>
          <w:szCs w:val="22"/>
        </w:rPr>
        <w:t>Alexandra Hofmann</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1"/>
          <w:numId w:val="2"/>
        </w:numPr>
        <w:spacing w:after="0"/>
        <w:contextualSpacing w:val="0"/>
        <w:rPr>
          <w:sz w:val="22"/>
        </w:rPr>
      </w:pPr>
      <w:r>
        <w:rPr>
          <w:sz w:val="22"/>
        </w:rPr>
        <w:t xml:space="preserve">Claudia </w:t>
      </w:r>
      <w:proofErr w:type="spellStart"/>
      <w:r>
        <w:rPr>
          <w:sz w:val="22"/>
        </w:rPr>
        <w:t>Winklmayr</w:t>
      </w:r>
      <w:proofErr w:type="spell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Dirk Brockmann</w:t>
      </w:r>
    </w:p>
    <w:p>
      <w:pPr>
        <w:pStyle w:val="Listenabsatz"/>
        <w:numPr>
          <w:ilvl w:val="1"/>
          <w:numId w:val="3"/>
        </w:numPr>
        <w:spacing w:after="0"/>
        <w:rPr>
          <w:sz w:val="22"/>
        </w:rPr>
      </w:pPr>
      <w:r>
        <w:rPr>
          <w:sz w:val="22"/>
        </w:rPr>
        <w:t>Jakob Kolb</w:t>
      </w:r>
    </w:p>
    <w:p>
      <w:pPr>
        <w:pStyle w:val="Listenabsatz"/>
        <w:numPr>
          <w:ilvl w:val="1"/>
          <w:numId w:val="3"/>
        </w:numPr>
        <w:spacing w:after="0"/>
        <w:contextualSpacing w:val="0"/>
        <w:rPr>
          <w:sz w:val="22"/>
        </w:rPr>
      </w:pPr>
      <w:r>
        <w:rPr>
          <w:sz w:val="22"/>
        </w:rPr>
        <w:t>Robert Bruckmann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Nina </w:t>
      </w:r>
      <w:proofErr w:type="spellStart"/>
      <w:r>
        <w:rPr>
          <w:sz w:val="22"/>
        </w:rPr>
        <w:t>Horstkötter</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spacing w:line="276" w:lineRule="auto"/>
            </w:pPr>
            <w:r>
              <w:t>(nicht berichtet)</w:t>
            </w:r>
          </w:p>
          <w:p>
            <w:pPr>
              <w:pStyle w:val="Liste2"/>
            </w:pPr>
            <w:proofErr w:type="spellStart"/>
            <w:r>
              <w:t>Folien</w:t>
            </w:r>
            <w:proofErr w:type="spellEnd"/>
            <w:r>
              <w:t xml:space="preserve"> </w:t>
            </w:r>
            <w:hyperlink r:id="rId11" w:history="1">
              <w:proofErr w:type="spellStart"/>
              <w:r>
                <w:rPr>
                  <w:rStyle w:val="Hyperlink"/>
                  <w:highlight w:val="yellow"/>
                </w:rPr>
                <w:t>hier</w:t>
              </w:r>
              <w:proofErr w:type="spellEnd"/>
            </w:hyperlink>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rPr>
                <w:lang w:val="de-DE"/>
              </w:rPr>
            </w:pPr>
            <w:r>
              <w:rPr>
                <w:lang w:val="de-DE"/>
              </w:rPr>
              <w:t>Anzahl Fälle pro KW und WHO Region, 30.12.2019-23.08.2022</w:t>
            </w:r>
          </w:p>
          <w:p>
            <w:pPr>
              <w:pStyle w:val="Liste2"/>
              <w:numPr>
                <w:ilvl w:val="1"/>
                <w:numId w:val="7"/>
              </w:numPr>
              <w:rPr>
                <w:lang w:val="de-DE"/>
              </w:rPr>
            </w:pPr>
            <w:r>
              <w:rPr>
                <w:lang w:val="de-DE"/>
              </w:rPr>
              <w:t xml:space="preserve">Europe: 246.426.020 </w:t>
            </w:r>
          </w:p>
          <w:p>
            <w:pPr>
              <w:pStyle w:val="Liste2"/>
              <w:numPr>
                <w:ilvl w:val="1"/>
                <w:numId w:val="7"/>
              </w:numPr>
              <w:rPr>
                <w:lang w:val="de-DE"/>
              </w:rPr>
            </w:pPr>
            <w:proofErr w:type="spellStart"/>
            <w:r>
              <w:rPr>
                <w:lang w:val="de-DE"/>
              </w:rPr>
              <w:t>America</w:t>
            </w:r>
            <w:proofErr w:type="spellEnd"/>
            <w:r>
              <w:rPr>
                <w:lang w:val="de-DE"/>
              </w:rPr>
              <w:t xml:space="preserve">: 174.492.276 </w:t>
            </w:r>
          </w:p>
          <w:p>
            <w:pPr>
              <w:pStyle w:val="Liste2"/>
              <w:numPr>
                <w:ilvl w:val="1"/>
                <w:numId w:val="7"/>
              </w:numPr>
              <w:rPr>
                <w:lang w:val="de-DE"/>
              </w:rPr>
            </w:pPr>
            <w:r>
              <w:rPr>
                <w:lang w:val="de-DE"/>
              </w:rPr>
              <w:t xml:space="preserve">Western Pacific: 81.367.219 </w:t>
            </w:r>
          </w:p>
          <w:p>
            <w:pPr>
              <w:pStyle w:val="Liste2"/>
              <w:numPr>
                <w:ilvl w:val="1"/>
                <w:numId w:val="7"/>
              </w:numPr>
              <w:rPr>
                <w:lang w:val="de-DE"/>
              </w:rPr>
            </w:pPr>
            <w:r>
              <w:rPr>
                <w:lang w:val="de-DE"/>
              </w:rPr>
              <w:t>South-East Asia: 59.877.206</w:t>
            </w:r>
          </w:p>
          <w:p>
            <w:pPr>
              <w:pStyle w:val="Liste2"/>
              <w:numPr>
                <w:ilvl w:val="1"/>
                <w:numId w:val="7"/>
              </w:numPr>
              <w:rPr>
                <w:lang w:val="de-DE"/>
              </w:rPr>
            </w:pPr>
            <w:r>
              <w:rPr>
                <w:lang w:val="de-DE"/>
              </w:rPr>
              <w:t xml:space="preserve">Eastern </w:t>
            </w:r>
            <w:proofErr w:type="spellStart"/>
            <w:r>
              <w:rPr>
                <w:lang w:val="de-DE"/>
              </w:rPr>
              <w:t>Mediterranean</w:t>
            </w:r>
            <w:proofErr w:type="spellEnd"/>
            <w:r>
              <w:rPr>
                <w:lang w:val="de-DE"/>
              </w:rPr>
              <w:t>: 22.934.3111</w:t>
            </w:r>
          </w:p>
          <w:p>
            <w:pPr>
              <w:pStyle w:val="Liste2"/>
              <w:numPr>
                <w:ilvl w:val="1"/>
                <w:numId w:val="7"/>
              </w:numPr>
              <w:rPr>
                <w:lang w:val="de-DE"/>
              </w:rPr>
            </w:pPr>
            <w:proofErr w:type="spellStart"/>
            <w:r>
              <w:rPr>
                <w:lang w:val="de-DE"/>
              </w:rPr>
              <w:t>Africa</w:t>
            </w:r>
            <w:proofErr w:type="spellEnd"/>
            <w:r>
              <w:rPr>
                <w:lang w:val="de-DE"/>
              </w:rPr>
              <w:t>: 9.269.451</w:t>
            </w:r>
          </w:p>
          <w:p>
            <w:pPr>
              <w:pStyle w:val="Liste2"/>
              <w:rPr>
                <w:lang w:val="de-DE"/>
              </w:rPr>
            </w:pPr>
            <w:r>
              <w:rPr>
                <w:lang w:val="de-DE"/>
              </w:rPr>
              <w:t xml:space="preserve">Meldungen in Europa unregelmäßig. Vielerorts im Frühjahr 2022 geänderte Teststrategien insbesondere in Europa z.B. Spanien, Dänemark, England testen nur Risikogruppen </w:t>
            </w:r>
            <w:proofErr w:type="spellStart"/>
            <w:r>
              <w:rPr>
                <w:lang w:val="de-DE"/>
              </w:rPr>
              <w:t>bzw</w:t>
            </w:r>
            <w:proofErr w:type="spellEnd"/>
            <w:r>
              <w:rPr>
                <w:lang w:val="de-DE"/>
              </w:rPr>
              <w:t xml:space="preserve"> Empfehlen nur Testung von Personen mit Risiko für ein schweren Verlauf, Personen die Behandlung im KH benötigen und Personen die mit RG arbeiten; Österreich hat Anzahl PCR pro Einwohner reduziert  </w:t>
            </w:r>
          </w:p>
          <w:p>
            <w:pPr>
              <w:pStyle w:val="Liste2"/>
              <w:rPr>
                <w:lang w:val="de-DE"/>
              </w:rPr>
            </w:pPr>
            <w:r>
              <w:rPr>
                <w:lang w:val="de-DE"/>
              </w:rPr>
              <w:t>Globale Fallveränderung 7-Tage</w:t>
            </w:r>
          </w:p>
          <w:p>
            <w:pPr>
              <w:pStyle w:val="Liste3"/>
            </w:pPr>
            <w:r>
              <w:t>-6,61%</w:t>
            </w:r>
          </w:p>
          <w:p>
            <w:pPr>
              <w:pStyle w:val="Liste2"/>
            </w:pPr>
            <w:proofErr w:type="spellStart"/>
            <w:r>
              <w:t>Todesfallzahlen</w:t>
            </w:r>
            <w:proofErr w:type="spellEnd"/>
            <w:r>
              <w:t xml:space="preserve"> 7-Tage</w:t>
            </w:r>
          </w:p>
          <w:p>
            <w:pPr>
              <w:pStyle w:val="Liste3"/>
            </w:pPr>
            <w:r>
              <w:t>-14,18%</w:t>
            </w:r>
          </w:p>
          <w:p>
            <w:pPr>
              <w:pStyle w:val="Liste2"/>
              <w:rPr>
                <w:lang w:val="de-DE"/>
              </w:rPr>
            </w:pPr>
            <w:r>
              <w:rPr>
                <w:lang w:val="de-DE"/>
              </w:rPr>
              <w:t>In Asien leichter Anstieg der Fallzahlen und Todesfallzahlen aufgrund BA.5-Welle</w:t>
            </w:r>
          </w:p>
          <w:p>
            <w:pPr>
              <w:pStyle w:val="Liste2"/>
              <w:rPr>
                <w:lang w:val="de-DE"/>
              </w:rPr>
            </w:pPr>
            <w:r>
              <w:rPr>
                <w:lang w:val="de-DE"/>
              </w:rPr>
              <w:t>SARS-CoV-2-Ozeanien</w:t>
            </w:r>
          </w:p>
          <w:p>
            <w:pPr>
              <w:pStyle w:val="Liste2"/>
              <w:numPr>
                <w:ilvl w:val="1"/>
                <w:numId w:val="7"/>
              </w:numPr>
              <w:rPr>
                <w:lang w:val="de-DE"/>
              </w:rPr>
            </w:pPr>
            <w:r>
              <w:rPr>
                <w:lang w:val="de-DE"/>
              </w:rPr>
              <w:t>Todesrate und Fallzahlen wieder rückläufig</w:t>
            </w:r>
          </w:p>
          <w:p>
            <w:pPr>
              <w:pStyle w:val="Liste2"/>
              <w:rPr>
                <w:lang w:val="de-DE"/>
              </w:rPr>
            </w:pPr>
            <w:r>
              <w:rPr>
                <w:lang w:val="de-DE"/>
              </w:rPr>
              <w:t xml:space="preserve">7-Tage-Inzidenz pro 100.000 Einwohnende in Europa: </w:t>
            </w:r>
          </w:p>
          <w:p>
            <w:pPr>
              <w:pStyle w:val="Liste3"/>
            </w:pPr>
            <w:r>
              <w:t>Heterogene Lage</w:t>
            </w:r>
          </w:p>
          <w:p>
            <w:pPr>
              <w:pStyle w:val="Liste3"/>
            </w:pPr>
            <w:r>
              <w:t xml:space="preserve">Es gibt weiterhin Auffälligkeiten in den Meldungen aus Griechenland, Albanien, Schweiz. Die Daten scheinen erst mit Verzögerung wöchentlich gemeldet zu werden und sind somit für die Erstellung der Graphik nicht verfügbar. </w:t>
            </w:r>
          </w:p>
          <w:p>
            <w:pPr>
              <w:pStyle w:val="Liste3"/>
            </w:pPr>
            <w:r>
              <w:t>Meldeunregelmäßigkeiten werden bei Belarussischen Daten seit längerem beobachtet. Auch bei den ukrainischen Daten, aus offensichtlichen Gründen.</w:t>
            </w:r>
          </w:p>
          <w:p>
            <w:pPr>
              <w:pStyle w:val="Liste3"/>
              <w:numPr>
                <w:ilvl w:val="2"/>
                <w:numId w:val="6"/>
              </w:numPr>
            </w:pPr>
            <w:r>
              <w:t>Litauen: +54%</w:t>
            </w:r>
          </w:p>
          <w:p>
            <w:pPr>
              <w:pStyle w:val="Liste3"/>
              <w:numPr>
                <w:ilvl w:val="2"/>
                <w:numId w:val="6"/>
              </w:numPr>
            </w:pPr>
            <w:r>
              <w:t>Polen: + 78%</w:t>
            </w:r>
          </w:p>
          <w:p>
            <w:pPr>
              <w:pStyle w:val="Liste3"/>
              <w:numPr>
                <w:ilvl w:val="2"/>
                <w:numId w:val="6"/>
              </w:numPr>
            </w:pPr>
            <w:r>
              <w:t>Russland: +141%</w:t>
            </w:r>
          </w:p>
          <w:p>
            <w:pPr>
              <w:pStyle w:val="Liste3"/>
              <w:numPr>
                <w:ilvl w:val="2"/>
                <w:numId w:val="6"/>
              </w:numPr>
            </w:pPr>
            <w:r>
              <w:t>Malta: +14%</w:t>
            </w:r>
          </w:p>
          <w:p>
            <w:pPr>
              <w:pStyle w:val="Liste3"/>
            </w:pPr>
            <w:r>
              <w:t>SARS-CoV-2 Europa</w:t>
            </w:r>
          </w:p>
          <w:p>
            <w:pPr>
              <w:pStyle w:val="Liste3"/>
              <w:numPr>
                <w:ilvl w:val="2"/>
                <w:numId w:val="6"/>
              </w:numPr>
            </w:pPr>
            <w:r>
              <w:t>Hospitalisierungsrate auf niedrigem Niveau in Europa, fallender Trend</w:t>
            </w:r>
          </w:p>
          <w:p>
            <w:pPr>
              <w:pStyle w:val="Liste3"/>
              <w:numPr>
                <w:ilvl w:val="0"/>
                <w:numId w:val="0"/>
              </w:numPr>
              <w:ind w:left="1913"/>
            </w:pPr>
          </w:p>
          <w:p>
            <w:pPr>
              <w:pStyle w:val="2"/>
            </w:pPr>
          </w:p>
          <w:p>
            <w:pPr>
              <w:pStyle w:val="2"/>
            </w:pPr>
          </w:p>
          <w:p>
            <w:pPr>
              <w:pStyle w:val="2"/>
            </w:pPr>
            <w:r>
              <w:lastRenderedPageBreak/>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highlight w:val="yellow"/>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30.598.385 (+121.780), davon 143.545 (+181) Todesfälle </w:t>
            </w:r>
          </w:p>
          <w:p>
            <w:pPr>
              <w:pStyle w:val="Liste2"/>
            </w:pPr>
            <w:r>
              <w:t xml:space="preserve">7-Tage-Inzidenz:  652,0/100.000 </w:t>
            </w:r>
            <w:proofErr w:type="spellStart"/>
            <w:r>
              <w:t>Einw</w:t>
            </w:r>
            <w:proofErr w:type="spellEnd"/>
            <w:r>
              <w:t>.</w:t>
            </w:r>
          </w:p>
          <w:p>
            <w:pPr>
              <w:pStyle w:val="Liste2"/>
              <w:rPr>
                <w:lang w:val="de-DE"/>
              </w:rPr>
            </w:pPr>
            <w:r>
              <w:rPr>
                <w:lang w:val="de-DE"/>
              </w:rPr>
              <w:t>Impfmonitoring: Geimpfte mit 1. Dosis 64.728.212 (77,8%), mit vollständiger Impfung 51.415.743 (61,8%)</w:t>
            </w:r>
          </w:p>
          <w:p>
            <w:pPr>
              <w:pStyle w:val="Liste2"/>
              <w:rPr>
                <w:lang w:val="de-DE"/>
              </w:rPr>
            </w:pPr>
            <w:r>
              <w:rPr>
                <w:lang w:val="de-DE"/>
              </w:rPr>
              <w:t>Verlauf der 7-Tage-Inzidenz der Bundesländer:</w:t>
            </w:r>
          </w:p>
          <w:p>
            <w:pPr>
              <w:pStyle w:val="Liste3"/>
            </w:pPr>
            <w:r>
              <w:t>Abnahme der Fallzahlen, Einpendeln auf Plateau</w:t>
            </w:r>
          </w:p>
          <w:p>
            <w:pPr>
              <w:pStyle w:val="Liste3"/>
            </w:pPr>
            <w:r>
              <w:t>Geografische Verteilung: im Osten Verbesserung</w:t>
            </w:r>
          </w:p>
          <w:p>
            <w:pPr>
              <w:pStyle w:val="Liste3"/>
            </w:pPr>
            <w:proofErr w:type="spellStart"/>
            <w:r>
              <w:t>Heatmap</w:t>
            </w:r>
            <w:proofErr w:type="spellEnd"/>
            <w:r>
              <w:t>: Abnahme in AG über 15, 0-14 Jahre gleichbleibend</w:t>
            </w:r>
          </w:p>
          <w:p>
            <w:pPr>
              <w:pStyle w:val="Liste3"/>
            </w:pPr>
            <w:r>
              <w:t>KW30 Abnahme der COVID-19-Fälle nach Altersgruppe und Sterbedatum</w:t>
            </w:r>
          </w:p>
          <w:p>
            <w:pPr>
              <w:pStyle w:val="Liste3"/>
            </w:pPr>
            <w:r>
              <w:t>Destatis Übersterblichkeit weist keine Änderungen zur Vorwoche auf</w:t>
            </w:r>
          </w:p>
          <w:p>
            <w:pPr>
              <w:pStyle w:val="Liste3"/>
              <w:numPr>
                <w:ilvl w:val="0"/>
                <w:numId w:val="0"/>
              </w:numPr>
              <w:rPr>
                <w:i/>
              </w:rPr>
            </w:pPr>
            <w:r>
              <w:rPr>
                <w:i/>
              </w:rPr>
              <w:t>Diskussion</w:t>
            </w:r>
          </w:p>
          <w:p>
            <w:pPr>
              <w:pStyle w:val="Liste3"/>
              <w:numPr>
                <w:ilvl w:val="0"/>
                <w:numId w:val="8"/>
              </w:numPr>
            </w:pPr>
            <w:r>
              <w:t>Wie erklärt sich der Anstieg im Saarland?</w:t>
            </w:r>
          </w:p>
          <w:p>
            <w:pPr>
              <w:pStyle w:val="Liste3"/>
              <w:numPr>
                <w:ilvl w:val="1"/>
                <w:numId w:val="8"/>
              </w:numPr>
            </w:pPr>
            <w:r>
              <w:t xml:space="preserve">BL übermitteln am WE nicht, führt dazu, dass Bremen und Saarland zackiger Verlauf </w:t>
            </w:r>
            <w:proofErr w:type="gramStart"/>
            <w:r>
              <w:t>ist</w:t>
            </w:r>
            <w:proofErr w:type="gramEnd"/>
            <w:r>
              <w:t>, Saarland hat mehr Nachmeldungen, keine außergewöhnliche Beobachtung</w:t>
            </w:r>
          </w:p>
          <w:p>
            <w:pPr>
              <w:pStyle w:val="Liste3"/>
              <w:numPr>
                <w:ilvl w:val="0"/>
                <w:numId w:val="0"/>
              </w:numPr>
              <w:ind w:left="1193" w:hanging="360"/>
            </w:pPr>
          </w:p>
          <w:p>
            <w:pPr>
              <w:pStyle w:val="Liste2"/>
              <w:rPr>
                <w:rStyle w:val="TagMiZchn"/>
                <w:b w:val="0"/>
                <w:bCs/>
                <w:lang w:val="de-DE"/>
              </w:rPr>
            </w:pPr>
            <w:r>
              <w:rPr>
                <w:b/>
                <w:lang w:val="de-DE"/>
              </w:rPr>
              <w:t xml:space="preserve">Zahlen zum DIVI-Intensivregister </w:t>
            </w:r>
          </w:p>
          <w:p>
            <w:pPr>
              <w:pStyle w:val="Liste2"/>
              <w:numPr>
                <w:ilvl w:val="1"/>
                <w:numId w:val="7"/>
              </w:numPr>
              <w:rPr>
                <w:lang w:val="de-DE"/>
              </w:rPr>
            </w:pPr>
            <w:r>
              <w:rPr>
                <w:lang w:val="de-DE"/>
              </w:rPr>
              <w:t xml:space="preserve"> Mit Stand 24.08.2022 werden 951 COVID-19-</w:t>
            </w:r>
            <w:proofErr w:type="gramStart"/>
            <w:r>
              <w:rPr>
                <w:lang w:val="de-DE"/>
              </w:rPr>
              <w:t>Patient:innen</w:t>
            </w:r>
            <w:proofErr w:type="gramEnd"/>
            <w:r>
              <w:rPr>
                <w:lang w:val="de-DE"/>
              </w:rPr>
              <w:t xml:space="preserve"> auf Intensivstationen (der ca. 1.300 Akutkrankenhäuser) behandelt</w:t>
            </w:r>
          </w:p>
          <w:p>
            <w:pPr>
              <w:pStyle w:val="Liste2"/>
              <w:numPr>
                <w:ilvl w:val="1"/>
                <w:numId w:val="7"/>
              </w:numPr>
              <w:rPr>
                <w:lang w:val="de-DE"/>
              </w:rPr>
            </w:pPr>
            <w:r>
              <w:rPr>
                <w:lang w:val="de-DE"/>
              </w:rPr>
              <w:t>Weiterhin Reduktion der COVID-ITS-Belegung</w:t>
            </w:r>
          </w:p>
          <w:p>
            <w:pPr>
              <w:pStyle w:val="Liste2"/>
              <w:numPr>
                <w:ilvl w:val="1"/>
                <w:numId w:val="7"/>
              </w:numPr>
              <w:rPr>
                <w:lang w:val="de-DE"/>
              </w:rPr>
            </w:pPr>
            <w:r>
              <w:rPr>
                <w:lang w:val="de-DE"/>
              </w:rPr>
              <w:t>ITS-COVID-Neuaufnahmen mit +768 in den letzten 7 Tagen im Plateau</w:t>
            </w:r>
          </w:p>
          <w:p>
            <w:pPr>
              <w:pStyle w:val="Liste2"/>
              <w:numPr>
                <w:ilvl w:val="1"/>
                <w:numId w:val="7"/>
              </w:numPr>
              <w:rPr>
                <w:lang w:val="de-DE"/>
              </w:rPr>
            </w:pPr>
            <w:r>
              <w:rPr>
                <w:lang w:val="de-DE"/>
              </w:rPr>
              <w:t>Anzahl der auf ITS-Verstorbenen fällt</w:t>
            </w:r>
          </w:p>
          <w:p>
            <w:pPr>
              <w:pStyle w:val="Liste2"/>
              <w:numPr>
                <w:ilvl w:val="1"/>
                <w:numId w:val="7"/>
              </w:numPr>
              <w:rPr>
                <w:lang w:val="de-DE"/>
              </w:rPr>
            </w:pPr>
            <w:r>
              <w:rPr>
                <w:lang w:val="de-DE"/>
              </w:rPr>
              <w:t>Anteil der COVID-19-</w:t>
            </w:r>
            <w:proofErr w:type="gramStart"/>
            <w:r>
              <w:rPr>
                <w:lang w:val="de-DE"/>
              </w:rPr>
              <w:t>Patient:innen</w:t>
            </w:r>
            <w:proofErr w:type="gramEnd"/>
            <w:r>
              <w:rPr>
                <w:lang w:val="de-DE"/>
              </w:rPr>
              <w:t xml:space="preserve"> an der Gesamtzahl betreibbarer ITS-Betten</w:t>
            </w:r>
          </w:p>
          <w:p>
            <w:pPr>
              <w:pStyle w:val="Liste2"/>
              <w:numPr>
                <w:ilvl w:val="2"/>
                <w:numId w:val="7"/>
              </w:numPr>
              <w:rPr>
                <w:lang w:val="de-DE"/>
              </w:rPr>
            </w:pPr>
            <w:r>
              <w:rPr>
                <w:lang w:val="de-DE"/>
              </w:rPr>
              <w:t>Hamburg als Ausreißer (über 7%)</w:t>
            </w:r>
          </w:p>
          <w:p>
            <w:pPr>
              <w:pStyle w:val="Liste2"/>
              <w:numPr>
                <w:ilvl w:val="2"/>
                <w:numId w:val="7"/>
              </w:numPr>
              <w:rPr>
                <w:lang w:val="de-DE"/>
              </w:rPr>
            </w:pPr>
            <w:r>
              <w:rPr>
                <w:lang w:val="de-DE"/>
              </w:rPr>
              <w:t>Nord-Ost (SA niedrig 2%)</w:t>
            </w:r>
          </w:p>
          <w:p>
            <w:pPr>
              <w:pStyle w:val="Liste2"/>
              <w:numPr>
                <w:ilvl w:val="2"/>
                <w:numId w:val="7"/>
              </w:numPr>
              <w:rPr>
                <w:lang w:val="de-DE"/>
              </w:rPr>
            </w:pPr>
            <w:r>
              <w:rPr>
                <w:lang w:val="de-DE"/>
              </w:rPr>
              <w:t>Mittlere BL um etwa 5%</w:t>
            </w:r>
          </w:p>
          <w:p>
            <w:pPr>
              <w:pStyle w:val="Liste2"/>
              <w:numPr>
                <w:ilvl w:val="2"/>
                <w:numId w:val="7"/>
              </w:numPr>
              <w:rPr>
                <w:lang w:val="de-DE"/>
              </w:rPr>
            </w:pPr>
            <w:r>
              <w:rPr>
                <w:lang w:val="de-DE"/>
              </w:rPr>
              <w:t>Süden 3%</w:t>
            </w:r>
          </w:p>
          <w:p>
            <w:pPr>
              <w:pStyle w:val="Liste2"/>
              <w:numPr>
                <w:ilvl w:val="2"/>
                <w:numId w:val="7"/>
              </w:numPr>
              <w:rPr>
                <w:lang w:val="de-DE"/>
              </w:rPr>
            </w:pPr>
            <w:r>
              <w:rPr>
                <w:lang w:val="de-DE"/>
              </w:rPr>
              <w:t>Hauptteil BL 3-6%</w:t>
            </w:r>
          </w:p>
          <w:p>
            <w:pPr>
              <w:pStyle w:val="Liste2"/>
              <w:numPr>
                <w:ilvl w:val="2"/>
                <w:numId w:val="7"/>
              </w:numPr>
              <w:rPr>
                <w:lang w:val="de-DE"/>
              </w:rPr>
            </w:pPr>
            <w:r>
              <w:rPr>
                <w:lang w:val="de-DE"/>
              </w:rPr>
              <w:t xml:space="preserve">Abfall der absoluten Fallzahlen in allen Behandlungsgruppen </w:t>
            </w:r>
          </w:p>
          <w:p>
            <w:pPr>
              <w:pStyle w:val="Liste2"/>
              <w:numPr>
                <w:ilvl w:val="2"/>
                <w:numId w:val="7"/>
              </w:numPr>
              <w:rPr>
                <w:lang w:val="de-DE"/>
              </w:rPr>
            </w:pPr>
            <w:r>
              <w:rPr>
                <w:lang w:val="de-DE"/>
              </w:rPr>
              <w:t>Seit Mitte Juli Anstieg der schweren Behandlungsmethoden, hängt vermutlich damit zusammen, dass beatmete Patient:innen eine längere Liegedauer haben</w:t>
            </w:r>
          </w:p>
          <w:p>
            <w:pPr>
              <w:pStyle w:val="Liste2"/>
              <w:numPr>
                <w:ilvl w:val="2"/>
                <w:numId w:val="7"/>
              </w:numPr>
              <w:rPr>
                <w:lang w:val="de-DE"/>
              </w:rPr>
            </w:pPr>
            <w:r>
              <w:rPr>
                <w:lang w:val="de-DE"/>
              </w:rPr>
              <w:t>Einschätzung der Betriebssituation: Belastung fällt, Betriebssituation erholt sich, eingeschränkte Meldungen fallen, reguläre Einschätzungen stiegen</w:t>
            </w:r>
          </w:p>
          <w:p>
            <w:pPr>
              <w:pStyle w:val="Liste2"/>
              <w:numPr>
                <w:ilvl w:val="2"/>
                <w:numId w:val="7"/>
              </w:numPr>
              <w:rPr>
                <w:lang w:val="de-DE"/>
              </w:rPr>
            </w:pPr>
            <w:r>
              <w:rPr>
                <w:lang w:val="de-DE"/>
              </w:rPr>
              <w:t>Gründe der Betriebssituation Personalmangel-Rückgang</w:t>
            </w:r>
          </w:p>
          <w:p>
            <w:pPr>
              <w:pStyle w:val="Liste2"/>
              <w:numPr>
                <w:ilvl w:val="2"/>
                <w:numId w:val="7"/>
              </w:numPr>
              <w:rPr>
                <w:lang w:val="de-DE"/>
              </w:rPr>
            </w:pPr>
            <w:r>
              <w:rPr>
                <w:lang w:val="de-DE"/>
              </w:rPr>
              <w:t>Rückgang in all</w:t>
            </w:r>
            <w:bookmarkStart w:id="1" w:name="_GoBack"/>
            <w:bookmarkEnd w:id="1"/>
            <w:r>
              <w:rPr>
                <w:lang w:val="de-DE"/>
              </w:rPr>
              <w:t>en AG</w:t>
            </w:r>
          </w:p>
          <w:p>
            <w:pPr>
              <w:pStyle w:val="Liste2"/>
              <w:numPr>
                <w:ilvl w:val="2"/>
                <w:numId w:val="7"/>
              </w:numPr>
              <w:rPr>
                <w:lang w:val="de-DE"/>
              </w:rPr>
            </w:pPr>
            <w:r>
              <w:rPr>
                <w:lang w:val="de-DE"/>
              </w:rPr>
              <w:lastRenderedPageBreak/>
              <w:t xml:space="preserve">Über 60-Jährige haben einen Anteil von über 80% an Intensivstationen </w:t>
            </w:r>
          </w:p>
          <w:p>
            <w:pPr>
              <w:pStyle w:val="Liste2"/>
              <w:numPr>
                <w:ilvl w:val="2"/>
                <w:numId w:val="7"/>
              </w:numPr>
              <w:rPr>
                <w:lang w:val="de-DE"/>
              </w:rPr>
            </w:pPr>
            <w:proofErr w:type="spellStart"/>
            <w:r>
              <w:rPr>
                <w:lang w:val="de-DE"/>
              </w:rPr>
              <w:t>SPoCK</w:t>
            </w:r>
            <w:proofErr w:type="spellEnd"/>
            <w:r>
              <w:rPr>
                <w:lang w:val="de-DE"/>
              </w:rPr>
              <w:t>-Prognose: Rückgang in allen Kleeblättern</w:t>
            </w:r>
          </w:p>
          <w:p>
            <w:pPr>
              <w:pStyle w:val="Liste2"/>
              <w:rPr>
                <w:lang w:val="de-DE"/>
              </w:rPr>
            </w:pPr>
            <w:r>
              <w:rPr>
                <w:b/>
                <w:lang w:val="de-DE"/>
              </w:rPr>
              <w:t>Testkapazitäten</w:t>
            </w:r>
            <w:r>
              <w:rPr>
                <w:lang w:val="de-DE"/>
              </w:rPr>
              <w:t xml:space="preserve"> </w:t>
            </w:r>
          </w:p>
          <w:p>
            <w:pPr>
              <w:pStyle w:val="Liste2"/>
              <w:numPr>
                <w:ilvl w:val="1"/>
                <w:numId w:val="7"/>
              </w:numPr>
              <w:rPr>
                <w:lang w:val="de-DE"/>
              </w:rPr>
            </w:pPr>
            <w:r>
              <w:rPr>
                <w:lang w:val="de-DE"/>
              </w:rPr>
              <w:t>Anzahl der Tests haben um 6% im Vergleich zur Vorwoche abgenommen</w:t>
            </w:r>
          </w:p>
          <w:p>
            <w:pPr>
              <w:pStyle w:val="Liste2"/>
              <w:numPr>
                <w:ilvl w:val="1"/>
                <w:numId w:val="7"/>
              </w:numPr>
              <w:rPr>
                <w:lang w:val="de-DE"/>
              </w:rPr>
            </w:pPr>
            <w:proofErr w:type="spellStart"/>
            <w:r>
              <w:rPr>
                <w:lang w:val="de-DE"/>
              </w:rPr>
              <w:t>Positivenanteil</w:t>
            </w:r>
            <w:proofErr w:type="spellEnd"/>
            <w:r>
              <w:rPr>
                <w:lang w:val="de-DE"/>
              </w:rPr>
              <w:t xml:space="preserve"> abgenommen (38,4%)</w:t>
            </w:r>
          </w:p>
          <w:p>
            <w:pPr>
              <w:pStyle w:val="Liste2"/>
              <w:numPr>
                <w:ilvl w:val="1"/>
                <w:numId w:val="7"/>
              </w:numPr>
              <w:rPr>
                <w:lang w:val="de-DE"/>
              </w:rPr>
            </w:pPr>
            <w:r>
              <w:rPr>
                <w:lang w:val="de-DE"/>
              </w:rPr>
              <w:t>Kapazität auf hohem Niveau: 2,7 Mio. Test</w:t>
            </w:r>
          </w:p>
          <w:p>
            <w:pPr>
              <w:pStyle w:val="Liste2"/>
              <w:numPr>
                <w:ilvl w:val="1"/>
                <w:numId w:val="7"/>
              </w:numPr>
              <w:rPr>
                <w:lang w:val="de-DE"/>
              </w:rPr>
            </w:pPr>
            <w:r>
              <w:rPr>
                <w:lang w:val="de-DE"/>
              </w:rPr>
              <w:t xml:space="preserve">533.000 PCR-Test durchgeführt, </w:t>
            </w:r>
            <w:proofErr w:type="spellStart"/>
            <w:r>
              <w:rPr>
                <w:lang w:val="de-DE"/>
              </w:rPr>
              <w:t>Positivenanteil</w:t>
            </w:r>
            <w:proofErr w:type="spellEnd"/>
            <w:r>
              <w:rPr>
                <w:lang w:val="de-DE"/>
              </w:rPr>
              <w:t xml:space="preserve"> 38,4%</w:t>
            </w:r>
          </w:p>
          <w:p>
            <w:pPr>
              <w:pStyle w:val="Liste2"/>
            </w:pPr>
            <w:proofErr w:type="spellStart"/>
            <w:r>
              <w:rPr>
                <w:b/>
              </w:rPr>
              <w:t>Molekulare</w:t>
            </w:r>
            <w:proofErr w:type="spellEnd"/>
            <w:r>
              <w:rPr>
                <w:b/>
              </w:rPr>
              <w:t xml:space="preserve"> Surveillance</w:t>
            </w:r>
            <w:r>
              <w:t xml:space="preserve"> </w:t>
            </w:r>
          </w:p>
          <w:p>
            <w:pPr>
              <w:pStyle w:val="Liste2"/>
              <w:numPr>
                <w:ilvl w:val="1"/>
                <w:numId w:val="7"/>
              </w:numPr>
            </w:pPr>
            <w:proofErr w:type="spellStart"/>
            <w:r>
              <w:t>Keinen</w:t>
            </w:r>
            <w:proofErr w:type="spellEnd"/>
            <w:r>
              <w:t xml:space="preserve"> Drop </w:t>
            </w:r>
            <w:proofErr w:type="spellStart"/>
            <w:r>
              <w:t>bei</w:t>
            </w:r>
            <w:proofErr w:type="spellEnd"/>
            <w:r>
              <w:t xml:space="preserve"> </w:t>
            </w:r>
            <w:proofErr w:type="spellStart"/>
            <w:r>
              <w:t>Sequenzierungen</w:t>
            </w:r>
            <w:proofErr w:type="spellEnd"/>
          </w:p>
          <w:p>
            <w:pPr>
              <w:pStyle w:val="Liste2"/>
              <w:numPr>
                <w:ilvl w:val="1"/>
                <w:numId w:val="7"/>
              </w:numPr>
              <w:rPr>
                <w:lang w:val="de-DE"/>
              </w:rPr>
            </w:pPr>
            <w:r>
              <w:rPr>
                <w:lang w:val="de-DE"/>
              </w:rPr>
              <w:t>Dominanz durch BA.5 mit 95%, BA.4 stabil</w:t>
            </w:r>
          </w:p>
          <w:p>
            <w:pPr>
              <w:pStyle w:val="Liste2"/>
              <w:numPr>
                <w:ilvl w:val="1"/>
                <w:numId w:val="7"/>
              </w:numPr>
              <w:rPr>
                <w:lang w:val="de-DE"/>
              </w:rPr>
            </w:pPr>
            <w:r>
              <w:rPr>
                <w:lang w:val="de-DE"/>
              </w:rPr>
              <w:t>Seit ein paar Wochen Stabilität von BA.4 und BA.5</w:t>
            </w:r>
          </w:p>
          <w:p>
            <w:pPr>
              <w:pStyle w:val="Liste2"/>
              <w:numPr>
                <w:ilvl w:val="1"/>
                <w:numId w:val="7"/>
              </w:numPr>
              <w:rPr>
                <w:lang w:val="de-DE"/>
              </w:rPr>
            </w:pPr>
            <w:r>
              <w:rPr>
                <w:lang w:val="de-DE"/>
              </w:rPr>
              <w:t xml:space="preserve">Anteil der älteren Linie ist stabil, innerhalb </w:t>
            </w:r>
            <w:proofErr w:type="spellStart"/>
            <w:r>
              <w:rPr>
                <w:lang w:val="de-DE"/>
              </w:rPr>
              <w:t>Sublinie</w:t>
            </w:r>
            <w:proofErr w:type="spellEnd"/>
            <w:r>
              <w:rPr>
                <w:lang w:val="de-DE"/>
              </w:rPr>
              <w:t xml:space="preserve"> Veränderungen</w:t>
            </w:r>
          </w:p>
          <w:p>
            <w:pPr>
              <w:pStyle w:val="Liste2"/>
              <w:numPr>
                <w:ilvl w:val="1"/>
                <w:numId w:val="7"/>
              </w:numPr>
              <w:rPr>
                <w:lang w:val="de-DE"/>
              </w:rPr>
            </w:pPr>
            <w:r>
              <w:rPr>
                <w:lang w:val="de-DE"/>
              </w:rPr>
              <w:t>BA.2.12.1 Anteile fallen ab</w:t>
            </w:r>
          </w:p>
          <w:p>
            <w:pPr>
              <w:pStyle w:val="Liste2"/>
              <w:numPr>
                <w:ilvl w:val="1"/>
                <w:numId w:val="7"/>
              </w:numPr>
              <w:rPr>
                <w:lang w:val="de-DE"/>
              </w:rPr>
            </w:pPr>
            <w:r>
              <w:rPr>
                <w:lang w:val="de-DE"/>
              </w:rPr>
              <w:t>BA.2: BA.2.7.5 steigt leicht an, kleine Zahlen (wird in Indien angenommen, in DE bei 0,2%)</w:t>
            </w:r>
          </w:p>
          <w:p>
            <w:pPr>
              <w:pStyle w:val="Liste2"/>
              <w:numPr>
                <w:ilvl w:val="1"/>
                <w:numId w:val="7"/>
              </w:numPr>
              <w:rPr>
                <w:lang w:val="de-DE"/>
              </w:rPr>
            </w:pPr>
            <w:r>
              <w:rPr>
                <w:lang w:val="de-DE"/>
              </w:rPr>
              <w:t>Innerhalb BA.5 BA.5.1 und BA.5.2</w:t>
            </w:r>
          </w:p>
          <w:p>
            <w:pPr>
              <w:pStyle w:val="Liste2"/>
            </w:pPr>
            <w:r>
              <w:rPr>
                <w:b/>
              </w:rPr>
              <w:t>ARS-</w:t>
            </w:r>
            <w:proofErr w:type="spellStart"/>
            <w:r>
              <w:rPr>
                <w:b/>
              </w:rPr>
              <w:t>Daten</w:t>
            </w:r>
            <w:proofErr w:type="spellEnd"/>
            <w:r>
              <w:t xml:space="preserve"> </w:t>
            </w:r>
          </w:p>
          <w:p>
            <w:pPr>
              <w:pStyle w:val="Liste2"/>
              <w:numPr>
                <w:ilvl w:val="1"/>
                <w:numId w:val="7"/>
              </w:numPr>
              <w:rPr>
                <w:lang w:val="de-DE"/>
              </w:rPr>
            </w:pPr>
            <w:r>
              <w:rPr>
                <w:lang w:val="de-DE"/>
              </w:rPr>
              <w:t>Test stabil in BE und BB und MPV</w:t>
            </w:r>
          </w:p>
          <w:p>
            <w:pPr>
              <w:pStyle w:val="Liste2"/>
              <w:numPr>
                <w:ilvl w:val="1"/>
                <w:numId w:val="7"/>
              </w:numPr>
              <w:rPr>
                <w:lang w:val="en-US"/>
              </w:rPr>
            </w:pPr>
            <w:proofErr w:type="spellStart"/>
            <w:r>
              <w:rPr>
                <w:lang w:val="en-US"/>
              </w:rPr>
              <w:t>Andere</w:t>
            </w:r>
            <w:proofErr w:type="spellEnd"/>
            <w:r>
              <w:rPr>
                <w:lang w:val="en-US"/>
              </w:rPr>
              <w:t xml:space="preserve"> BL </w:t>
            </w:r>
            <w:proofErr w:type="spellStart"/>
            <w:r>
              <w:rPr>
                <w:lang w:val="en-US"/>
              </w:rPr>
              <w:t>Rückgang</w:t>
            </w:r>
            <w:proofErr w:type="spellEnd"/>
            <w:r>
              <w:rPr>
                <w:lang w:val="en-US"/>
              </w:rPr>
              <w:t xml:space="preserve"> (BY, TH, SH)</w:t>
            </w:r>
          </w:p>
          <w:p>
            <w:pPr>
              <w:pStyle w:val="Liste2"/>
              <w:numPr>
                <w:ilvl w:val="1"/>
                <w:numId w:val="7"/>
              </w:numPr>
              <w:rPr>
                <w:lang w:val="de-DE"/>
              </w:rPr>
            </w:pPr>
            <w:r>
              <w:rPr>
                <w:lang w:val="de-DE"/>
              </w:rPr>
              <w:t>KH testen stabil, Arztpraxen halbieren Testungen in den letzten 5 Wochen; hängt vermutlich mit Ferien zusammen</w:t>
            </w:r>
          </w:p>
          <w:p>
            <w:pPr>
              <w:pStyle w:val="Liste2"/>
              <w:numPr>
                <w:ilvl w:val="1"/>
                <w:numId w:val="7"/>
              </w:numPr>
              <w:rPr>
                <w:lang w:val="de-DE"/>
              </w:rPr>
            </w:pPr>
            <w:r>
              <w:rPr>
                <w:lang w:val="de-DE"/>
              </w:rPr>
              <w:t>Prozentualer Anteil der Positiven geht leicht zurück, in KH und Arztpraxen gleichbleibend</w:t>
            </w:r>
          </w:p>
          <w:p>
            <w:pPr>
              <w:pStyle w:val="Liste2"/>
              <w:numPr>
                <w:ilvl w:val="1"/>
                <w:numId w:val="7"/>
              </w:numPr>
              <w:rPr>
                <w:lang w:val="de-DE"/>
              </w:rPr>
            </w:pPr>
            <w:r>
              <w:rPr>
                <w:lang w:val="de-DE"/>
              </w:rPr>
              <w:t>Mehr Testungen, mehr Positiv, weniger Testungen weniger positiv</w:t>
            </w:r>
          </w:p>
          <w:p>
            <w:pPr>
              <w:pStyle w:val="Liste2"/>
              <w:numPr>
                <w:ilvl w:val="1"/>
                <w:numId w:val="7"/>
              </w:numPr>
              <w:rPr>
                <w:lang w:val="de-DE"/>
              </w:rPr>
            </w:pPr>
            <w:r>
              <w:rPr>
                <w:lang w:val="de-DE"/>
              </w:rPr>
              <w:t>Kein Ausreißer in den Altersgruppen, gleichmäßige Testungen aber insgesamt weniger</w:t>
            </w:r>
          </w:p>
          <w:p>
            <w:pPr>
              <w:pStyle w:val="Liste2"/>
              <w:numPr>
                <w:ilvl w:val="1"/>
                <w:numId w:val="7"/>
              </w:numPr>
              <w:rPr>
                <w:lang w:val="de-DE"/>
              </w:rPr>
            </w:pPr>
            <w:proofErr w:type="spellStart"/>
            <w:r>
              <w:rPr>
                <w:lang w:val="de-DE"/>
              </w:rPr>
              <w:t>Positivenanteil</w:t>
            </w:r>
            <w:proofErr w:type="spellEnd"/>
            <w:r>
              <w:rPr>
                <w:lang w:val="de-DE"/>
              </w:rPr>
              <w:t xml:space="preserve"> der 5-14-Jährigen steigt an, 0-4-Jährige steigt ebenfalls an </w:t>
            </w:r>
          </w:p>
          <w:p>
            <w:pPr>
              <w:pStyle w:val="Liste2"/>
              <w:numPr>
                <w:ilvl w:val="1"/>
                <w:numId w:val="7"/>
              </w:numPr>
              <w:rPr>
                <w:lang w:val="de-DE"/>
              </w:rPr>
            </w:pPr>
            <w:r>
              <w:rPr>
                <w:lang w:val="de-DE"/>
              </w:rPr>
              <w:t>Leichter Abfall Ausbrüche Altersheim</w:t>
            </w:r>
          </w:p>
          <w:p>
            <w:pPr>
              <w:pStyle w:val="Liste2"/>
            </w:pPr>
            <w:proofErr w:type="spellStart"/>
            <w:r>
              <w:rPr>
                <w:b/>
              </w:rPr>
              <w:t>Syndromische</w:t>
            </w:r>
            <w:proofErr w:type="spellEnd"/>
            <w:r>
              <w:rPr>
                <w:b/>
              </w:rPr>
              <w:t xml:space="preserve"> Surveillance</w:t>
            </w:r>
            <w:r>
              <w:rPr>
                <w:rStyle w:val="TagMiZchn"/>
              </w:rPr>
              <w:t xml:space="preserve"> (Tolksdorf)</w:t>
            </w:r>
          </w:p>
          <w:p>
            <w:pPr>
              <w:pStyle w:val="Liste2"/>
              <w:numPr>
                <w:ilvl w:val="1"/>
                <w:numId w:val="7"/>
              </w:numPr>
              <w:rPr>
                <w:lang w:val="de-DE"/>
              </w:rPr>
            </w:pPr>
            <w:r>
              <w:rPr>
                <w:lang w:val="de-DE"/>
              </w:rPr>
              <w:t xml:space="preserve">ARE gesamt: gesunken 3,0 % (Vorwoche: 3,6 %); Vorwochenwert lag bei 3,7 % </w:t>
            </w:r>
          </w:p>
          <w:p>
            <w:pPr>
              <w:pStyle w:val="Liste2"/>
              <w:numPr>
                <w:ilvl w:val="1"/>
                <w:numId w:val="7"/>
              </w:numPr>
              <w:rPr>
                <w:lang w:val="de-DE"/>
              </w:rPr>
            </w:pPr>
            <w:r>
              <w:rPr>
                <w:lang w:val="de-DE"/>
              </w:rPr>
              <w:t>Trend: in den letzten Wochen (seit 28. KW) bis 31. KW ein rückläufiger Trend, erstmals wieder Anstieg in KW 32, hat sich aber in KW 33 nicht fortgesetzt.</w:t>
            </w:r>
          </w:p>
          <w:p>
            <w:pPr>
              <w:pStyle w:val="Liste2"/>
              <w:numPr>
                <w:ilvl w:val="1"/>
                <w:numId w:val="7"/>
              </w:numPr>
            </w:pPr>
            <w:r>
              <w:rPr>
                <w:lang w:val="de-DE"/>
              </w:rPr>
              <w:t xml:space="preserve">liegt mit 3,0 % im Bereich der Vorjahre zur 33. </w:t>
            </w:r>
            <w:r>
              <w:t>KW</w:t>
            </w:r>
          </w:p>
          <w:p>
            <w:pPr>
              <w:pStyle w:val="Liste2"/>
              <w:numPr>
                <w:ilvl w:val="1"/>
                <w:numId w:val="7"/>
              </w:numPr>
              <w:rPr>
                <w:lang w:val="de-DE"/>
              </w:rPr>
            </w:pPr>
            <w:r>
              <w:rPr>
                <w:lang w:val="de-DE"/>
              </w:rPr>
              <w:t>Anstieg bei den Kindern: 5,9 % (Vorwoche: 5,4 %); Rückgang bei den Erwachsenen: (2,6 %; Vorwoche: 3,3 %)</w:t>
            </w:r>
          </w:p>
          <w:p>
            <w:pPr>
              <w:pStyle w:val="Liste2"/>
              <w:numPr>
                <w:ilvl w:val="1"/>
                <w:numId w:val="7"/>
              </w:numPr>
              <w:rPr>
                <w:lang w:val="de-DE"/>
              </w:rPr>
            </w:pPr>
            <w:r>
              <w:rPr>
                <w:lang w:val="de-DE"/>
              </w:rPr>
              <w:t>ARE 5 AG: Anstieg bei den 0- bis 4-Jährigen (Anstieg um 42 %), in allen anderen AGs gesunken</w:t>
            </w:r>
          </w:p>
          <w:p>
            <w:pPr>
              <w:pStyle w:val="Liste2"/>
              <w:numPr>
                <w:ilvl w:val="1"/>
                <w:numId w:val="7"/>
              </w:numPr>
              <w:rPr>
                <w:lang w:val="de-DE"/>
              </w:rPr>
            </w:pPr>
            <w:r>
              <w:rPr>
                <w:lang w:val="de-DE"/>
              </w:rPr>
              <w:t xml:space="preserve">Ambulanter Bereich entspannt sich </w:t>
            </w:r>
          </w:p>
          <w:p>
            <w:pPr>
              <w:pStyle w:val="Liste2"/>
              <w:numPr>
                <w:ilvl w:val="1"/>
                <w:numId w:val="7"/>
              </w:numPr>
              <w:rPr>
                <w:lang w:val="de-DE"/>
              </w:rPr>
            </w:pPr>
            <w:r>
              <w:rPr>
                <w:lang w:val="de-DE"/>
              </w:rPr>
              <w:t>In der 33. KW wurden bundesweit weniger Arztbesuche wegen ARE registriert als in der Vorwoche</w:t>
            </w:r>
          </w:p>
          <w:p>
            <w:pPr>
              <w:pStyle w:val="Liste2"/>
              <w:numPr>
                <w:ilvl w:val="1"/>
                <w:numId w:val="7"/>
              </w:numPr>
              <w:rPr>
                <w:lang w:val="de-DE"/>
              </w:rPr>
            </w:pPr>
            <w:r>
              <w:rPr>
                <w:lang w:val="de-DE"/>
              </w:rPr>
              <w:lastRenderedPageBreak/>
              <w:t>KI im Vergleich zur Vorwoche insgesamt: rückläufig in KW 33 insgesamt mit 775 (Vorwoche: 937)</w:t>
            </w:r>
          </w:p>
          <w:p>
            <w:pPr>
              <w:pStyle w:val="Liste2"/>
              <w:numPr>
                <w:ilvl w:val="0"/>
                <w:numId w:val="0"/>
              </w:numPr>
              <w:ind w:left="1553"/>
              <w:rPr>
                <w:lang w:val="de-DE"/>
              </w:rPr>
            </w:pPr>
            <w:r>
              <w:rPr>
                <w:lang w:val="de-DE"/>
              </w:rPr>
              <w:t>liegt bei ca.800; seit KW 28 rückläufig</w:t>
            </w:r>
          </w:p>
          <w:p>
            <w:pPr>
              <w:pStyle w:val="Liste2"/>
              <w:numPr>
                <w:ilvl w:val="1"/>
                <w:numId w:val="7"/>
              </w:numPr>
              <w:rPr>
                <w:lang w:val="de-DE"/>
              </w:rPr>
            </w:pPr>
            <w:r>
              <w:rPr>
                <w:lang w:val="de-DE"/>
              </w:rPr>
              <w:t>Insgesamt über dem Bereich der Vorjahre zur 33. KW, aber auch in allen der ab 15-Jährigen höher (nicht mehr ganz so deutlich wie in den Vorwochen); bei den 0-4-Jährigen ähnlich der vorpandemischen Werte</w:t>
            </w:r>
          </w:p>
          <w:p>
            <w:pPr>
              <w:pStyle w:val="Liste2"/>
              <w:numPr>
                <w:ilvl w:val="1"/>
                <w:numId w:val="7"/>
              </w:numPr>
              <w:rPr>
                <w:lang w:val="de-DE"/>
              </w:rPr>
            </w:pPr>
            <w:r>
              <w:rPr>
                <w:lang w:val="de-DE"/>
              </w:rPr>
              <w:t xml:space="preserve">Rückgang in allen AGs zur Vorwoche (zwischen 16 % und 27 %) </w:t>
            </w:r>
          </w:p>
          <w:p>
            <w:pPr>
              <w:pStyle w:val="Liste2"/>
              <w:numPr>
                <w:ilvl w:val="1"/>
                <w:numId w:val="7"/>
              </w:numPr>
              <w:rPr>
                <w:lang w:val="de-DE"/>
              </w:rPr>
            </w:pPr>
            <w:r>
              <w:rPr>
                <w:lang w:val="de-DE"/>
              </w:rPr>
              <w:t>70 % der BL noch in den Sommerferien (in NW, MV und SH hat Schule wieder begonnen in KWW 33 dort bereits Anstieg bei den Schulkindern erkennbar, besonders in NW)</w:t>
            </w:r>
          </w:p>
          <w:p>
            <w:pPr>
              <w:pStyle w:val="Liste2"/>
              <w:numPr>
                <w:ilvl w:val="1"/>
                <w:numId w:val="7"/>
              </w:numPr>
              <w:rPr>
                <w:lang w:val="de-DE"/>
              </w:rPr>
            </w:pPr>
            <w:r>
              <w:rPr>
                <w:lang w:val="de-DE"/>
              </w:rPr>
              <w:t>nachdem die Anzahl der Arztkonsultationen wegen COVID-ARE ab KW 22/2022 deutlich angestiegen war, wird seit KW 29/2022 insgesamt ein Rückgang der Werte beobachtet</w:t>
            </w:r>
          </w:p>
          <w:p>
            <w:pPr>
              <w:pStyle w:val="Liste2"/>
              <w:numPr>
                <w:ilvl w:val="1"/>
                <w:numId w:val="7"/>
              </w:numPr>
              <w:rPr>
                <w:lang w:val="de-DE"/>
              </w:rPr>
            </w:pPr>
            <w:r>
              <w:rPr>
                <w:lang w:val="de-DE"/>
              </w:rPr>
              <w:t>SEED (Are) mit COVID-19 Konsultationen in AG bis zur 33. KW 2022 sind die Werte in allen AG gesunken, seit KW 29/2022 setzt sich der rückläufige Trend fort</w:t>
            </w:r>
          </w:p>
          <w:p>
            <w:pPr>
              <w:pStyle w:val="Liste2"/>
              <w:numPr>
                <w:ilvl w:val="1"/>
                <w:numId w:val="7"/>
              </w:numPr>
              <w:rPr>
                <w:lang w:val="de-DE"/>
              </w:rPr>
            </w:pPr>
            <w:r>
              <w:rPr>
                <w:lang w:val="de-DE"/>
              </w:rPr>
              <w:t xml:space="preserve">SARI-Fallzahlen sind in der 33. KW 2022 insgesamt nur leicht gesunken, SARI-Fälle mit Intensivbehandlung stabil geblieben im Vergleich zur Vorwoche, Weiterhin auf üblichem Sommerniveau </w:t>
            </w:r>
          </w:p>
          <w:p>
            <w:pPr>
              <w:pStyle w:val="Liste2"/>
              <w:numPr>
                <w:ilvl w:val="1"/>
                <w:numId w:val="7"/>
              </w:numPr>
              <w:rPr>
                <w:lang w:val="de-DE"/>
              </w:rPr>
            </w:pPr>
            <w:r>
              <w:rPr>
                <w:lang w:val="de-DE"/>
              </w:rPr>
              <w:t xml:space="preserve"> Anteil COVID-19 an SARI ist im Vgl. zur Vorwoche in KW 33 stabil: 28 % (Vorwoche: 30 %)  </w:t>
            </w:r>
          </w:p>
          <w:p>
            <w:pPr>
              <w:pStyle w:val="Liste2"/>
              <w:numPr>
                <w:ilvl w:val="1"/>
                <w:numId w:val="7"/>
              </w:numPr>
              <w:rPr>
                <w:lang w:val="de-DE"/>
              </w:rPr>
            </w:pPr>
            <w:r>
              <w:rPr>
                <w:lang w:val="de-DE"/>
              </w:rPr>
              <w:t xml:space="preserve">Anteil COVID-19 an SARI </w:t>
            </w:r>
            <w:r>
              <w:rPr>
                <w:bCs/>
                <w:lang w:val="de-DE"/>
              </w:rPr>
              <w:t>mit Intensivbehandlung</w:t>
            </w:r>
            <w:r>
              <w:rPr>
                <w:b/>
                <w:bCs/>
                <w:lang w:val="de-DE"/>
              </w:rPr>
              <w:t xml:space="preserve"> </w:t>
            </w:r>
            <w:r>
              <w:rPr>
                <w:lang w:val="de-DE"/>
              </w:rPr>
              <w:t xml:space="preserve">ebenfalls stabil: 28 % (Vorwoche: 27 %), </w:t>
            </w:r>
          </w:p>
          <w:p>
            <w:pPr>
              <w:pStyle w:val="Liste2"/>
              <w:numPr>
                <w:ilvl w:val="1"/>
                <w:numId w:val="7"/>
              </w:numPr>
              <w:rPr>
                <w:lang w:val="de-DE"/>
              </w:rPr>
            </w:pPr>
            <w:r>
              <w:rPr>
                <w:lang w:val="de-DE"/>
              </w:rPr>
              <w:t>Anteil Influenza seit KW 25 unter 1%</w:t>
            </w:r>
          </w:p>
          <w:p>
            <w:pPr>
              <w:pStyle w:val="Liste2"/>
              <w:numPr>
                <w:ilvl w:val="1"/>
                <w:numId w:val="7"/>
              </w:numPr>
              <w:rPr>
                <w:lang w:val="de-DE"/>
              </w:rPr>
            </w:pPr>
            <w:r>
              <w:rPr>
                <w:lang w:val="de-DE"/>
              </w:rPr>
              <w:t>SARI-Fallzahlen in fast allen Altersgruppen auf Sommerniveau</w:t>
            </w:r>
          </w:p>
          <w:p>
            <w:pPr>
              <w:pStyle w:val="Liste2"/>
              <w:numPr>
                <w:ilvl w:val="1"/>
                <w:numId w:val="7"/>
              </w:numPr>
              <w:rPr>
                <w:lang w:val="de-DE"/>
              </w:rPr>
            </w:pPr>
            <w:r>
              <w:rPr>
                <w:lang w:val="de-DE"/>
              </w:rPr>
              <w:t>AG ab 80 Jahre bleibt weiterhin etwas über den Werten der Vorjahre</w:t>
            </w:r>
          </w:p>
          <w:p>
            <w:pPr>
              <w:pStyle w:val="Liste2"/>
              <w:numPr>
                <w:ilvl w:val="1"/>
                <w:numId w:val="7"/>
              </w:numPr>
              <w:rPr>
                <w:lang w:val="de-DE"/>
              </w:rPr>
            </w:pPr>
            <w:r>
              <w:rPr>
                <w:lang w:val="de-DE"/>
              </w:rPr>
              <w:t xml:space="preserve"> Anteil COVID-19-Diagnosen in den AG 35+ ist stabil im Vgl. zur Vorwoche</w:t>
            </w:r>
          </w:p>
          <w:p>
            <w:pPr>
              <w:pStyle w:val="Liste2"/>
              <w:numPr>
                <w:ilvl w:val="1"/>
                <w:numId w:val="7"/>
              </w:numPr>
              <w:rPr>
                <w:lang w:val="de-DE"/>
              </w:rPr>
            </w:pPr>
            <w:r>
              <w:rPr>
                <w:lang w:val="de-DE"/>
              </w:rPr>
              <w:t>Hospitalisierungsinzidenz COVID-SARI bis zur 33. KW 2022: Gesamt: 2,6 COVID-SARI pro 100.000 (entspricht ca. 2.200 neuen Krankenhausaufnahmen wegen COVID-SARI in Deutschland)</w:t>
            </w:r>
          </w:p>
          <w:p>
            <w:pPr>
              <w:pStyle w:val="Liste2"/>
              <w:rPr>
                <w:rStyle w:val="TagMiZchn"/>
                <w:b w:val="0"/>
                <w:lang w:val="de-DE"/>
              </w:rPr>
            </w:pPr>
            <w:r>
              <w:rPr>
                <w:b/>
                <w:lang w:val="de-DE"/>
              </w:rPr>
              <w:t xml:space="preserve">Virologische Surveillance, NRZ Influenza-Daten </w:t>
            </w:r>
          </w:p>
          <w:p>
            <w:pPr>
              <w:pStyle w:val="Liste2"/>
              <w:numPr>
                <w:ilvl w:val="1"/>
                <w:numId w:val="7"/>
              </w:numPr>
              <w:rPr>
                <w:lang w:val="de-DE"/>
              </w:rPr>
            </w:pPr>
            <w:r>
              <w:rPr>
                <w:lang w:val="de-DE"/>
              </w:rPr>
              <w:t>Wenig Änderungen, leichter Rückgang SARS-CoV-2 (16%)</w:t>
            </w:r>
          </w:p>
          <w:p>
            <w:pPr>
              <w:pStyle w:val="Liste2"/>
              <w:numPr>
                <w:ilvl w:val="1"/>
                <w:numId w:val="7"/>
              </w:numPr>
              <w:rPr>
                <w:lang w:val="de-DE"/>
              </w:rPr>
            </w:pPr>
            <w:r>
              <w:rPr>
                <w:lang w:val="de-DE"/>
              </w:rPr>
              <w:t xml:space="preserve">Sporadische Infektionen HKU1 </w:t>
            </w:r>
          </w:p>
          <w:p>
            <w:pPr>
              <w:pStyle w:val="Liste2"/>
              <w:numPr>
                <w:ilvl w:val="1"/>
                <w:numId w:val="7"/>
              </w:numPr>
              <w:rPr>
                <w:lang w:val="de-DE"/>
              </w:rPr>
            </w:pPr>
            <w:r>
              <w:rPr>
                <w:lang w:val="de-DE"/>
              </w:rPr>
              <w:t>Nachweis von AH3N2</w:t>
            </w:r>
          </w:p>
          <w:p>
            <w:pPr>
              <w:pStyle w:val="Liste2"/>
              <w:numPr>
                <w:ilvl w:val="1"/>
                <w:numId w:val="7"/>
              </w:numPr>
              <w:rPr>
                <w:lang w:val="de-DE"/>
              </w:rPr>
            </w:pPr>
            <w:r>
              <w:rPr>
                <w:lang w:val="de-DE"/>
              </w:rPr>
              <w:t>Andere Coronaviren oder Influenzaviren waren nicht nachweisbar</w:t>
            </w:r>
          </w:p>
          <w:p>
            <w:pPr>
              <w:pStyle w:val="Liste2"/>
              <w:numPr>
                <w:ilvl w:val="1"/>
                <w:numId w:val="7"/>
              </w:numPr>
              <w:rPr>
                <w:lang w:val="de-DE"/>
              </w:rPr>
            </w:pPr>
            <w:proofErr w:type="spellStart"/>
            <w:r>
              <w:rPr>
                <w:lang w:val="de-DE"/>
              </w:rPr>
              <w:t>Rhinoviren</w:t>
            </w:r>
            <w:proofErr w:type="spellEnd"/>
            <w:r>
              <w:rPr>
                <w:lang w:val="de-DE"/>
              </w:rPr>
              <w:t xml:space="preserve"> und Parainfluenzaviren in gleichen Anteilen nachweisbar, untergeordnete Rolle RSV</w:t>
            </w:r>
          </w:p>
        </w:tc>
        <w:tc>
          <w:tcPr>
            <w:tcW w:w="1463" w:type="dxa"/>
          </w:tcPr>
          <w:p>
            <w:pPr>
              <w:rPr>
                <w:sz w:val="22"/>
                <w:szCs w:val="22"/>
              </w:rPr>
            </w:pPr>
          </w:p>
          <w:p>
            <w:pPr>
              <w:rPr>
                <w:sz w:val="22"/>
                <w:szCs w:val="22"/>
              </w:rPr>
            </w:pPr>
          </w:p>
          <w:p>
            <w:pPr>
              <w:rPr>
                <w:sz w:val="22"/>
                <w:szCs w:val="22"/>
                <w:lang w:val="en-US"/>
              </w:rPr>
            </w:pPr>
            <w:r>
              <w:rPr>
                <w:sz w:val="22"/>
                <w:szCs w:val="22"/>
                <w:lang w:val="en-US"/>
              </w:rPr>
              <w:t xml:space="preserve">ZIG1 </w:t>
            </w:r>
          </w:p>
          <w:p>
            <w:pPr>
              <w:rPr>
                <w:sz w:val="22"/>
                <w:szCs w:val="22"/>
                <w:lang w:val="en-US"/>
              </w:rPr>
            </w:pPr>
            <w:r>
              <w:rPr>
                <w:sz w:val="22"/>
                <w:szCs w:val="22"/>
                <w:lang w:val="en-US"/>
              </w:rPr>
              <w:t>(Correa-Martinez)</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lastRenderedPageBreak/>
              <w:t xml:space="preserve">FG32 </w:t>
            </w:r>
          </w:p>
          <w:p>
            <w:pPr>
              <w:rPr>
                <w:sz w:val="22"/>
                <w:szCs w:val="22"/>
                <w:lang w:val="en-US"/>
              </w:rPr>
            </w:pPr>
            <w:r>
              <w:rPr>
                <w:sz w:val="22"/>
                <w:szCs w:val="22"/>
                <w:lang w:val="en-US"/>
              </w:rPr>
              <w:t>(Sievers)</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MF4</w:t>
            </w:r>
          </w:p>
          <w:p>
            <w:pPr>
              <w:rPr>
                <w:sz w:val="22"/>
                <w:szCs w:val="22"/>
              </w:rPr>
            </w:pPr>
            <w:r>
              <w:rPr>
                <w:sz w:val="22"/>
                <w:szCs w:val="22"/>
              </w:rPr>
              <w:t>(Esins)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(Tolksdorf)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Am Montag Sitzung der PEIKO-AG</w:t>
            </w:r>
          </w:p>
          <w:p>
            <w:pPr>
              <w:pStyle w:val="Liste3"/>
            </w:pPr>
            <w:r>
              <w:t xml:space="preserve">Teilnahme externer </w:t>
            </w:r>
            <w:proofErr w:type="spellStart"/>
            <w:proofErr w:type="gramStart"/>
            <w:r>
              <w:t>Expert:innen</w:t>
            </w:r>
            <w:proofErr w:type="spellEnd"/>
            <w:proofErr w:type="gramEnd"/>
            <w:r>
              <w:t xml:space="preserve"> und BMG</w:t>
            </w:r>
          </w:p>
          <w:p>
            <w:pPr>
              <w:pStyle w:val="Liste3"/>
            </w:pPr>
            <w:r>
              <w:t xml:space="preserve">Besprechung der Arbeitsweise und </w:t>
            </w:r>
            <w:proofErr w:type="spellStart"/>
            <w:r>
              <w:t>Themenpriorisierung</w:t>
            </w:r>
            <w:proofErr w:type="spellEnd"/>
          </w:p>
          <w:p>
            <w:pPr>
              <w:pStyle w:val="Liste3"/>
            </w:pPr>
            <w:r>
              <w:lastRenderedPageBreak/>
              <w:t>3 Themen</w:t>
            </w:r>
          </w:p>
          <w:p>
            <w:pPr>
              <w:pStyle w:val="Liste3"/>
              <w:numPr>
                <w:ilvl w:val="2"/>
                <w:numId w:val="6"/>
              </w:numPr>
            </w:pPr>
            <w:r>
              <w:t>Variantenimpfstoff</w:t>
            </w:r>
          </w:p>
          <w:p>
            <w:pPr>
              <w:pStyle w:val="Liste3"/>
              <w:numPr>
                <w:ilvl w:val="3"/>
                <w:numId w:val="6"/>
              </w:numPr>
            </w:pPr>
            <w:r>
              <w:t>Steht kurz vor Zulassung, Unklarheiten bzgl. Timelines, 60 Mio. vorbestellt</w:t>
            </w:r>
          </w:p>
          <w:p>
            <w:pPr>
              <w:pStyle w:val="Liste3"/>
              <w:numPr>
                <w:ilvl w:val="3"/>
                <w:numId w:val="6"/>
              </w:numPr>
            </w:pPr>
            <w:r>
              <w:t>BA.1-Impfstoffe kommen voraussichtlich September, BA.5-angepasster Impfstoff kommt voraussichtlich im Oktober</w:t>
            </w:r>
          </w:p>
          <w:p>
            <w:pPr>
              <w:pStyle w:val="Liste3"/>
              <w:numPr>
                <w:ilvl w:val="3"/>
                <w:numId w:val="6"/>
              </w:numPr>
            </w:pPr>
            <w:r>
              <w:t xml:space="preserve">Impfstoff </w:t>
            </w:r>
            <w:proofErr w:type="spellStart"/>
            <w:r>
              <w:t>Valneva</w:t>
            </w:r>
            <w:proofErr w:type="spellEnd"/>
            <w:r>
              <w:t xml:space="preserve"> wird kommen, angeblich nächste Woche. Impfstoff wird ausgeliefert, aber nicht verteilt, dauert vermutlich noch 2 Wochen. Hiervon wurde nicht viel eingekauft. Ist ein Totimpfstoff, Empfehlung von PEIKO folgt, nur für Grundimmunisierung und für 18-50-Jährige</w:t>
            </w:r>
          </w:p>
          <w:p>
            <w:pPr>
              <w:pStyle w:val="Liste3"/>
              <w:numPr>
                <w:ilvl w:val="3"/>
                <w:numId w:val="6"/>
              </w:numPr>
            </w:pPr>
            <w:r>
              <w:t>Wunsch Ärzteschaft: Nachschärfung Algorithmen der Konstellationen (Geimpft/Genesen): wird in 4-6 Wochen auf die Agenda gesetzt, PEIKO derzeit an Review mit WHO und Kanada zur Wirksamkeit der verschiedenen Konstellationen</w:t>
            </w:r>
          </w:p>
          <w:p>
            <w:pPr>
              <w:pStyle w:val="Liste3"/>
              <w:numPr>
                <w:ilvl w:val="3"/>
                <w:numId w:val="6"/>
              </w:numPr>
            </w:pPr>
            <w:r>
              <w:t>Nachrangig: Zulassung Kleinkinder (unter 4 Jahre) und Auffrischimpfung</w:t>
            </w:r>
          </w:p>
          <w:p>
            <w:pPr>
              <w:pStyle w:val="Liste3"/>
              <w:numPr>
                <w:ilvl w:val="0"/>
                <w:numId w:val="0"/>
              </w:numPr>
              <w:ind w:left="2633"/>
            </w:pPr>
          </w:p>
          <w:p>
            <w:pPr>
              <w:pStyle w:val="Liste3"/>
              <w:numPr>
                <w:ilvl w:val="0"/>
                <w:numId w:val="0"/>
              </w:numPr>
              <w:rPr>
                <w:i/>
              </w:rPr>
            </w:pPr>
            <w:r>
              <w:rPr>
                <w:i/>
              </w:rPr>
              <w:t>Diskussion</w:t>
            </w:r>
          </w:p>
          <w:p>
            <w:pPr>
              <w:pStyle w:val="Liste3"/>
              <w:numPr>
                <w:ilvl w:val="0"/>
                <w:numId w:val="9"/>
              </w:numPr>
            </w:pPr>
            <w:r>
              <w:t>In IfSG-Novelle: Geplant: 3 Monate nach letzter Impfung gilt man als geimpft?</w:t>
            </w:r>
          </w:p>
          <w:p>
            <w:pPr>
              <w:pStyle w:val="Liste3"/>
              <w:numPr>
                <w:ilvl w:val="1"/>
                <w:numId w:val="9"/>
              </w:numPr>
            </w:pPr>
            <w:r>
              <w:t>Es geht nicht darum, dass man als geimpft gilt, sondern es gibt eine Ausnahme der Maskenpflicht für bestimmte Räume in der Öffentlichkeit für die 3 Monate</w:t>
            </w:r>
          </w:p>
          <w:p>
            <w:pPr>
              <w:pStyle w:val="Liste3"/>
              <w:numPr>
                <w:ilvl w:val="1"/>
                <w:numId w:val="9"/>
              </w:numPr>
            </w:pPr>
            <w:r>
              <w:t>Höhere Impfabstände werden empfohlen (STIKO alle 6 Monate), für den Zeitraum nach der Impfung wird eine Erleichterung geschaffen. Ob es verabschiedet wird ist offen</w:t>
            </w:r>
          </w:p>
          <w:p>
            <w:pPr>
              <w:pStyle w:val="Liste3"/>
              <w:numPr>
                <w:ilvl w:val="0"/>
                <w:numId w:val="9"/>
              </w:numPr>
            </w:pPr>
            <w:r>
              <w:t>Algorithmus: wer gilt als ausreichend geimpft?</w:t>
            </w:r>
          </w:p>
          <w:p>
            <w:pPr>
              <w:pStyle w:val="Liste3"/>
              <w:numPr>
                <w:ilvl w:val="1"/>
                <w:numId w:val="9"/>
              </w:numPr>
            </w:pPr>
            <w:r>
              <w:t>STIKO: Verhinderung schwerer Fälle im Fokus</w:t>
            </w:r>
          </w:p>
          <w:p>
            <w:pPr>
              <w:pStyle w:val="Liste3"/>
              <w:numPr>
                <w:ilvl w:val="1"/>
                <w:numId w:val="9"/>
              </w:numPr>
            </w:pPr>
            <w:r>
              <w:t>Transmission und neuer Impfstoff: Hoffnung, dass durch adaptierte Impfstoffe besser in Verhinderung auf Transmission</w:t>
            </w:r>
          </w:p>
          <w:p>
            <w:pPr>
              <w:pStyle w:val="Liste3"/>
              <w:numPr>
                <w:ilvl w:val="1"/>
                <w:numId w:val="9"/>
              </w:numPr>
            </w:pPr>
            <w:r>
              <w:t>Herkömmlicher wirkt gut vor schweren Infektionen/Erkrankungen</w:t>
            </w:r>
          </w:p>
          <w:p>
            <w:pPr>
              <w:pStyle w:val="Liste3"/>
              <w:numPr>
                <w:ilvl w:val="0"/>
                <w:numId w:val="9"/>
              </w:numPr>
            </w:pPr>
            <w:r>
              <w:t>Variantenangepasster Impfstoff der Transmission verhindert; wird neuer Selektionsdruck geschafft?</w:t>
            </w:r>
          </w:p>
          <w:p>
            <w:pPr>
              <w:pStyle w:val="Liste3"/>
              <w:numPr>
                <w:ilvl w:val="1"/>
                <w:numId w:val="9"/>
              </w:numPr>
            </w:pPr>
            <w:r>
              <w:t>Transmissionsblockierend wird nicht erwartet. Höhere AK-Level, wird eher von nasalen Impfstoffen erwartet, diese sind noch in Entwicklungspipeline</w:t>
            </w:r>
          </w:p>
          <w:p>
            <w:pPr>
              <w:pStyle w:val="Liste3"/>
              <w:numPr>
                <w:ilvl w:val="0"/>
                <w:numId w:val="9"/>
              </w:numPr>
            </w:pPr>
            <w:r>
              <w:t>Sind die Impfstoffe bivalent oder monovalent?</w:t>
            </w:r>
          </w:p>
          <w:p>
            <w:pPr>
              <w:pStyle w:val="Liste3"/>
              <w:numPr>
                <w:ilvl w:val="1"/>
                <w:numId w:val="9"/>
              </w:numPr>
              <w:rPr>
                <w:rStyle w:val="1Zchn"/>
                <w:b w:val="0"/>
                <w:sz w:val="22"/>
              </w:rPr>
            </w:pPr>
            <w:r>
              <w:t xml:space="preserve">Erstmal bivalente Impfstoffe (BA.1, BA.4, BA.5-Impfstoffe), andere Hersteller haben monovalente Impfstoffe in der Pipeline, </w:t>
            </w:r>
            <w:proofErr w:type="spellStart"/>
            <w:r>
              <w:t>moving</w:t>
            </w:r>
            <w:proofErr w:type="spellEnd"/>
            <w:r>
              <w:t xml:space="preserve"> </w:t>
            </w:r>
            <w:proofErr w:type="spellStart"/>
            <w:r>
              <w:t>target</w:t>
            </w:r>
            <w:proofErr w:type="spellEnd"/>
            <w:r>
              <w:t xml:space="preserve">, Einreichung </w:t>
            </w:r>
            <w:r>
              <w:lastRenderedPageBreak/>
              <w:t>bei EMA ist unklar, Diskussion läuft auf europäischer Ebene</w:t>
            </w:r>
          </w:p>
        </w:tc>
        <w:tc>
          <w:tcPr>
            <w:tcW w:w="1463" w:type="dxa"/>
          </w:tcPr>
          <w:p>
            <w:pPr>
              <w:rPr>
                <w:sz w:val="22"/>
                <w:szCs w:val="22"/>
              </w:rPr>
            </w:pPr>
            <w:r>
              <w:rPr>
                <w:sz w:val="22"/>
                <w:szCs w:val="22"/>
              </w:rPr>
              <w:lastRenderedPageBreak/>
              <w:t>FG 33</w:t>
            </w:r>
          </w:p>
          <w:p>
            <w:pPr>
              <w:rPr>
                <w:sz w:val="22"/>
                <w:szCs w:val="22"/>
              </w:rPr>
            </w:pPr>
            <w:r>
              <w:rPr>
                <w:sz w:val="22"/>
                <w:szCs w:val="22"/>
              </w:rPr>
              <w:t>(Wichmann)</w:t>
            </w: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pStyle w:val="Liste1"/>
            </w:pPr>
            <w:r>
              <w:t>Plausibilitätsprüfung</w:t>
            </w:r>
          </w:p>
          <w:p>
            <w:pPr>
              <w:pStyle w:val="Liste3"/>
            </w:pPr>
            <w:r>
              <w:t>Nicht „Betrug“ sondern „Auffälligkeiten“</w:t>
            </w:r>
          </w:p>
          <w:p>
            <w:pPr>
              <w:pStyle w:val="Liste3"/>
            </w:pPr>
            <w:r>
              <w:t>Meeting mit Köln, Datenabgleich</w:t>
            </w:r>
          </w:p>
          <w:p>
            <w:pPr>
              <w:pStyle w:val="Liste1"/>
            </w:pPr>
            <w:r>
              <w:t>CWA</w:t>
            </w:r>
          </w:p>
          <w:p>
            <w:pPr>
              <w:pStyle w:val="Liste3"/>
            </w:pPr>
            <w:r>
              <w:t>Wird bis Mai 2023 weiterbetrieben werden</w:t>
            </w:r>
          </w:p>
          <w:p>
            <w:pPr>
              <w:pStyle w:val="Liste3"/>
            </w:pPr>
            <w:r>
              <w:t>Verhandlungen mit Industriepartnern</w:t>
            </w:r>
          </w:p>
          <w:p>
            <w:pPr>
              <w:pStyle w:val="Liste3"/>
            </w:pPr>
            <w:r>
              <w:t>CWA und Maske ist in Umsetzung</w:t>
            </w:r>
          </w:p>
          <w:p>
            <w:pPr>
              <w:pStyle w:val="Liste3"/>
            </w:pPr>
            <w:r>
              <w:t>Gelder vom BMG stark gekürzt</w:t>
            </w:r>
          </w:p>
          <w:p>
            <w:pPr>
              <w:pStyle w:val="Liste3"/>
            </w:pPr>
            <w:r>
              <w:t>Prognose daher schwer abzugeben</w:t>
            </w:r>
          </w:p>
          <w:p>
            <w:pPr>
              <w:pStyle w:val="Liste3"/>
              <w:numPr>
                <w:ilvl w:val="0"/>
                <w:numId w:val="0"/>
              </w:numPr>
              <w:rPr>
                <w:i/>
              </w:rPr>
            </w:pPr>
            <w:r>
              <w:rPr>
                <w:i/>
              </w:rPr>
              <w:t>Diskussion</w:t>
            </w:r>
          </w:p>
          <w:p>
            <w:pPr>
              <w:pStyle w:val="Liste3"/>
              <w:numPr>
                <w:ilvl w:val="0"/>
                <w:numId w:val="10"/>
              </w:numPr>
            </w:pPr>
            <w:r>
              <w:t>Personelle Ressourcen werden weiterhin aus dem Haus getragen, vermutlich wird eine neue Ausschreibung ab Mai 2023 geschrieben</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Daten aus der Gesundheitsberichterstattung </w:t>
            </w:r>
          </w:p>
          <w:p>
            <w:pPr>
              <w:pStyle w:val="Liste2"/>
              <w:rPr>
                <w:b/>
              </w:rPr>
            </w:pPr>
            <w:proofErr w:type="spellStart"/>
            <w:r>
              <w:rPr>
                <w:b/>
              </w:rPr>
              <w:t>Vortrag</w:t>
            </w:r>
            <w:proofErr w:type="spellEnd"/>
            <w:r>
              <w:rPr>
                <w:b/>
              </w:rPr>
              <w:t xml:space="preserve"> PHIRI</w:t>
            </w:r>
          </w:p>
          <w:p>
            <w:pPr>
              <w:pStyle w:val="Liste2"/>
              <w:numPr>
                <w:ilvl w:val="1"/>
                <w:numId w:val="7"/>
              </w:numPr>
            </w:pPr>
            <w:r>
              <w:t xml:space="preserve">Population Health Information Research Infrastructure for COVID-19- </w:t>
            </w:r>
            <w:proofErr w:type="spellStart"/>
            <w:r>
              <w:t>erste</w:t>
            </w:r>
            <w:proofErr w:type="spellEnd"/>
            <w:r>
              <w:t xml:space="preserve"> </w:t>
            </w:r>
            <w:proofErr w:type="spellStart"/>
            <w:r>
              <w:t>Ergebnisse</w:t>
            </w:r>
            <w:proofErr w:type="spellEnd"/>
          </w:p>
          <w:p>
            <w:pPr>
              <w:pStyle w:val="Liste2"/>
              <w:numPr>
                <w:ilvl w:val="1"/>
                <w:numId w:val="7"/>
              </w:numPr>
            </w:pPr>
            <w:proofErr w:type="spellStart"/>
            <w:r>
              <w:t>Ziele</w:t>
            </w:r>
            <w:proofErr w:type="spellEnd"/>
            <w:r>
              <w:t xml:space="preserve">: </w:t>
            </w:r>
          </w:p>
          <w:p>
            <w:pPr>
              <w:pStyle w:val="Liste2"/>
              <w:numPr>
                <w:ilvl w:val="2"/>
                <w:numId w:val="7"/>
              </w:numPr>
              <w:rPr>
                <w:lang w:val="de-DE"/>
              </w:rPr>
            </w:pPr>
            <w:r>
              <w:rPr>
                <w:lang w:val="de-DE"/>
              </w:rPr>
              <w:t>Verbesserung der Verfügbarkeit von Gesundheitsinformationen in den EU-Mitgliedstaaten und auf EU-Ebene am Beispiel von COVID-19:</w:t>
            </w:r>
          </w:p>
          <w:p>
            <w:pPr>
              <w:pStyle w:val="Liste2"/>
              <w:numPr>
                <w:ilvl w:val="2"/>
                <w:numId w:val="7"/>
              </w:numPr>
              <w:rPr>
                <w:lang w:val="de-DE"/>
              </w:rPr>
            </w:pPr>
            <w:r>
              <w:rPr>
                <w:lang w:val="de-DE"/>
              </w:rPr>
              <w:t xml:space="preserve">Bereitstellung von Daten und Forschungsergebnissen in einem Webportal nach den FAIR-Prinzipien: </w:t>
            </w:r>
            <w:proofErr w:type="spellStart"/>
            <w:r>
              <w:rPr>
                <w:lang w:val="de-DE"/>
              </w:rPr>
              <w:t>findable</w:t>
            </w:r>
            <w:proofErr w:type="spellEnd"/>
            <w:r>
              <w:rPr>
                <w:lang w:val="de-DE"/>
              </w:rPr>
              <w:t xml:space="preserve">, </w:t>
            </w:r>
            <w:proofErr w:type="spellStart"/>
            <w:r>
              <w:rPr>
                <w:lang w:val="de-DE"/>
              </w:rPr>
              <w:t>accessible</w:t>
            </w:r>
            <w:proofErr w:type="spellEnd"/>
            <w:r>
              <w:rPr>
                <w:lang w:val="de-DE"/>
              </w:rPr>
              <w:t xml:space="preserve">, interoperable, </w:t>
            </w:r>
            <w:proofErr w:type="spellStart"/>
            <w:r>
              <w:rPr>
                <w:lang w:val="de-DE"/>
              </w:rPr>
              <w:t>re-usable</w:t>
            </w:r>
            <w:proofErr w:type="spellEnd"/>
          </w:p>
          <w:p>
            <w:pPr>
              <w:pStyle w:val="Liste2"/>
              <w:numPr>
                <w:ilvl w:val="2"/>
                <w:numId w:val="7"/>
              </w:numPr>
              <w:rPr>
                <w:lang w:val="de-DE"/>
              </w:rPr>
            </w:pPr>
            <w:r>
              <w:rPr>
                <w:lang w:val="de-DE"/>
              </w:rPr>
              <w:t xml:space="preserve">Bereitstellung eines strukturierten Austauschs zwischen den Ländern über bewährte COVID-19-Verfahren und Fachwissen. </w:t>
            </w:r>
          </w:p>
          <w:p>
            <w:pPr>
              <w:pStyle w:val="Liste2"/>
              <w:numPr>
                <w:ilvl w:val="2"/>
                <w:numId w:val="7"/>
              </w:numPr>
              <w:rPr>
                <w:lang w:val="de-DE"/>
              </w:rPr>
            </w:pPr>
            <w:r>
              <w:rPr>
                <w:lang w:val="de-DE"/>
              </w:rPr>
              <w:t>Förderung der Interoperabilität und Bekämpfung von Ungleichheiten bei Gesundheitsinformationen.</w:t>
            </w:r>
          </w:p>
          <w:p>
            <w:pPr>
              <w:pStyle w:val="Liste2"/>
              <w:numPr>
                <w:ilvl w:val="1"/>
                <w:numId w:val="7"/>
              </w:numPr>
              <w:rPr>
                <w:lang w:val="de-DE"/>
              </w:rPr>
            </w:pPr>
            <w:r>
              <w:rPr>
                <w:lang w:val="de-DE"/>
              </w:rPr>
              <w:t>4 Kleinstudien:</w:t>
            </w:r>
          </w:p>
          <w:p>
            <w:pPr>
              <w:pStyle w:val="Liste2"/>
              <w:numPr>
                <w:ilvl w:val="2"/>
                <w:numId w:val="7"/>
              </w:numPr>
              <w:rPr>
                <w:lang w:val="de-DE"/>
              </w:rPr>
            </w:pPr>
            <w:r>
              <w:rPr>
                <w:lang w:val="de-DE"/>
              </w:rPr>
              <w:t>Direkte und indirekte Folgen der COVID-19-Infektion in vulnerablen Bevölkerungsgruppen unter Bezugnahme auf Ungleichheiten</w:t>
            </w:r>
          </w:p>
          <w:p>
            <w:pPr>
              <w:pStyle w:val="Liste2"/>
              <w:numPr>
                <w:ilvl w:val="2"/>
                <w:numId w:val="7"/>
              </w:numPr>
            </w:pPr>
            <w:proofErr w:type="spellStart"/>
            <w:r>
              <w:t>Verzögerte</w:t>
            </w:r>
            <w:proofErr w:type="spellEnd"/>
            <w:r>
              <w:t xml:space="preserve"> </w:t>
            </w:r>
            <w:proofErr w:type="spellStart"/>
            <w:r>
              <w:t>Behandlung</w:t>
            </w:r>
            <w:proofErr w:type="spellEnd"/>
            <w:r>
              <w:t xml:space="preserve"> von </w:t>
            </w:r>
            <w:proofErr w:type="spellStart"/>
            <w:r>
              <w:t>Brustkrebspatientinnen</w:t>
            </w:r>
            <w:proofErr w:type="spellEnd"/>
          </w:p>
          <w:p>
            <w:pPr>
              <w:pStyle w:val="Liste2"/>
              <w:numPr>
                <w:ilvl w:val="2"/>
                <w:numId w:val="7"/>
              </w:numPr>
              <w:rPr>
                <w:lang w:val="de-DE"/>
              </w:rPr>
            </w:pPr>
            <w:r>
              <w:rPr>
                <w:lang w:val="de-DE"/>
              </w:rPr>
              <w:t>Auswirkungen auf die Gesundheit von Müttern und Neugeborenen</w:t>
            </w:r>
          </w:p>
          <w:p>
            <w:pPr>
              <w:pStyle w:val="Liste2"/>
              <w:numPr>
                <w:ilvl w:val="2"/>
                <w:numId w:val="7"/>
              </w:numPr>
              <w:rPr>
                <w:lang w:val="de-DE"/>
              </w:rPr>
            </w:pPr>
            <w:r>
              <w:rPr>
                <w:lang w:val="de-DE"/>
              </w:rPr>
              <w:t xml:space="preserve">Veränderungen in der psychischen Gesundheit der Bevölkerung </w:t>
            </w:r>
          </w:p>
          <w:p>
            <w:pPr>
              <w:pStyle w:val="Liste2"/>
              <w:numPr>
                <w:ilvl w:val="1"/>
                <w:numId w:val="7"/>
              </w:numPr>
              <w:rPr>
                <w:lang w:val="de-DE"/>
              </w:rPr>
            </w:pPr>
            <w:r>
              <w:rPr>
                <w:b/>
                <w:bCs/>
                <w:lang w:val="de-DE"/>
              </w:rPr>
              <w:lastRenderedPageBreak/>
              <w:t xml:space="preserve">Erforschung </w:t>
            </w:r>
            <w:r>
              <w:rPr>
                <w:lang w:val="de-DE"/>
              </w:rPr>
              <w:t>der Auswirkungen der COVID-19-Pandemie auf die Gesundheit der europäischen Bevölkerung</w:t>
            </w:r>
          </w:p>
          <w:p>
            <w:pPr>
              <w:pStyle w:val="Liste2"/>
              <w:numPr>
                <w:ilvl w:val="1"/>
                <w:numId w:val="7"/>
              </w:numPr>
              <w:rPr>
                <w:lang w:val="de-DE"/>
              </w:rPr>
            </w:pPr>
            <w:r>
              <w:rPr>
                <w:b/>
                <w:bCs/>
                <w:lang w:val="de-DE"/>
              </w:rPr>
              <w:t>Pilotaktivitäten</w:t>
            </w:r>
            <w:r>
              <w:rPr>
                <w:lang w:val="de-DE"/>
              </w:rPr>
              <w:t xml:space="preserve"> für den Nutzen und Mehrwert der Forschungsinfrastruktur, indem Daten aus verschiedenen europäischen Ländern zusammengeführt und die Ergebnisse in die föderierte Forschungsinfrastruktur eingespeist werden</w:t>
            </w:r>
          </w:p>
          <w:p>
            <w:pPr>
              <w:pStyle w:val="Liste2"/>
              <w:rPr>
                <w:lang w:val="de-DE"/>
              </w:rPr>
            </w:pPr>
            <w:r>
              <w:rPr>
                <w:lang w:val="de-DE"/>
              </w:rPr>
              <w:t xml:space="preserve">Hat die COVID-19-Pandemie die bestehenden Muster der Inanspruchnahme der Gesundheitsversorgung außerhalb von COVID-19 verändert? </w:t>
            </w:r>
          </w:p>
          <w:p>
            <w:pPr>
              <w:pStyle w:val="Liste2"/>
              <w:numPr>
                <w:ilvl w:val="1"/>
                <w:numId w:val="7"/>
              </w:numPr>
              <w:rPr>
                <w:lang w:val="de-DE"/>
              </w:rPr>
            </w:pPr>
            <w:r>
              <w:rPr>
                <w:lang w:val="de-DE"/>
              </w:rPr>
              <w:t xml:space="preserve">Wales: Rate der Herzinfarkte pro 100.000 Einwohnern 2020 im Vergleich zu 2018/2019 hin zum Lockdown (mit steigenden Infektionszahlen) stark gesunken </w:t>
            </w:r>
            <w:r>
              <w:sym w:font="Wingdings" w:char="F0E0"/>
            </w:r>
            <w:r>
              <w:rPr>
                <w:lang w:val="de-DE"/>
              </w:rPr>
              <w:t xml:space="preserve"> Weniger Inanspruchnahme, weniger Diagnosen</w:t>
            </w:r>
          </w:p>
          <w:p>
            <w:pPr>
              <w:pStyle w:val="Liste2"/>
              <w:numPr>
                <w:ilvl w:val="1"/>
                <w:numId w:val="7"/>
              </w:numPr>
              <w:rPr>
                <w:lang w:val="de-DE"/>
              </w:rPr>
            </w:pPr>
            <w:r>
              <w:rPr>
                <w:lang w:val="de-DE"/>
              </w:rPr>
              <w:t xml:space="preserve">Danach sprunghaft auf ein Niveau über 2018/2019 angestiegen </w:t>
            </w:r>
            <w:r>
              <w:sym w:font="Wingdings" w:char="F0E0"/>
            </w:r>
            <w:r>
              <w:rPr>
                <w:lang w:val="de-DE"/>
              </w:rPr>
              <w:t xml:space="preserve"> verzögerte Diagnosen </w:t>
            </w:r>
          </w:p>
          <w:p>
            <w:pPr>
              <w:pStyle w:val="Liste2"/>
              <w:numPr>
                <w:ilvl w:val="1"/>
                <w:numId w:val="7"/>
              </w:numPr>
              <w:rPr>
                <w:lang w:val="de-DE"/>
              </w:rPr>
            </w:pPr>
            <w:r>
              <w:rPr>
                <w:lang w:val="de-DE"/>
              </w:rPr>
              <w:t>Bei einem Ländervergleich mit mehreren Outcomes sieht man bei der Veränderung der Inzidenz:</w:t>
            </w:r>
          </w:p>
          <w:p>
            <w:pPr>
              <w:pStyle w:val="Liste2"/>
              <w:numPr>
                <w:ilvl w:val="1"/>
                <w:numId w:val="7"/>
              </w:numPr>
              <w:rPr>
                <w:lang w:val="de-DE"/>
              </w:rPr>
            </w:pPr>
            <w:r>
              <w:rPr>
                <w:lang w:val="de-DE"/>
              </w:rPr>
              <w:t xml:space="preserve">Den gleichen starken Rückgang von Herzinfarkten zu Zeiten des Lockdowns in 2020 (März/April) </w:t>
            </w:r>
            <w:r>
              <w:sym w:font="Wingdings" w:char="F0E0"/>
            </w:r>
            <w:r>
              <w:rPr>
                <w:lang w:val="de-DE"/>
              </w:rPr>
              <w:t xml:space="preserve"> Ende 2021 auf einem vorpandemischen Niveau; bei Schlaganfällen liegen wir unter diesem Niveau von 2019</w:t>
            </w:r>
          </w:p>
          <w:p>
            <w:pPr>
              <w:pStyle w:val="Liste2"/>
              <w:numPr>
                <w:ilvl w:val="1"/>
                <w:numId w:val="7"/>
              </w:numPr>
              <w:rPr>
                <w:lang w:val="de-DE"/>
              </w:rPr>
            </w:pPr>
            <w:r>
              <w:rPr>
                <w:lang w:val="de-DE"/>
              </w:rPr>
              <w:t xml:space="preserve">Bei Hüft- und Knieersatz sind die Entwicklungen eindeutiger </w:t>
            </w:r>
            <w:r>
              <w:sym w:font="Wingdings" w:char="F0E0"/>
            </w:r>
            <w:r>
              <w:rPr>
                <w:lang w:val="de-DE"/>
              </w:rPr>
              <w:t xml:space="preserve"> März/April 2020 starker Abfall der Inzidenzen und bis heute nicht wieder auf vorpandemisches Niveau</w:t>
            </w:r>
          </w:p>
          <w:p>
            <w:pPr>
              <w:pStyle w:val="Liste2"/>
              <w:rPr>
                <w:lang w:val="de-DE"/>
              </w:rPr>
            </w:pPr>
            <w:r>
              <w:rPr>
                <w:lang w:val="de-DE"/>
              </w:rPr>
              <w:t>Verzögerte Behandlung von Brustkrebspatientinnen verbunden mit der Pandemie?</w:t>
            </w:r>
          </w:p>
          <w:p>
            <w:pPr>
              <w:pStyle w:val="Liste2"/>
              <w:numPr>
                <w:ilvl w:val="1"/>
                <w:numId w:val="7"/>
              </w:numPr>
              <w:rPr>
                <w:lang w:val="de-DE"/>
              </w:rPr>
            </w:pPr>
            <w:r>
              <w:rPr>
                <w:lang w:val="de-DE"/>
              </w:rPr>
              <w:t xml:space="preserve">Absolute Zahlen: 2017-2020 </w:t>
            </w:r>
            <w:r>
              <w:rPr>
                <w:lang w:val="de-DE"/>
              </w:rPr>
              <w:sym w:font="Wingdings" w:char="F0E0"/>
            </w:r>
            <w:r>
              <w:rPr>
                <w:lang w:val="de-DE"/>
              </w:rPr>
              <w:t xml:space="preserve"> Zu Beginn 2020 in allen Ländern zurückgehende Zahlen (in Italien eklatant); insgesamt aber in Belgien, Spanien und Wales anschießend ein steigender Trend zu verzeichnen</w:t>
            </w:r>
          </w:p>
          <w:p>
            <w:pPr>
              <w:pStyle w:val="Liste2"/>
              <w:numPr>
                <w:ilvl w:val="1"/>
                <w:numId w:val="7"/>
              </w:numPr>
              <w:rPr>
                <w:lang w:val="de-DE"/>
              </w:rPr>
            </w:pPr>
            <w:r>
              <w:rPr>
                <w:lang w:val="de-DE"/>
              </w:rPr>
              <w:t>Starke Zunahme der Zeitintervalle von der Diagnose bis zur operativen Behandlung nach dem Lockdown 2020</w:t>
            </w:r>
          </w:p>
          <w:p>
            <w:pPr>
              <w:pStyle w:val="Liste2"/>
            </w:pPr>
            <w:proofErr w:type="spellStart"/>
            <w:r>
              <w:rPr>
                <w:lang w:val="en-US"/>
              </w:rPr>
              <w:t>Frühgeburtenrate</w:t>
            </w:r>
            <w:proofErr w:type="spellEnd"/>
            <w:r>
              <w:rPr>
                <w:lang w:val="en-US"/>
              </w:rPr>
              <w:t xml:space="preserve"> </w:t>
            </w:r>
            <w:proofErr w:type="spellStart"/>
            <w:r>
              <w:rPr>
                <w:lang w:val="en-US"/>
              </w:rPr>
              <w:t>während</w:t>
            </w:r>
            <w:proofErr w:type="spellEnd"/>
            <w:r>
              <w:rPr>
                <w:lang w:val="en-US"/>
              </w:rPr>
              <w:t xml:space="preserve"> der </w:t>
            </w:r>
            <w:proofErr w:type="spellStart"/>
            <w:r>
              <w:rPr>
                <w:lang w:val="en-US"/>
              </w:rPr>
              <w:t>Pandemie</w:t>
            </w:r>
            <w:proofErr w:type="spellEnd"/>
            <w:r>
              <w:rPr>
                <w:lang w:val="en-US"/>
              </w:rPr>
              <w:t>:</w:t>
            </w:r>
          </w:p>
          <w:p>
            <w:pPr>
              <w:pStyle w:val="Liste2"/>
              <w:numPr>
                <w:ilvl w:val="1"/>
                <w:numId w:val="7"/>
              </w:numPr>
              <w:rPr>
                <w:lang w:val="de-DE"/>
              </w:rPr>
            </w:pPr>
            <w:r>
              <w:rPr>
                <w:lang w:val="de-DE"/>
              </w:rPr>
              <w:t>In mehreren Ländern kam es während der Pandemie zu einem deutlichen und kontinuierlichen Rückgang der Frühgeburtenraten: Italien, Portugal und das Vereinigte Königreich.</w:t>
            </w:r>
          </w:p>
          <w:p>
            <w:pPr>
              <w:pStyle w:val="Liste2"/>
              <w:rPr>
                <w:lang w:val="de-DE"/>
              </w:rPr>
            </w:pPr>
            <w:r>
              <w:rPr>
                <w:lang w:val="de-DE"/>
              </w:rPr>
              <w:t>Fehlgeburtenrate</w:t>
            </w:r>
          </w:p>
          <w:p>
            <w:pPr>
              <w:pStyle w:val="Liste2"/>
              <w:numPr>
                <w:ilvl w:val="1"/>
                <w:numId w:val="7"/>
              </w:numPr>
              <w:rPr>
                <w:lang w:val="de-DE"/>
              </w:rPr>
            </w:pPr>
            <w:r>
              <w:rPr>
                <w:lang w:val="de-DE"/>
              </w:rPr>
              <w:t>In den meisten Ländern sind die Totgeburtenraten im Jahr 2020 oder im Zeitraum März bis September 2020 nicht gestiegen. In einigen Ländern gab es jedoch einen signifikanten Anstieg, der in Österreich, der Tschechischen Republik und Slowenien erheblich war.</w:t>
            </w:r>
          </w:p>
          <w:p>
            <w:pPr>
              <w:pStyle w:val="Liste2"/>
              <w:rPr>
                <w:lang w:val="de-DE"/>
              </w:rPr>
            </w:pPr>
            <w:r>
              <w:rPr>
                <w:lang w:val="de-DE"/>
              </w:rPr>
              <w:lastRenderedPageBreak/>
              <w:t>Veränderung der psychischen Gesundheit während der Pandemie oder der Lockdowns (Bereich Inanspruchnahme):</w:t>
            </w:r>
          </w:p>
          <w:p>
            <w:pPr>
              <w:pStyle w:val="Liste2"/>
              <w:numPr>
                <w:ilvl w:val="1"/>
                <w:numId w:val="7"/>
              </w:numPr>
              <w:rPr>
                <w:lang w:val="de-DE"/>
              </w:rPr>
            </w:pPr>
            <w:r>
              <w:rPr>
                <w:lang w:val="de-DE"/>
              </w:rPr>
              <w:t>Beispiel hier bezieht sich auf Finnland: Gesamtbesuche versus Erstkontakte mit Versorgungseinrichtungen der mentalen Gesundheit</w:t>
            </w:r>
          </w:p>
          <w:p>
            <w:pPr>
              <w:pStyle w:val="Liste2"/>
              <w:numPr>
                <w:ilvl w:val="1"/>
                <w:numId w:val="7"/>
              </w:numPr>
              <w:rPr>
                <w:lang w:val="de-DE"/>
              </w:rPr>
            </w:pPr>
            <w:r>
              <w:rPr>
                <w:lang w:val="de-DE"/>
              </w:rPr>
              <w:t xml:space="preserve">In den Sommermonaten das typische Sommerloch mit einem Rückgang der Zahlen </w:t>
            </w:r>
            <w:r>
              <w:rPr>
                <w:lang w:val="de-DE"/>
              </w:rPr>
              <w:sym w:font="Wingdings" w:char="F0E0"/>
            </w:r>
            <w:r>
              <w:rPr>
                <w:lang w:val="de-DE"/>
              </w:rPr>
              <w:t xml:space="preserve"> Anstieg der Gesamtbesuche von 2019-2021 von 7%</w:t>
            </w:r>
          </w:p>
          <w:p>
            <w:pPr>
              <w:pStyle w:val="Liste2"/>
              <w:numPr>
                <w:ilvl w:val="1"/>
                <w:numId w:val="7"/>
              </w:numPr>
              <w:rPr>
                <w:lang w:val="de-DE"/>
              </w:rPr>
            </w:pPr>
            <w:r>
              <w:rPr>
                <w:lang w:val="de-DE"/>
              </w:rPr>
              <w:t xml:space="preserve">Dagegen sind die Erstkontakte um 6% stark gesunken  </w:t>
            </w:r>
          </w:p>
          <w:p>
            <w:pPr>
              <w:pStyle w:val="Liste2"/>
              <w:rPr>
                <w:lang w:val="de-DE"/>
              </w:rPr>
            </w:pPr>
            <w:r>
              <w:rPr>
                <w:lang w:val="de-DE"/>
              </w:rPr>
              <w:t>Diagnosen von Depressionen:</w:t>
            </w:r>
          </w:p>
          <w:p>
            <w:pPr>
              <w:pStyle w:val="Liste2"/>
              <w:numPr>
                <w:ilvl w:val="1"/>
                <w:numId w:val="7"/>
              </w:numPr>
              <w:rPr>
                <w:lang w:val="de-DE"/>
              </w:rPr>
            </w:pPr>
            <w:r>
              <w:rPr>
                <w:lang w:val="de-DE"/>
              </w:rPr>
              <w:t>Bei beiden Geschlechtern großer Spike nach unten in 2020 und insgesamt liegt die Anzahl diagnostizierter Depression in 2020-2021 klar unter dem Niveau von 2017-2019 als vorpandemischer Zeiten.</w:t>
            </w:r>
          </w:p>
          <w:p>
            <w:pPr>
              <w:pStyle w:val="Liste2"/>
              <w:numPr>
                <w:ilvl w:val="0"/>
                <w:numId w:val="0"/>
              </w:numPr>
              <w:rPr>
                <w:i/>
                <w:lang w:val="de-DE"/>
              </w:rPr>
            </w:pPr>
            <w:r>
              <w:rPr>
                <w:i/>
                <w:lang w:val="de-DE"/>
              </w:rPr>
              <w:t>Diskussion</w:t>
            </w:r>
          </w:p>
          <w:p>
            <w:pPr>
              <w:pStyle w:val="Liste2"/>
              <w:numPr>
                <w:ilvl w:val="0"/>
                <w:numId w:val="23"/>
              </w:numPr>
              <w:rPr>
                <w:lang w:val="de-DE"/>
              </w:rPr>
            </w:pPr>
            <w:r>
              <w:rPr>
                <w:lang w:val="de-DE"/>
              </w:rPr>
              <w:t>Deutsche Daten liegen vor, müssen analysiert werden</w:t>
            </w:r>
          </w:p>
          <w:p>
            <w:pPr>
              <w:pStyle w:val="Liste2"/>
              <w:numPr>
                <w:ilvl w:val="0"/>
                <w:numId w:val="23"/>
              </w:numPr>
              <w:rPr>
                <w:lang w:val="de-DE"/>
              </w:rPr>
            </w:pPr>
            <w:r>
              <w:rPr>
                <w:lang w:val="de-DE"/>
              </w:rPr>
              <w:t xml:space="preserve">Rückgänge können unterschiedliche Erklärungsmuster haben </w:t>
            </w:r>
          </w:p>
          <w:p>
            <w:pPr>
              <w:pStyle w:val="Liste2"/>
              <w:numPr>
                <w:ilvl w:val="0"/>
                <w:numId w:val="23"/>
              </w:numPr>
              <w:rPr>
                <w:lang w:val="de-DE"/>
              </w:rPr>
            </w:pPr>
            <w:r>
              <w:rPr>
                <w:lang w:val="de-DE"/>
              </w:rPr>
              <w:t>Verzögerte Diagnostik, Interpretation der Datenlage ist schwierig, da aggregierte Daten</w:t>
            </w:r>
          </w:p>
          <w:p>
            <w:pPr>
              <w:pStyle w:val="Liste2"/>
              <w:numPr>
                <w:ilvl w:val="0"/>
                <w:numId w:val="0"/>
              </w:numPr>
              <w:ind w:left="473"/>
              <w:rPr>
                <w:lang w:val="de-DE"/>
              </w:rPr>
            </w:pPr>
            <w:r>
              <w:rPr>
                <w:lang w:val="de-DE"/>
              </w:rPr>
              <w:t xml:space="preserve"> </w:t>
            </w:r>
          </w:p>
        </w:tc>
        <w:tc>
          <w:tcPr>
            <w:tcW w:w="1463" w:type="dxa"/>
          </w:tcPr>
          <w:p>
            <w:pPr>
              <w:rPr>
                <w:sz w:val="22"/>
                <w:szCs w:val="22"/>
              </w:rPr>
            </w:pPr>
          </w:p>
          <w:p>
            <w:pPr>
              <w:rPr>
                <w:sz w:val="22"/>
                <w:szCs w:val="22"/>
              </w:rPr>
            </w:pPr>
            <w:r>
              <w:rPr>
                <w:sz w:val="22"/>
                <w:szCs w:val="22"/>
              </w:rPr>
              <w:t>FG24</w:t>
            </w:r>
          </w:p>
          <w:p>
            <w:pPr>
              <w:rPr>
                <w:sz w:val="22"/>
                <w:szCs w:val="22"/>
              </w:rPr>
            </w:pPr>
            <w:r>
              <w:rPr>
                <w:sz w:val="22"/>
                <w:szCs w:val="22"/>
              </w:rPr>
              <w:t>(</w:t>
            </w:r>
            <w:proofErr w:type="spellStart"/>
            <w:r>
              <w:rPr>
                <w:sz w:val="22"/>
                <w:szCs w:val="22"/>
              </w:rPr>
              <w:t>Thißen</w:t>
            </w:r>
            <w:proofErr w:type="spellEnd"/>
            <w:r>
              <w:rPr>
                <w:sz w:val="22"/>
                <w:szCs w:val="22"/>
              </w:rPr>
              <w:t>)</w:t>
            </w:r>
          </w:p>
        </w:tc>
      </w:tr>
      <w:tr>
        <w:tc>
          <w:tcPr>
            <w:tcW w:w="684" w:type="dxa"/>
          </w:tcPr>
          <w:p>
            <w:pPr>
              <w:rPr>
                <w:b/>
              </w:rPr>
            </w:pPr>
            <w:r>
              <w:rPr>
                <w:b/>
              </w:rPr>
              <w:lastRenderedPageBreak/>
              <w:t>6</w:t>
            </w:r>
          </w:p>
        </w:tc>
        <w:tc>
          <w:tcPr>
            <w:tcW w:w="6824" w:type="dxa"/>
          </w:tcPr>
          <w:p>
            <w:pPr>
              <w:pStyle w:val="1"/>
            </w:pPr>
            <w:r>
              <w:t>Aktuelle Risikobewertung</w:t>
            </w:r>
          </w:p>
          <w:p>
            <w:pPr>
              <w:pStyle w:val="Liste1"/>
            </w:pPr>
            <w:r>
              <w:t xml:space="preserve">  (nicht berichtet)</w:t>
            </w:r>
          </w:p>
        </w:tc>
        <w:tc>
          <w:tcPr>
            <w:tcW w:w="1463" w:type="dxa"/>
          </w:tcPr>
          <w:p>
            <w:pPr>
              <w:rPr>
                <w:sz w:val="22"/>
                <w:szCs w:val="22"/>
              </w:rPr>
            </w:pPr>
            <w:r>
              <w:rPr>
                <w:sz w:val="22"/>
                <w:szCs w:val="22"/>
              </w:rPr>
              <w:t>FG31</w:t>
            </w:r>
          </w:p>
          <w:p>
            <w:pPr>
              <w:rPr>
                <w:sz w:val="22"/>
                <w:szCs w:val="22"/>
              </w:rPr>
            </w:pPr>
            <w:r>
              <w:rPr>
                <w:sz w:val="22"/>
                <w:szCs w:val="22"/>
              </w:rPr>
              <w:t>(Rexroth)</w:t>
            </w:r>
          </w:p>
        </w:tc>
      </w:tr>
      <w:tr>
        <w:tc>
          <w:tcPr>
            <w:tcW w:w="684" w:type="dxa"/>
          </w:tcPr>
          <w:p>
            <w:pPr>
              <w:rPr>
                <w:b/>
              </w:rPr>
            </w:pPr>
            <w:r>
              <w:rPr>
                <w:b/>
              </w:rPr>
              <w:t>7</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tc>
        <w:tc>
          <w:tcPr>
            <w:tcW w:w="1463" w:type="dxa"/>
          </w:tcPr>
          <w:p>
            <w:pPr>
              <w:rPr>
                <w:sz w:val="22"/>
                <w:szCs w:val="22"/>
              </w:rPr>
            </w:pPr>
          </w:p>
        </w:tc>
      </w:tr>
      <w:tr>
        <w:trPr>
          <w:trHeight w:val="518"/>
        </w:trPr>
        <w:tc>
          <w:tcPr>
            <w:tcW w:w="684" w:type="dxa"/>
          </w:tcPr>
          <w:p>
            <w:pPr>
              <w:rPr>
                <w:b/>
              </w:rPr>
            </w:pPr>
            <w:r>
              <w:rPr>
                <w:b/>
              </w:rPr>
              <w:t>8</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Überarbeitung FAQ COVID-19</w:t>
            </w:r>
          </w:p>
          <w:p>
            <w:pPr>
              <w:pStyle w:val="2"/>
            </w:pPr>
            <w:r>
              <w:t>P1</w:t>
            </w:r>
          </w:p>
          <w:p>
            <w:pPr>
              <w:pStyle w:val="Liste1"/>
              <w:rPr>
                <w:i/>
              </w:rPr>
            </w:pPr>
            <w:r>
              <w:t>(nicht berichtet)</w:t>
            </w:r>
          </w:p>
        </w:tc>
        <w:tc>
          <w:tcPr>
            <w:tcW w:w="1463"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Horstkötter</w:t>
            </w:r>
            <w:proofErr w:type="spellEnd"/>
            <w:r>
              <w:rPr>
                <w:sz w:val="22"/>
                <w:szCs w:val="22"/>
              </w:rPr>
              <w:t>)</w:t>
            </w:r>
            <w:r>
              <w:rPr>
                <w:sz w:val="22"/>
                <w:szCs w:val="22"/>
              </w:rPr>
              <w:br/>
            </w:r>
          </w:p>
          <w:p>
            <w:pPr>
              <w:rPr>
                <w:sz w:val="22"/>
                <w:szCs w:val="22"/>
              </w:rPr>
            </w:pPr>
          </w:p>
          <w:p>
            <w:pPr>
              <w:rPr>
                <w:sz w:val="22"/>
                <w:szCs w:val="22"/>
              </w:rPr>
            </w:pPr>
            <w:r>
              <w:rPr>
                <w:sz w:val="22"/>
                <w:szCs w:val="22"/>
              </w:rPr>
              <w:t>Presse</w:t>
            </w:r>
          </w:p>
          <w:p>
            <w:pPr>
              <w:rPr>
                <w:sz w:val="22"/>
                <w:szCs w:val="22"/>
              </w:rPr>
            </w:pPr>
            <w:r>
              <w:rPr>
                <w:sz w:val="22"/>
                <w:szCs w:val="22"/>
              </w:rPr>
              <w:t>(Degen)</w:t>
            </w:r>
            <w:r>
              <w:rPr>
                <w:sz w:val="22"/>
                <w:szCs w:val="22"/>
              </w:rPr>
              <w:br/>
            </w:r>
          </w:p>
          <w:p>
            <w:pPr>
              <w:rPr>
                <w:sz w:val="22"/>
                <w:szCs w:val="22"/>
              </w:rPr>
            </w:pPr>
          </w:p>
          <w:p>
            <w:pPr>
              <w:rPr>
                <w:sz w:val="22"/>
                <w:szCs w:val="22"/>
              </w:rPr>
            </w:pPr>
            <w:r>
              <w:rPr>
                <w:sz w:val="22"/>
                <w:szCs w:val="22"/>
              </w:rPr>
              <w:t>P1</w:t>
            </w:r>
            <w:r>
              <w:rPr>
                <w:sz w:val="22"/>
                <w:szCs w:val="22"/>
              </w:rPr>
              <w:br/>
              <w:t>(Lein)</w:t>
            </w:r>
          </w:p>
        </w:tc>
      </w:tr>
      <w:tr>
        <w:tc>
          <w:tcPr>
            <w:tcW w:w="684" w:type="dxa"/>
          </w:tcPr>
          <w:p>
            <w:pPr>
              <w:rPr>
                <w:b/>
              </w:rPr>
            </w:pPr>
            <w:r>
              <w:rPr>
                <w:b/>
              </w:rPr>
              <w:t>9</w:t>
            </w:r>
          </w:p>
        </w:tc>
        <w:tc>
          <w:tcPr>
            <w:tcW w:w="6824" w:type="dxa"/>
          </w:tcPr>
          <w:p>
            <w:pPr>
              <w:pStyle w:val="1"/>
            </w:pPr>
            <w:r>
              <w:t>RKI-Strategie Fragen</w:t>
            </w:r>
          </w:p>
          <w:p>
            <w:pPr>
              <w:pStyle w:val="2"/>
            </w:pPr>
            <w:r>
              <w:t>Allgemein</w:t>
            </w:r>
          </w:p>
          <w:p>
            <w:pPr>
              <w:pStyle w:val="Liste1"/>
            </w:pPr>
            <w:r>
              <w:t>Bericht Impfungen Bewohnende/Beschäftigte/Gäste in Einrichtungen</w:t>
            </w:r>
          </w:p>
          <w:p>
            <w:pPr>
              <w:pStyle w:val="Liste3"/>
            </w:pPr>
            <w:r>
              <w:t>Daten von 12.000 Altenheimen, Veröffentlichung am 22.08.2022</w:t>
            </w:r>
          </w:p>
          <w:p>
            <w:pPr>
              <w:pStyle w:val="Liste3"/>
            </w:pPr>
            <w:r>
              <w:t>4. Impfung bei Bewohnenden und Gästen häufiger als bei Beschäftigten</w:t>
            </w:r>
          </w:p>
          <w:p>
            <w:pPr>
              <w:pStyle w:val="Liste3"/>
            </w:pPr>
            <w:r>
              <w:t>Entwicklung April 2022 – Mai 2022: keine großen Veränderungen, nur 4. Impfung</w:t>
            </w:r>
          </w:p>
          <w:p>
            <w:pPr>
              <w:pStyle w:val="Liste3"/>
            </w:pPr>
            <w:r>
              <w:lastRenderedPageBreak/>
              <w:t>Impfquote nach Beschäftigte nach BL: in Sachsen 17% keine Impfung, Unterscheidung nach LK: Leipzig mit 5% im Durchschnitt</w:t>
            </w:r>
          </w:p>
          <w:p>
            <w:pPr>
              <w:pStyle w:val="Liste3"/>
            </w:pPr>
            <w:r>
              <w:t>Höchste Übersterblichkeit in Sachsen</w:t>
            </w:r>
          </w:p>
          <w:p>
            <w:pPr>
              <w:pStyle w:val="Liste3"/>
            </w:pPr>
            <w:r>
              <w:t>Wunsch nach Unterstützung, da ab 01.01.23 Wegfall der Containment Scouts, Antrag wird gestellt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FG37</w:t>
            </w:r>
          </w:p>
          <w:p>
            <w:pPr>
              <w:rPr>
                <w:sz w:val="22"/>
                <w:szCs w:val="22"/>
                <w:lang w:val="en-GB"/>
              </w:rPr>
            </w:pPr>
            <w:r>
              <w:rPr>
                <w:sz w:val="22"/>
                <w:szCs w:val="22"/>
                <w:lang w:val="en-GB"/>
              </w:rPr>
              <w:t>(Eckmanns)</w:t>
            </w:r>
          </w:p>
        </w:tc>
      </w:tr>
      <w:tr>
        <w:tc>
          <w:tcPr>
            <w:tcW w:w="684" w:type="dxa"/>
          </w:tcPr>
          <w:p>
            <w:pPr>
              <w:rPr>
                <w:b/>
              </w:rPr>
            </w:pPr>
            <w:r>
              <w:rPr>
                <w:b/>
              </w:rPr>
              <w:t>10</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 xml:space="preserve">Als Info: Die Eingliederungshilfe soll abgedeckt werden durch KRINKO, eine </w:t>
            </w:r>
            <w:proofErr w:type="spellStart"/>
            <w:r>
              <w:t>Adhoc</w:t>
            </w:r>
            <w:proofErr w:type="spellEnd"/>
            <w:r>
              <w:t xml:space="preserve"> AG wird eingerichtet, FG14 und FG37 unterstützt hier. Erwartung: Ende August/Anfang September Treffen, Ende September Bericht Abdeckung Eingliederungshilfe. BMG will Informationen hierzu vorliegen haben. </w:t>
            </w:r>
          </w:p>
          <w:p>
            <w:pPr>
              <w:pStyle w:val="Liste1"/>
            </w:pPr>
            <w:proofErr w:type="spellStart"/>
            <w:r>
              <w:t>Adhoc</w:t>
            </w:r>
            <w:proofErr w:type="spellEnd"/>
            <w:r>
              <w:t xml:space="preserve"> AG ist erstmal unabhängig von KRINKO, soll aber langfristig von KRINKO übernommen werden</w:t>
            </w:r>
          </w:p>
        </w:tc>
        <w:tc>
          <w:tcPr>
            <w:tcW w:w="1463" w:type="dxa"/>
          </w:tcPr>
          <w:p>
            <w:pPr>
              <w:rPr>
                <w:sz w:val="22"/>
                <w:szCs w:val="22"/>
              </w:rPr>
            </w:pPr>
          </w:p>
          <w:p>
            <w:pPr>
              <w:rPr>
                <w:sz w:val="22"/>
                <w:szCs w:val="22"/>
              </w:rPr>
            </w:pPr>
            <w:r>
              <w:rPr>
                <w:sz w:val="22"/>
                <w:szCs w:val="22"/>
              </w:rPr>
              <w:t>FG37</w:t>
            </w:r>
          </w:p>
          <w:p>
            <w:pPr>
              <w:rPr>
                <w:sz w:val="22"/>
                <w:szCs w:val="22"/>
              </w:rPr>
            </w:pPr>
            <w:r>
              <w:rPr>
                <w:sz w:val="22"/>
                <w:szCs w:val="22"/>
              </w:rPr>
              <w:t>(Eckmanns)</w:t>
            </w:r>
          </w:p>
        </w:tc>
      </w:tr>
      <w:tr>
        <w:tc>
          <w:tcPr>
            <w:tcW w:w="684" w:type="dxa"/>
          </w:tcPr>
          <w:p>
            <w:pPr>
              <w:rPr>
                <w:b/>
              </w:rPr>
            </w:pPr>
            <w:r>
              <w:rPr>
                <w:b/>
              </w:rPr>
              <w:t>13</w:t>
            </w:r>
          </w:p>
        </w:tc>
        <w:tc>
          <w:tcPr>
            <w:tcW w:w="6824" w:type="dxa"/>
          </w:tcPr>
          <w:p>
            <w:pPr>
              <w:pStyle w:val="1"/>
              <w:rPr>
                <w:sz w:val="22"/>
              </w:rPr>
            </w:pPr>
            <w:r>
              <w:t>Surveillance</w:t>
            </w:r>
          </w:p>
          <w:p>
            <w:pPr>
              <w:pStyle w:val="Liste1"/>
              <w:rPr>
                <w:lang w:val="en-US"/>
              </w:rPr>
            </w:pPr>
            <w:r>
              <w:rPr>
                <w:lang w:val="en-US"/>
              </w:rPr>
              <w:t>Analysis of COVID-19 and Influenza mortality in Germany using a flexible spline model</w:t>
            </w:r>
          </w:p>
          <w:p>
            <w:pPr>
              <w:pStyle w:val="Liste3"/>
            </w:pPr>
            <w:r>
              <w:t xml:space="preserve">Fragestellung: Wie zeigt sich die COVID-19 Pandemie (bis zum Ende der vierten Welle) in der Gesamtmortalität in Deutschland? </w:t>
            </w:r>
          </w:p>
          <w:p>
            <w:pPr>
              <w:pStyle w:val="Liste3"/>
            </w:pPr>
            <w:r>
              <w:t>Modellierungsschritt 1: Verlauf der Gesamtmortalität</w:t>
            </w:r>
          </w:p>
          <w:p>
            <w:pPr>
              <w:pStyle w:val="Liste3"/>
            </w:pPr>
            <w:r>
              <w:t xml:space="preserve"> Erklärende Variablen: gemeldete Influenza Infektionsfälle, gemeldete COVID-19 Sterbefälle „verstorben an“) </w:t>
            </w:r>
          </w:p>
          <w:p>
            <w:pPr>
              <w:pStyle w:val="Liste3"/>
            </w:pPr>
            <w:r>
              <w:t>Modellierungsschritt 2: Verlauf der Hintergrundmortalität</w:t>
            </w:r>
          </w:p>
          <w:p>
            <w:pPr>
              <w:pStyle w:val="Liste3"/>
            </w:pPr>
            <w:r>
              <w:t>Einfluss der Influenzafälle und COVID-19 Sterbefälle wird auf 0 gesetzt</w:t>
            </w:r>
          </w:p>
          <w:p>
            <w:pPr>
              <w:pStyle w:val="Liste3"/>
              <w:numPr>
                <w:ilvl w:val="0"/>
                <w:numId w:val="0"/>
              </w:numPr>
              <w:ind w:left="1193" w:hanging="360"/>
            </w:pPr>
            <w:r>
              <w:tab/>
              <w:t>Modellierungsschritt 3: Differenz der modellierten Mortalität und der Hintergrundmortalität</w:t>
            </w:r>
          </w:p>
          <w:p>
            <w:pPr>
              <w:pStyle w:val="Liste3"/>
              <w:numPr>
                <w:ilvl w:val="0"/>
                <w:numId w:val="25"/>
              </w:numPr>
            </w:pPr>
            <w:r>
              <w:t>Geschätzte Anzahl COVID-19 assoziierte Sterbefälle übersteigt die gemeldeten Sterbefälle</w:t>
            </w:r>
          </w:p>
          <w:p>
            <w:pPr>
              <w:pStyle w:val="Liste3"/>
              <w:numPr>
                <w:ilvl w:val="0"/>
                <w:numId w:val="25"/>
              </w:numPr>
            </w:pPr>
            <w:r>
              <w:t>Aufsplittung nach Wellen</w:t>
            </w:r>
          </w:p>
          <w:p>
            <w:pPr>
              <w:pStyle w:val="Liste3"/>
              <w:numPr>
                <w:ilvl w:val="0"/>
                <w:numId w:val="25"/>
              </w:numPr>
            </w:pPr>
            <w:r>
              <w:t>COVID-19 assoziierte Mortalität direkt und indirekt</w:t>
            </w:r>
          </w:p>
          <w:p>
            <w:pPr>
              <w:pStyle w:val="Liste3"/>
              <w:numPr>
                <w:ilvl w:val="0"/>
                <w:numId w:val="25"/>
              </w:numPr>
            </w:pPr>
            <w:r>
              <w:t>In Welle 4 übersteigt die geschätzte Anzahl die gemeldeten Fälle um 81% (45)</w:t>
            </w:r>
          </w:p>
          <w:p>
            <w:pPr>
              <w:pStyle w:val="Liste3"/>
              <w:numPr>
                <w:ilvl w:val="0"/>
                <w:numId w:val="0"/>
              </w:numPr>
            </w:pPr>
          </w:p>
          <w:p>
            <w:pPr>
              <w:pStyle w:val="Liste3"/>
              <w:numPr>
                <w:ilvl w:val="0"/>
                <w:numId w:val="0"/>
              </w:numPr>
              <w:rPr>
                <w:i/>
              </w:rPr>
            </w:pPr>
            <w:r>
              <w:rPr>
                <w:i/>
              </w:rPr>
              <w:t>Diskussion</w:t>
            </w:r>
          </w:p>
          <w:p>
            <w:pPr>
              <w:pStyle w:val="Liste3"/>
              <w:numPr>
                <w:ilvl w:val="0"/>
                <w:numId w:val="26"/>
              </w:numPr>
            </w:pPr>
            <w:r>
              <w:t>Irritation bei Untererfassung der gemeldeten Sterbefälle, im Alter 123%, Impfung im Altenheim wurde als effektiv angenommen, mit den Zahlen würde sich eine massive Unterschätzung darstellen</w:t>
            </w:r>
          </w:p>
          <w:p>
            <w:pPr>
              <w:pStyle w:val="Liste3"/>
              <w:numPr>
                <w:ilvl w:val="1"/>
                <w:numId w:val="26"/>
              </w:numPr>
            </w:pPr>
            <w:r>
              <w:lastRenderedPageBreak/>
              <w:t>Impfeffekt wird in dritter Welle gezeigt</w:t>
            </w:r>
          </w:p>
          <w:p>
            <w:pPr>
              <w:pStyle w:val="Liste3"/>
              <w:numPr>
                <w:ilvl w:val="1"/>
                <w:numId w:val="26"/>
              </w:numPr>
            </w:pPr>
            <w:r>
              <w:t>In vierte Welle wird ein indirekter Zusammenhang mit COVID angenommen. Es müssen nicht COVID-19 Sterbefälle sein</w:t>
            </w:r>
          </w:p>
          <w:p>
            <w:pPr>
              <w:pStyle w:val="Liste3"/>
              <w:numPr>
                <w:ilvl w:val="1"/>
                <w:numId w:val="26"/>
              </w:numPr>
            </w:pPr>
            <w:r>
              <w:t>Hoher Anteil an Todesfälle ist unplausibel, Möglichkeiten könnten sein, dass es ambulante Todesfälle sind oder im Meldewesen liegt</w:t>
            </w:r>
          </w:p>
          <w:p>
            <w:pPr>
              <w:pStyle w:val="Liste3"/>
              <w:numPr>
                <w:ilvl w:val="1"/>
                <w:numId w:val="26"/>
              </w:numPr>
            </w:pPr>
            <w:r>
              <w:t>Abgesenkte Hintergrundmortalität in zweiter Welle</w:t>
            </w:r>
          </w:p>
          <w:p>
            <w:pPr>
              <w:pStyle w:val="Liste3"/>
              <w:numPr>
                <w:ilvl w:val="1"/>
                <w:numId w:val="26"/>
              </w:numPr>
            </w:pPr>
            <w:r>
              <w:t>In vierter Welle ist Hintergrundmortalität höher</w:t>
            </w:r>
          </w:p>
          <w:p>
            <w:pPr>
              <w:pStyle w:val="Liste3"/>
              <w:numPr>
                <w:ilvl w:val="1"/>
                <w:numId w:val="26"/>
              </w:numPr>
            </w:pPr>
            <w:r>
              <w:t>Todesursachenstatistik in vierter Welle kann erst bald abgelesen werden</w:t>
            </w:r>
          </w:p>
          <w:p>
            <w:pPr>
              <w:pStyle w:val="Liste3"/>
              <w:numPr>
                <w:ilvl w:val="1"/>
                <w:numId w:val="26"/>
              </w:numPr>
            </w:pPr>
            <w:r>
              <w:t>Untererfassung im Meldewesen scheint unplausibel</w:t>
            </w:r>
          </w:p>
          <w:p>
            <w:pPr>
              <w:pStyle w:val="Liste3"/>
              <w:numPr>
                <w:ilvl w:val="0"/>
                <w:numId w:val="0"/>
              </w:numPr>
              <w:rPr>
                <w:i/>
              </w:rPr>
            </w:pPr>
            <w:proofErr w:type="spellStart"/>
            <w:r>
              <w:rPr>
                <w:b/>
                <w:i/>
              </w:rPr>
              <w:t>ToDo</w:t>
            </w:r>
            <w:proofErr w:type="spellEnd"/>
            <w:r>
              <w:rPr>
                <w:i/>
              </w:rPr>
              <w:t xml:space="preserve"> </w:t>
            </w:r>
          </w:p>
          <w:p>
            <w:pPr>
              <w:pStyle w:val="Liste3"/>
              <w:numPr>
                <w:ilvl w:val="0"/>
                <w:numId w:val="0"/>
              </w:numPr>
              <w:rPr>
                <w:i/>
              </w:rPr>
            </w:pPr>
            <w:r>
              <w:rPr>
                <w:i/>
              </w:rPr>
              <w:t>Abt. 3, FG32, FG36, Abt.2 erneutes Gespräch</w:t>
            </w:r>
          </w:p>
          <w:p>
            <w:pPr>
              <w:pStyle w:val="Liste3"/>
              <w:numPr>
                <w:ilvl w:val="0"/>
                <w:numId w:val="0"/>
              </w:numPr>
            </w:pPr>
          </w:p>
          <w:p>
            <w:pPr>
              <w:pStyle w:val="Liste1"/>
            </w:pPr>
            <w:r>
              <w:t>Corona-Datenspende</w:t>
            </w:r>
          </w:p>
          <w:p>
            <w:pPr>
              <w:pStyle w:val="Liste3"/>
            </w:pPr>
            <w:r>
              <w:t>Daten aus Fitnesstrackern</w:t>
            </w:r>
          </w:p>
          <w:p>
            <w:pPr>
              <w:pStyle w:val="Liste3"/>
            </w:pPr>
            <w:r>
              <w:t>Studienkohorte zwischen 18-60 Jahre (nicht repräsentative Gruppe)</w:t>
            </w:r>
          </w:p>
          <w:p>
            <w:pPr>
              <w:pStyle w:val="Liste3"/>
            </w:pPr>
            <w:r>
              <w:t>Testergebnisse/Symptome/Long-</w:t>
            </w:r>
            <w:proofErr w:type="spellStart"/>
            <w:r>
              <w:t>Covid</w:t>
            </w:r>
            <w:proofErr w:type="spellEnd"/>
            <w:r>
              <w:t xml:space="preserve"> als Themen</w:t>
            </w:r>
          </w:p>
          <w:p>
            <w:pPr>
              <w:pStyle w:val="Liste3"/>
            </w:pPr>
            <w:r>
              <w:t>30.000 Nutzende 230.000 Testergebnisse berichtet, hiervon 13.000 positive</w:t>
            </w:r>
          </w:p>
          <w:p>
            <w:pPr>
              <w:pStyle w:val="Liste3"/>
            </w:pPr>
            <w:r>
              <w:t>Testergebnisse und Symptome werden verglichen</w:t>
            </w:r>
          </w:p>
          <w:p>
            <w:pPr>
              <w:pStyle w:val="Liste3"/>
            </w:pPr>
            <w:r>
              <w:t>Tatsächliche Inzidenzbestimmung ist schwierig</w:t>
            </w:r>
          </w:p>
          <w:p>
            <w:pPr>
              <w:pStyle w:val="Liste3"/>
            </w:pPr>
            <w:r>
              <w:t>Letzte Welle Infektionen steigen stärker an als in offizieller Statistik</w:t>
            </w:r>
          </w:p>
          <w:p>
            <w:pPr>
              <w:pStyle w:val="Liste3"/>
            </w:pPr>
            <w:r>
              <w:t>Stieg um das 15-fache an</w:t>
            </w:r>
          </w:p>
          <w:p>
            <w:pPr>
              <w:pStyle w:val="Liste3"/>
            </w:pPr>
            <w:r>
              <w:t xml:space="preserve">Ähnliche Daten bei amerikanischen </w:t>
            </w:r>
            <w:proofErr w:type="spellStart"/>
            <w:proofErr w:type="gramStart"/>
            <w:r>
              <w:t>Kolleg:innen</w:t>
            </w:r>
            <w:proofErr w:type="spellEnd"/>
            <w:proofErr w:type="gramEnd"/>
          </w:p>
          <w:p>
            <w:pPr>
              <w:pStyle w:val="Liste3"/>
            </w:pPr>
            <w:r>
              <w:t>Unterschiedliche Testtypen: Anzahl Infektion mit PCR-bestätigt nimmt ab, überwiegend Antigentest</w:t>
            </w:r>
          </w:p>
          <w:p>
            <w:pPr>
              <w:pStyle w:val="Liste3"/>
            </w:pPr>
            <w:r>
              <w:t>Geschätzte Inzidenz geteilt durch die offizielle Inzidenz und Verhältnis Antigen/PCR weist deutliche Korrelation auf</w:t>
            </w:r>
          </w:p>
          <w:p>
            <w:pPr>
              <w:pStyle w:val="Liste3"/>
              <w:numPr>
                <w:ilvl w:val="0"/>
                <w:numId w:val="0"/>
              </w:numPr>
              <w:rPr>
                <w:i/>
              </w:rPr>
            </w:pPr>
            <w:r>
              <w:rPr>
                <w:i/>
              </w:rPr>
              <w:t>Diskussion</w:t>
            </w:r>
          </w:p>
          <w:p>
            <w:pPr>
              <w:pStyle w:val="Liste3"/>
              <w:numPr>
                <w:ilvl w:val="0"/>
                <w:numId w:val="26"/>
              </w:numPr>
            </w:pPr>
            <w:r>
              <w:t>Weniger schwere Erkrankungen und Todesfälle in Omikron-Welle, mehr Antigentestungen bei wenigen Symptomen</w:t>
            </w:r>
          </w:p>
          <w:p>
            <w:pPr>
              <w:pStyle w:val="Liste3"/>
              <w:numPr>
                <w:ilvl w:val="0"/>
                <w:numId w:val="26"/>
              </w:numPr>
            </w:pPr>
            <w:r>
              <w:t xml:space="preserve">Anfang der Pandemie: Jede Infektion zu erfassen. Kann kein </w:t>
            </w:r>
            <w:proofErr w:type="spellStart"/>
            <w:r>
              <w:t>Surveillancesystem</w:t>
            </w:r>
            <w:proofErr w:type="spellEnd"/>
            <w:r>
              <w:t xml:space="preserve"> leisten. Trends durch Arztbesuche abbilden. Wandel; nicht jeder geht zum Arzt, ist aber auch nicht notwendig</w:t>
            </w:r>
          </w:p>
          <w:p>
            <w:pPr>
              <w:pStyle w:val="Liste3"/>
              <w:numPr>
                <w:ilvl w:val="0"/>
                <w:numId w:val="26"/>
              </w:numPr>
            </w:pPr>
            <w:r>
              <w:t>In Meldedaten können Trends abgelesen werden</w:t>
            </w:r>
          </w:p>
          <w:p>
            <w:pPr>
              <w:pStyle w:val="Liste3"/>
              <w:numPr>
                <w:ilvl w:val="0"/>
                <w:numId w:val="26"/>
              </w:numPr>
            </w:pPr>
            <w:r>
              <w:t>Lösen wir das Problem der Untererfassung, indem Antigenteste meldepflichtig gemacht werden?</w:t>
            </w:r>
          </w:p>
          <w:p>
            <w:pPr>
              <w:pStyle w:val="Liste3"/>
              <w:numPr>
                <w:ilvl w:val="0"/>
                <w:numId w:val="26"/>
              </w:numPr>
            </w:pPr>
            <w:r>
              <w:t>Unter aktuelle Lage wäre ein Slot gewesen, zur besseren Kommunikation wäre eine Information vorab besser gewesen</w:t>
            </w:r>
          </w:p>
          <w:p>
            <w:pPr>
              <w:pStyle w:val="Liste3"/>
              <w:numPr>
                <w:ilvl w:val="0"/>
                <w:numId w:val="26"/>
              </w:numPr>
            </w:pPr>
            <w:r>
              <w:t>Meldeinzidenz mit junger Datengruppe vergleichen?</w:t>
            </w:r>
          </w:p>
          <w:p>
            <w:pPr>
              <w:pStyle w:val="Liste3"/>
              <w:numPr>
                <w:ilvl w:val="1"/>
                <w:numId w:val="26"/>
              </w:numPr>
            </w:pPr>
            <w:r>
              <w:t>Wurde durchgeführt, sieht extremer aus</w:t>
            </w:r>
          </w:p>
          <w:p>
            <w:pPr>
              <w:pStyle w:val="Liste3"/>
              <w:numPr>
                <w:ilvl w:val="0"/>
                <w:numId w:val="0"/>
              </w:numPr>
            </w:pPr>
          </w:p>
          <w:p>
            <w:pPr>
              <w:pStyle w:val="Liste3"/>
              <w:numPr>
                <w:ilvl w:val="0"/>
                <w:numId w:val="0"/>
              </w:numPr>
              <w:rPr>
                <w:b/>
                <w:i/>
              </w:rPr>
            </w:pPr>
            <w:proofErr w:type="spellStart"/>
            <w:r>
              <w:rPr>
                <w:b/>
                <w:i/>
              </w:rPr>
              <w:t>ToDo</w:t>
            </w:r>
            <w:proofErr w:type="spellEnd"/>
          </w:p>
          <w:p>
            <w:pPr>
              <w:pStyle w:val="Liste3"/>
              <w:numPr>
                <w:ilvl w:val="0"/>
                <w:numId w:val="0"/>
              </w:numPr>
              <w:rPr>
                <w:i/>
              </w:rPr>
            </w:pPr>
            <w:r>
              <w:rPr>
                <w:i/>
              </w:rPr>
              <w:t>Darstellung der Untererfassung in einer FAQ (FG32, FG36, Presse). Entwurf durch FG32 und FG36</w:t>
            </w:r>
          </w:p>
        </w:tc>
        <w:tc>
          <w:tcPr>
            <w:tcW w:w="1463" w:type="dxa"/>
          </w:tcPr>
          <w:p>
            <w:pPr>
              <w:rPr>
                <w:sz w:val="22"/>
                <w:szCs w:val="22"/>
              </w:rPr>
            </w:pPr>
          </w:p>
          <w:p>
            <w:pPr>
              <w:rPr>
                <w:sz w:val="22"/>
                <w:szCs w:val="22"/>
              </w:rPr>
            </w:pPr>
            <w:r>
              <w:rPr>
                <w:sz w:val="22"/>
                <w:szCs w:val="22"/>
              </w:rPr>
              <w:t>FG34, FG36</w:t>
            </w:r>
          </w:p>
          <w:p>
            <w:pPr>
              <w:rPr>
                <w:sz w:val="22"/>
                <w:szCs w:val="22"/>
              </w:rPr>
            </w:pPr>
            <w:r>
              <w:rPr>
                <w:sz w:val="22"/>
                <w:szCs w:val="22"/>
              </w:rPr>
              <w:t>(</w:t>
            </w:r>
            <w:proofErr w:type="spellStart"/>
            <w:r>
              <w:rPr>
                <w:sz w:val="22"/>
                <w:szCs w:val="22"/>
              </w:rPr>
              <w:t>Winklmayr</w:t>
            </w:r>
            <w:proofErr w:type="spellEnd"/>
            <w:r>
              <w:rPr>
                <w:sz w:val="22"/>
                <w:szCs w:val="22"/>
              </w:rPr>
              <w:t>, Buchholz, an der Heiden)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(Kolb)</w:t>
            </w: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lastRenderedPageBreak/>
              <w:t>nicht berichtet</w:t>
            </w:r>
          </w:p>
        </w:tc>
        <w:tc>
          <w:tcPr>
            <w:tcW w:w="1463" w:type="dxa"/>
          </w:tcPr>
          <w:p>
            <w:pPr>
              <w:rPr>
                <w:sz w:val="22"/>
                <w:szCs w:val="22"/>
              </w:rPr>
            </w:pPr>
          </w:p>
          <w:p>
            <w:pPr>
              <w:rPr>
                <w:sz w:val="22"/>
                <w:szCs w:val="22"/>
              </w:rPr>
            </w:pPr>
            <w:r>
              <w:rPr>
                <w:sz w:val="22"/>
                <w:szCs w:val="22"/>
              </w:rPr>
              <w:lastRenderedPageBreak/>
              <w:t xml:space="preserve">FG31 </w:t>
            </w:r>
            <w:r>
              <w:rPr>
                <w:sz w:val="22"/>
                <w:szCs w:val="22"/>
              </w:rPr>
              <w:br/>
            </w:r>
          </w:p>
        </w:tc>
      </w:tr>
      <w:tr>
        <w:tc>
          <w:tcPr>
            <w:tcW w:w="684" w:type="dxa"/>
          </w:tcPr>
          <w:p>
            <w:pPr>
              <w:rPr>
                <w:b/>
              </w:rPr>
            </w:pPr>
            <w:r>
              <w:rPr>
                <w:b/>
              </w:rPr>
              <w:lastRenderedPageBreak/>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Bitte um Unterstützung aus mehreren OEs</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Mittwoch, 31.08.2022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13:04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84"/>
    <w:multiLevelType w:val="hybridMultilevel"/>
    <w:tmpl w:val="17BCFED6"/>
    <w:lvl w:ilvl="0" w:tplc="24E48A44">
      <w:start w:val="1"/>
      <w:numFmt w:val="bullet"/>
      <w:lvlText w:val="•"/>
      <w:lvlJc w:val="left"/>
      <w:pPr>
        <w:tabs>
          <w:tab w:val="num" w:pos="720"/>
        </w:tabs>
        <w:ind w:left="720" w:hanging="360"/>
      </w:pPr>
      <w:rPr>
        <w:rFonts w:ascii="Times New Roman" w:hAnsi="Times New Roman" w:hint="default"/>
      </w:rPr>
    </w:lvl>
    <w:lvl w:ilvl="1" w:tplc="F184DCAE" w:tentative="1">
      <w:start w:val="1"/>
      <w:numFmt w:val="bullet"/>
      <w:lvlText w:val="•"/>
      <w:lvlJc w:val="left"/>
      <w:pPr>
        <w:tabs>
          <w:tab w:val="num" w:pos="1440"/>
        </w:tabs>
        <w:ind w:left="1440" w:hanging="360"/>
      </w:pPr>
      <w:rPr>
        <w:rFonts w:ascii="Times New Roman" w:hAnsi="Times New Roman" w:hint="default"/>
      </w:rPr>
    </w:lvl>
    <w:lvl w:ilvl="2" w:tplc="9FAAD468" w:tentative="1">
      <w:start w:val="1"/>
      <w:numFmt w:val="bullet"/>
      <w:lvlText w:val="•"/>
      <w:lvlJc w:val="left"/>
      <w:pPr>
        <w:tabs>
          <w:tab w:val="num" w:pos="2160"/>
        </w:tabs>
        <w:ind w:left="2160" w:hanging="360"/>
      </w:pPr>
      <w:rPr>
        <w:rFonts w:ascii="Times New Roman" w:hAnsi="Times New Roman" w:hint="default"/>
      </w:rPr>
    </w:lvl>
    <w:lvl w:ilvl="3" w:tplc="2B84EB9A" w:tentative="1">
      <w:start w:val="1"/>
      <w:numFmt w:val="bullet"/>
      <w:lvlText w:val="•"/>
      <w:lvlJc w:val="left"/>
      <w:pPr>
        <w:tabs>
          <w:tab w:val="num" w:pos="2880"/>
        </w:tabs>
        <w:ind w:left="2880" w:hanging="360"/>
      </w:pPr>
      <w:rPr>
        <w:rFonts w:ascii="Times New Roman" w:hAnsi="Times New Roman" w:hint="default"/>
      </w:rPr>
    </w:lvl>
    <w:lvl w:ilvl="4" w:tplc="1DCA4422" w:tentative="1">
      <w:start w:val="1"/>
      <w:numFmt w:val="bullet"/>
      <w:lvlText w:val="•"/>
      <w:lvlJc w:val="left"/>
      <w:pPr>
        <w:tabs>
          <w:tab w:val="num" w:pos="3600"/>
        </w:tabs>
        <w:ind w:left="3600" w:hanging="360"/>
      </w:pPr>
      <w:rPr>
        <w:rFonts w:ascii="Times New Roman" w:hAnsi="Times New Roman" w:hint="default"/>
      </w:rPr>
    </w:lvl>
    <w:lvl w:ilvl="5" w:tplc="63008D8A" w:tentative="1">
      <w:start w:val="1"/>
      <w:numFmt w:val="bullet"/>
      <w:lvlText w:val="•"/>
      <w:lvlJc w:val="left"/>
      <w:pPr>
        <w:tabs>
          <w:tab w:val="num" w:pos="4320"/>
        </w:tabs>
        <w:ind w:left="4320" w:hanging="360"/>
      </w:pPr>
      <w:rPr>
        <w:rFonts w:ascii="Times New Roman" w:hAnsi="Times New Roman" w:hint="default"/>
      </w:rPr>
    </w:lvl>
    <w:lvl w:ilvl="6" w:tplc="5456E53A" w:tentative="1">
      <w:start w:val="1"/>
      <w:numFmt w:val="bullet"/>
      <w:lvlText w:val="•"/>
      <w:lvlJc w:val="left"/>
      <w:pPr>
        <w:tabs>
          <w:tab w:val="num" w:pos="5040"/>
        </w:tabs>
        <w:ind w:left="5040" w:hanging="360"/>
      </w:pPr>
      <w:rPr>
        <w:rFonts w:ascii="Times New Roman" w:hAnsi="Times New Roman" w:hint="default"/>
      </w:rPr>
    </w:lvl>
    <w:lvl w:ilvl="7" w:tplc="858CE358" w:tentative="1">
      <w:start w:val="1"/>
      <w:numFmt w:val="bullet"/>
      <w:lvlText w:val="•"/>
      <w:lvlJc w:val="left"/>
      <w:pPr>
        <w:tabs>
          <w:tab w:val="num" w:pos="5760"/>
        </w:tabs>
        <w:ind w:left="5760" w:hanging="360"/>
      </w:pPr>
      <w:rPr>
        <w:rFonts w:ascii="Times New Roman" w:hAnsi="Times New Roman" w:hint="default"/>
      </w:rPr>
    </w:lvl>
    <w:lvl w:ilvl="8" w:tplc="327ADB0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3823D4"/>
    <w:multiLevelType w:val="hybridMultilevel"/>
    <w:tmpl w:val="554479D2"/>
    <w:lvl w:ilvl="0" w:tplc="EE5860C2">
      <w:start w:val="1"/>
      <w:numFmt w:val="bullet"/>
      <w:lvlText w:val="•"/>
      <w:lvlJc w:val="left"/>
      <w:pPr>
        <w:tabs>
          <w:tab w:val="num" w:pos="720"/>
        </w:tabs>
        <w:ind w:left="720" w:hanging="360"/>
      </w:pPr>
      <w:rPr>
        <w:rFonts w:ascii="Arial" w:hAnsi="Arial" w:hint="default"/>
      </w:rPr>
    </w:lvl>
    <w:lvl w:ilvl="1" w:tplc="83049856" w:tentative="1">
      <w:start w:val="1"/>
      <w:numFmt w:val="bullet"/>
      <w:lvlText w:val="•"/>
      <w:lvlJc w:val="left"/>
      <w:pPr>
        <w:tabs>
          <w:tab w:val="num" w:pos="1440"/>
        </w:tabs>
        <w:ind w:left="1440" w:hanging="360"/>
      </w:pPr>
      <w:rPr>
        <w:rFonts w:ascii="Arial" w:hAnsi="Arial" w:hint="default"/>
      </w:rPr>
    </w:lvl>
    <w:lvl w:ilvl="2" w:tplc="942CED8C" w:tentative="1">
      <w:start w:val="1"/>
      <w:numFmt w:val="bullet"/>
      <w:lvlText w:val="•"/>
      <w:lvlJc w:val="left"/>
      <w:pPr>
        <w:tabs>
          <w:tab w:val="num" w:pos="2160"/>
        </w:tabs>
        <w:ind w:left="2160" w:hanging="360"/>
      </w:pPr>
      <w:rPr>
        <w:rFonts w:ascii="Arial" w:hAnsi="Arial" w:hint="default"/>
      </w:rPr>
    </w:lvl>
    <w:lvl w:ilvl="3" w:tplc="C7E08008" w:tentative="1">
      <w:start w:val="1"/>
      <w:numFmt w:val="bullet"/>
      <w:lvlText w:val="•"/>
      <w:lvlJc w:val="left"/>
      <w:pPr>
        <w:tabs>
          <w:tab w:val="num" w:pos="2880"/>
        </w:tabs>
        <w:ind w:left="2880" w:hanging="360"/>
      </w:pPr>
      <w:rPr>
        <w:rFonts w:ascii="Arial" w:hAnsi="Arial" w:hint="default"/>
      </w:rPr>
    </w:lvl>
    <w:lvl w:ilvl="4" w:tplc="4B5C9FCC" w:tentative="1">
      <w:start w:val="1"/>
      <w:numFmt w:val="bullet"/>
      <w:lvlText w:val="•"/>
      <w:lvlJc w:val="left"/>
      <w:pPr>
        <w:tabs>
          <w:tab w:val="num" w:pos="3600"/>
        </w:tabs>
        <w:ind w:left="3600" w:hanging="360"/>
      </w:pPr>
      <w:rPr>
        <w:rFonts w:ascii="Arial" w:hAnsi="Arial" w:hint="default"/>
      </w:rPr>
    </w:lvl>
    <w:lvl w:ilvl="5" w:tplc="D7800814" w:tentative="1">
      <w:start w:val="1"/>
      <w:numFmt w:val="bullet"/>
      <w:lvlText w:val="•"/>
      <w:lvlJc w:val="left"/>
      <w:pPr>
        <w:tabs>
          <w:tab w:val="num" w:pos="4320"/>
        </w:tabs>
        <w:ind w:left="4320" w:hanging="360"/>
      </w:pPr>
      <w:rPr>
        <w:rFonts w:ascii="Arial" w:hAnsi="Arial" w:hint="default"/>
      </w:rPr>
    </w:lvl>
    <w:lvl w:ilvl="6" w:tplc="23003F82" w:tentative="1">
      <w:start w:val="1"/>
      <w:numFmt w:val="bullet"/>
      <w:lvlText w:val="•"/>
      <w:lvlJc w:val="left"/>
      <w:pPr>
        <w:tabs>
          <w:tab w:val="num" w:pos="5040"/>
        </w:tabs>
        <w:ind w:left="5040" w:hanging="360"/>
      </w:pPr>
      <w:rPr>
        <w:rFonts w:ascii="Arial" w:hAnsi="Arial" w:hint="default"/>
      </w:rPr>
    </w:lvl>
    <w:lvl w:ilvl="7" w:tplc="D2F48626" w:tentative="1">
      <w:start w:val="1"/>
      <w:numFmt w:val="bullet"/>
      <w:lvlText w:val="•"/>
      <w:lvlJc w:val="left"/>
      <w:pPr>
        <w:tabs>
          <w:tab w:val="num" w:pos="5760"/>
        </w:tabs>
        <w:ind w:left="5760" w:hanging="360"/>
      </w:pPr>
      <w:rPr>
        <w:rFonts w:ascii="Arial" w:hAnsi="Arial" w:hint="default"/>
      </w:rPr>
    </w:lvl>
    <w:lvl w:ilvl="8" w:tplc="C7406E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77EFC"/>
    <w:multiLevelType w:val="hybridMultilevel"/>
    <w:tmpl w:val="D5189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50389"/>
    <w:multiLevelType w:val="hybridMultilevel"/>
    <w:tmpl w:val="7FF20EB0"/>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4" w15:restartNumberingAfterBreak="0">
    <w:nsid w:val="0CE3156F"/>
    <w:multiLevelType w:val="hybridMultilevel"/>
    <w:tmpl w:val="E0A828DE"/>
    <w:lvl w:ilvl="0" w:tplc="3E301CB8">
      <w:start w:val="1"/>
      <w:numFmt w:val="bullet"/>
      <w:lvlText w:val="•"/>
      <w:lvlJc w:val="left"/>
      <w:pPr>
        <w:tabs>
          <w:tab w:val="num" w:pos="720"/>
        </w:tabs>
        <w:ind w:left="720" w:hanging="360"/>
      </w:pPr>
      <w:rPr>
        <w:rFonts w:ascii="Arial" w:hAnsi="Arial" w:hint="default"/>
      </w:rPr>
    </w:lvl>
    <w:lvl w:ilvl="1" w:tplc="3C38BABC">
      <w:start w:val="206"/>
      <w:numFmt w:val="bullet"/>
      <w:lvlText w:val="•"/>
      <w:lvlJc w:val="left"/>
      <w:pPr>
        <w:tabs>
          <w:tab w:val="num" w:pos="1440"/>
        </w:tabs>
        <w:ind w:left="1440" w:hanging="360"/>
      </w:pPr>
      <w:rPr>
        <w:rFonts w:ascii="Arial" w:hAnsi="Arial" w:hint="default"/>
      </w:rPr>
    </w:lvl>
    <w:lvl w:ilvl="2" w:tplc="3E28D2CE" w:tentative="1">
      <w:start w:val="1"/>
      <w:numFmt w:val="bullet"/>
      <w:lvlText w:val="•"/>
      <w:lvlJc w:val="left"/>
      <w:pPr>
        <w:tabs>
          <w:tab w:val="num" w:pos="2160"/>
        </w:tabs>
        <w:ind w:left="2160" w:hanging="360"/>
      </w:pPr>
      <w:rPr>
        <w:rFonts w:ascii="Arial" w:hAnsi="Arial" w:hint="default"/>
      </w:rPr>
    </w:lvl>
    <w:lvl w:ilvl="3" w:tplc="BAC81C38" w:tentative="1">
      <w:start w:val="1"/>
      <w:numFmt w:val="bullet"/>
      <w:lvlText w:val="•"/>
      <w:lvlJc w:val="left"/>
      <w:pPr>
        <w:tabs>
          <w:tab w:val="num" w:pos="2880"/>
        </w:tabs>
        <w:ind w:left="2880" w:hanging="360"/>
      </w:pPr>
      <w:rPr>
        <w:rFonts w:ascii="Arial" w:hAnsi="Arial" w:hint="default"/>
      </w:rPr>
    </w:lvl>
    <w:lvl w:ilvl="4" w:tplc="0052B642" w:tentative="1">
      <w:start w:val="1"/>
      <w:numFmt w:val="bullet"/>
      <w:lvlText w:val="•"/>
      <w:lvlJc w:val="left"/>
      <w:pPr>
        <w:tabs>
          <w:tab w:val="num" w:pos="3600"/>
        </w:tabs>
        <w:ind w:left="3600" w:hanging="360"/>
      </w:pPr>
      <w:rPr>
        <w:rFonts w:ascii="Arial" w:hAnsi="Arial" w:hint="default"/>
      </w:rPr>
    </w:lvl>
    <w:lvl w:ilvl="5" w:tplc="82382A42" w:tentative="1">
      <w:start w:val="1"/>
      <w:numFmt w:val="bullet"/>
      <w:lvlText w:val="•"/>
      <w:lvlJc w:val="left"/>
      <w:pPr>
        <w:tabs>
          <w:tab w:val="num" w:pos="4320"/>
        </w:tabs>
        <w:ind w:left="4320" w:hanging="360"/>
      </w:pPr>
      <w:rPr>
        <w:rFonts w:ascii="Arial" w:hAnsi="Arial" w:hint="default"/>
      </w:rPr>
    </w:lvl>
    <w:lvl w:ilvl="6" w:tplc="85BC2408" w:tentative="1">
      <w:start w:val="1"/>
      <w:numFmt w:val="bullet"/>
      <w:lvlText w:val="•"/>
      <w:lvlJc w:val="left"/>
      <w:pPr>
        <w:tabs>
          <w:tab w:val="num" w:pos="5040"/>
        </w:tabs>
        <w:ind w:left="5040" w:hanging="360"/>
      </w:pPr>
      <w:rPr>
        <w:rFonts w:ascii="Arial" w:hAnsi="Arial" w:hint="default"/>
      </w:rPr>
    </w:lvl>
    <w:lvl w:ilvl="7" w:tplc="95B6FDB0" w:tentative="1">
      <w:start w:val="1"/>
      <w:numFmt w:val="bullet"/>
      <w:lvlText w:val="•"/>
      <w:lvlJc w:val="left"/>
      <w:pPr>
        <w:tabs>
          <w:tab w:val="num" w:pos="5760"/>
        </w:tabs>
        <w:ind w:left="5760" w:hanging="360"/>
      </w:pPr>
      <w:rPr>
        <w:rFonts w:ascii="Arial" w:hAnsi="Arial" w:hint="default"/>
      </w:rPr>
    </w:lvl>
    <w:lvl w:ilvl="8" w:tplc="0C9E63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870E38"/>
    <w:multiLevelType w:val="hybridMultilevel"/>
    <w:tmpl w:val="7996E38E"/>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8"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3CA452B"/>
    <w:multiLevelType w:val="hybridMultilevel"/>
    <w:tmpl w:val="6896A03E"/>
    <w:lvl w:ilvl="0" w:tplc="12521D60">
      <w:start w:val="1"/>
      <w:numFmt w:val="bullet"/>
      <w:lvlText w:val="•"/>
      <w:lvlJc w:val="left"/>
      <w:pPr>
        <w:tabs>
          <w:tab w:val="num" w:pos="720"/>
        </w:tabs>
        <w:ind w:left="720" w:hanging="360"/>
      </w:pPr>
      <w:rPr>
        <w:rFonts w:ascii="Times New Roman" w:hAnsi="Times New Roman" w:hint="default"/>
      </w:rPr>
    </w:lvl>
    <w:lvl w:ilvl="1" w:tplc="49768DD0" w:tentative="1">
      <w:start w:val="1"/>
      <w:numFmt w:val="bullet"/>
      <w:lvlText w:val="•"/>
      <w:lvlJc w:val="left"/>
      <w:pPr>
        <w:tabs>
          <w:tab w:val="num" w:pos="1440"/>
        </w:tabs>
        <w:ind w:left="1440" w:hanging="360"/>
      </w:pPr>
      <w:rPr>
        <w:rFonts w:ascii="Times New Roman" w:hAnsi="Times New Roman" w:hint="default"/>
      </w:rPr>
    </w:lvl>
    <w:lvl w:ilvl="2" w:tplc="F10C2360" w:tentative="1">
      <w:start w:val="1"/>
      <w:numFmt w:val="bullet"/>
      <w:lvlText w:val="•"/>
      <w:lvlJc w:val="left"/>
      <w:pPr>
        <w:tabs>
          <w:tab w:val="num" w:pos="2160"/>
        </w:tabs>
        <w:ind w:left="2160" w:hanging="360"/>
      </w:pPr>
      <w:rPr>
        <w:rFonts w:ascii="Times New Roman" w:hAnsi="Times New Roman" w:hint="default"/>
      </w:rPr>
    </w:lvl>
    <w:lvl w:ilvl="3" w:tplc="5FB88E40" w:tentative="1">
      <w:start w:val="1"/>
      <w:numFmt w:val="bullet"/>
      <w:lvlText w:val="•"/>
      <w:lvlJc w:val="left"/>
      <w:pPr>
        <w:tabs>
          <w:tab w:val="num" w:pos="2880"/>
        </w:tabs>
        <w:ind w:left="2880" w:hanging="360"/>
      </w:pPr>
      <w:rPr>
        <w:rFonts w:ascii="Times New Roman" w:hAnsi="Times New Roman" w:hint="default"/>
      </w:rPr>
    </w:lvl>
    <w:lvl w:ilvl="4" w:tplc="C2863D94" w:tentative="1">
      <w:start w:val="1"/>
      <w:numFmt w:val="bullet"/>
      <w:lvlText w:val="•"/>
      <w:lvlJc w:val="left"/>
      <w:pPr>
        <w:tabs>
          <w:tab w:val="num" w:pos="3600"/>
        </w:tabs>
        <w:ind w:left="3600" w:hanging="360"/>
      </w:pPr>
      <w:rPr>
        <w:rFonts w:ascii="Times New Roman" w:hAnsi="Times New Roman" w:hint="default"/>
      </w:rPr>
    </w:lvl>
    <w:lvl w:ilvl="5" w:tplc="B8A087DE" w:tentative="1">
      <w:start w:val="1"/>
      <w:numFmt w:val="bullet"/>
      <w:lvlText w:val="•"/>
      <w:lvlJc w:val="left"/>
      <w:pPr>
        <w:tabs>
          <w:tab w:val="num" w:pos="4320"/>
        </w:tabs>
        <w:ind w:left="4320" w:hanging="360"/>
      </w:pPr>
      <w:rPr>
        <w:rFonts w:ascii="Times New Roman" w:hAnsi="Times New Roman" w:hint="default"/>
      </w:rPr>
    </w:lvl>
    <w:lvl w:ilvl="6" w:tplc="CDFCFCD6" w:tentative="1">
      <w:start w:val="1"/>
      <w:numFmt w:val="bullet"/>
      <w:lvlText w:val="•"/>
      <w:lvlJc w:val="left"/>
      <w:pPr>
        <w:tabs>
          <w:tab w:val="num" w:pos="5040"/>
        </w:tabs>
        <w:ind w:left="5040" w:hanging="360"/>
      </w:pPr>
      <w:rPr>
        <w:rFonts w:ascii="Times New Roman" w:hAnsi="Times New Roman" w:hint="default"/>
      </w:rPr>
    </w:lvl>
    <w:lvl w:ilvl="7" w:tplc="30048CFA" w:tentative="1">
      <w:start w:val="1"/>
      <w:numFmt w:val="bullet"/>
      <w:lvlText w:val="•"/>
      <w:lvlJc w:val="left"/>
      <w:pPr>
        <w:tabs>
          <w:tab w:val="num" w:pos="5760"/>
        </w:tabs>
        <w:ind w:left="5760" w:hanging="360"/>
      </w:pPr>
      <w:rPr>
        <w:rFonts w:ascii="Times New Roman" w:hAnsi="Times New Roman" w:hint="default"/>
      </w:rPr>
    </w:lvl>
    <w:lvl w:ilvl="8" w:tplc="B550674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A62D63"/>
    <w:multiLevelType w:val="hybridMultilevel"/>
    <w:tmpl w:val="DF347DC0"/>
    <w:lvl w:ilvl="0" w:tplc="A5D0D07A">
      <w:start w:val="1"/>
      <w:numFmt w:val="bullet"/>
      <w:lvlText w:val="•"/>
      <w:lvlJc w:val="left"/>
      <w:pPr>
        <w:tabs>
          <w:tab w:val="num" w:pos="720"/>
        </w:tabs>
        <w:ind w:left="720" w:hanging="360"/>
      </w:pPr>
      <w:rPr>
        <w:rFonts w:ascii="Arial" w:hAnsi="Arial" w:hint="default"/>
      </w:rPr>
    </w:lvl>
    <w:lvl w:ilvl="1" w:tplc="653AD9E0">
      <w:start w:val="206"/>
      <w:numFmt w:val="bullet"/>
      <w:lvlText w:val="•"/>
      <w:lvlJc w:val="left"/>
      <w:pPr>
        <w:tabs>
          <w:tab w:val="num" w:pos="1440"/>
        </w:tabs>
        <w:ind w:left="1440" w:hanging="360"/>
      </w:pPr>
      <w:rPr>
        <w:rFonts w:ascii="Arial" w:hAnsi="Arial" w:hint="default"/>
      </w:rPr>
    </w:lvl>
    <w:lvl w:ilvl="2" w:tplc="041CDF06" w:tentative="1">
      <w:start w:val="1"/>
      <w:numFmt w:val="bullet"/>
      <w:lvlText w:val="•"/>
      <w:lvlJc w:val="left"/>
      <w:pPr>
        <w:tabs>
          <w:tab w:val="num" w:pos="2160"/>
        </w:tabs>
        <w:ind w:left="2160" w:hanging="360"/>
      </w:pPr>
      <w:rPr>
        <w:rFonts w:ascii="Arial" w:hAnsi="Arial" w:hint="default"/>
      </w:rPr>
    </w:lvl>
    <w:lvl w:ilvl="3" w:tplc="A37C55A6" w:tentative="1">
      <w:start w:val="1"/>
      <w:numFmt w:val="bullet"/>
      <w:lvlText w:val="•"/>
      <w:lvlJc w:val="left"/>
      <w:pPr>
        <w:tabs>
          <w:tab w:val="num" w:pos="2880"/>
        </w:tabs>
        <w:ind w:left="2880" w:hanging="360"/>
      </w:pPr>
      <w:rPr>
        <w:rFonts w:ascii="Arial" w:hAnsi="Arial" w:hint="default"/>
      </w:rPr>
    </w:lvl>
    <w:lvl w:ilvl="4" w:tplc="50286580" w:tentative="1">
      <w:start w:val="1"/>
      <w:numFmt w:val="bullet"/>
      <w:lvlText w:val="•"/>
      <w:lvlJc w:val="left"/>
      <w:pPr>
        <w:tabs>
          <w:tab w:val="num" w:pos="3600"/>
        </w:tabs>
        <w:ind w:left="3600" w:hanging="360"/>
      </w:pPr>
      <w:rPr>
        <w:rFonts w:ascii="Arial" w:hAnsi="Arial" w:hint="default"/>
      </w:rPr>
    </w:lvl>
    <w:lvl w:ilvl="5" w:tplc="377CF346" w:tentative="1">
      <w:start w:val="1"/>
      <w:numFmt w:val="bullet"/>
      <w:lvlText w:val="•"/>
      <w:lvlJc w:val="left"/>
      <w:pPr>
        <w:tabs>
          <w:tab w:val="num" w:pos="4320"/>
        </w:tabs>
        <w:ind w:left="4320" w:hanging="360"/>
      </w:pPr>
      <w:rPr>
        <w:rFonts w:ascii="Arial" w:hAnsi="Arial" w:hint="default"/>
      </w:rPr>
    </w:lvl>
    <w:lvl w:ilvl="6" w:tplc="73D08B48" w:tentative="1">
      <w:start w:val="1"/>
      <w:numFmt w:val="bullet"/>
      <w:lvlText w:val="•"/>
      <w:lvlJc w:val="left"/>
      <w:pPr>
        <w:tabs>
          <w:tab w:val="num" w:pos="5040"/>
        </w:tabs>
        <w:ind w:left="5040" w:hanging="360"/>
      </w:pPr>
      <w:rPr>
        <w:rFonts w:ascii="Arial" w:hAnsi="Arial" w:hint="default"/>
      </w:rPr>
    </w:lvl>
    <w:lvl w:ilvl="7" w:tplc="EC0ADF30" w:tentative="1">
      <w:start w:val="1"/>
      <w:numFmt w:val="bullet"/>
      <w:lvlText w:val="•"/>
      <w:lvlJc w:val="left"/>
      <w:pPr>
        <w:tabs>
          <w:tab w:val="num" w:pos="5760"/>
        </w:tabs>
        <w:ind w:left="5760" w:hanging="360"/>
      </w:pPr>
      <w:rPr>
        <w:rFonts w:ascii="Arial" w:hAnsi="Arial" w:hint="default"/>
      </w:rPr>
    </w:lvl>
    <w:lvl w:ilvl="8" w:tplc="DEE6A4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DAD0B20"/>
    <w:multiLevelType w:val="hybridMultilevel"/>
    <w:tmpl w:val="ED56B5D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7D1E4D"/>
    <w:multiLevelType w:val="hybridMultilevel"/>
    <w:tmpl w:val="4E3254CC"/>
    <w:lvl w:ilvl="0" w:tplc="65BEC352">
      <w:start w:val="1"/>
      <w:numFmt w:val="bullet"/>
      <w:lvlText w:val="•"/>
      <w:lvlJc w:val="left"/>
      <w:pPr>
        <w:tabs>
          <w:tab w:val="num" w:pos="720"/>
        </w:tabs>
        <w:ind w:left="720" w:hanging="360"/>
      </w:pPr>
      <w:rPr>
        <w:rFonts w:ascii="Times New Roman" w:hAnsi="Times New Roman" w:hint="default"/>
      </w:rPr>
    </w:lvl>
    <w:lvl w:ilvl="1" w:tplc="D994BC14" w:tentative="1">
      <w:start w:val="1"/>
      <w:numFmt w:val="bullet"/>
      <w:lvlText w:val="•"/>
      <w:lvlJc w:val="left"/>
      <w:pPr>
        <w:tabs>
          <w:tab w:val="num" w:pos="1440"/>
        </w:tabs>
        <w:ind w:left="1440" w:hanging="360"/>
      </w:pPr>
      <w:rPr>
        <w:rFonts w:ascii="Times New Roman" w:hAnsi="Times New Roman" w:hint="default"/>
      </w:rPr>
    </w:lvl>
    <w:lvl w:ilvl="2" w:tplc="C18A40C4" w:tentative="1">
      <w:start w:val="1"/>
      <w:numFmt w:val="bullet"/>
      <w:lvlText w:val="•"/>
      <w:lvlJc w:val="left"/>
      <w:pPr>
        <w:tabs>
          <w:tab w:val="num" w:pos="2160"/>
        </w:tabs>
        <w:ind w:left="2160" w:hanging="360"/>
      </w:pPr>
      <w:rPr>
        <w:rFonts w:ascii="Times New Roman" w:hAnsi="Times New Roman" w:hint="default"/>
      </w:rPr>
    </w:lvl>
    <w:lvl w:ilvl="3" w:tplc="2A50B120" w:tentative="1">
      <w:start w:val="1"/>
      <w:numFmt w:val="bullet"/>
      <w:lvlText w:val="•"/>
      <w:lvlJc w:val="left"/>
      <w:pPr>
        <w:tabs>
          <w:tab w:val="num" w:pos="2880"/>
        </w:tabs>
        <w:ind w:left="2880" w:hanging="360"/>
      </w:pPr>
      <w:rPr>
        <w:rFonts w:ascii="Times New Roman" w:hAnsi="Times New Roman" w:hint="default"/>
      </w:rPr>
    </w:lvl>
    <w:lvl w:ilvl="4" w:tplc="851C0604" w:tentative="1">
      <w:start w:val="1"/>
      <w:numFmt w:val="bullet"/>
      <w:lvlText w:val="•"/>
      <w:lvlJc w:val="left"/>
      <w:pPr>
        <w:tabs>
          <w:tab w:val="num" w:pos="3600"/>
        </w:tabs>
        <w:ind w:left="3600" w:hanging="360"/>
      </w:pPr>
      <w:rPr>
        <w:rFonts w:ascii="Times New Roman" w:hAnsi="Times New Roman" w:hint="default"/>
      </w:rPr>
    </w:lvl>
    <w:lvl w:ilvl="5" w:tplc="48F8C894" w:tentative="1">
      <w:start w:val="1"/>
      <w:numFmt w:val="bullet"/>
      <w:lvlText w:val="•"/>
      <w:lvlJc w:val="left"/>
      <w:pPr>
        <w:tabs>
          <w:tab w:val="num" w:pos="4320"/>
        </w:tabs>
        <w:ind w:left="4320" w:hanging="360"/>
      </w:pPr>
      <w:rPr>
        <w:rFonts w:ascii="Times New Roman" w:hAnsi="Times New Roman" w:hint="default"/>
      </w:rPr>
    </w:lvl>
    <w:lvl w:ilvl="6" w:tplc="890ACDEC" w:tentative="1">
      <w:start w:val="1"/>
      <w:numFmt w:val="bullet"/>
      <w:lvlText w:val="•"/>
      <w:lvlJc w:val="left"/>
      <w:pPr>
        <w:tabs>
          <w:tab w:val="num" w:pos="5040"/>
        </w:tabs>
        <w:ind w:left="5040" w:hanging="360"/>
      </w:pPr>
      <w:rPr>
        <w:rFonts w:ascii="Times New Roman" w:hAnsi="Times New Roman" w:hint="default"/>
      </w:rPr>
    </w:lvl>
    <w:lvl w:ilvl="7" w:tplc="90BE5ED2" w:tentative="1">
      <w:start w:val="1"/>
      <w:numFmt w:val="bullet"/>
      <w:lvlText w:val="•"/>
      <w:lvlJc w:val="left"/>
      <w:pPr>
        <w:tabs>
          <w:tab w:val="num" w:pos="5760"/>
        </w:tabs>
        <w:ind w:left="5760" w:hanging="360"/>
      </w:pPr>
      <w:rPr>
        <w:rFonts w:ascii="Times New Roman" w:hAnsi="Times New Roman" w:hint="default"/>
      </w:rPr>
    </w:lvl>
    <w:lvl w:ilvl="8" w:tplc="F18E56A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CDA482B"/>
    <w:multiLevelType w:val="hybridMultilevel"/>
    <w:tmpl w:val="DFD458E0"/>
    <w:lvl w:ilvl="0" w:tplc="15E087B8">
      <w:start w:val="1"/>
      <w:numFmt w:val="bullet"/>
      <w:lvlText w:val="•"/>
      <w:lvlJc w:val="left"/>
      <w:pPr>
        <w:tabs>
          <w:tab w:val="num" w:pos="720"/>
        </w:tabs>
        <w:ind w:left="720" w:hanging="360"/>
      </w:pPr>
      <w:rPr>
        <w:rFonts w:ascii="Arial" w:hAnsi="Arial" w:hint="default"/>
      </w:rPr>
    </w:lvl>
    <w:lvl w:ilvl="1" w:tplc="041CFAE2">
      <w:start w:val="206"/>
      <w:numFmt w:val="bullet"/>
      <w:lvlText w:val="•"/>
      <w:lvlJc w:val="left"/>
      <w:pPr>
        <w:tabs>
          <w:tab w:val="num" w:pos="1440"/>
        </w:tabs>
        <w:ind w:left="1440" w:hanging="360"/>
      </w:pPr>
      <w:rPr>
        <w:rFonts w:ascii="Arial" w:hAnsi="Arial" w:hint="default"/>
      </w:rPr>
    </w:lvl>
    <w:lvl w:ilvl="2" w:tplc="529C8EC4" w:tentative="1">
      <w:start w:val="1"/>
      <w:numFmt w:val="bullet"/>
      <w:lvlText w:val="•"/>
      <w:lvlJc w:val="left"/>
      <w:pPr>
        <w:tabs>
          <w:tab w:val="num" w:pos="2160"/>
        </w:tabs>
        <w:ind w:left="2160" w:hanging="360"/>
      </w:pPr>
      <w:rPr>
        <w:rFonts w:ascii="Arial" w:hAnsi="Arial" w:hint="default"/>
      </w:rPr>
    </w:lvl>
    <w:lvl w:ilvl="3" w:tplc="6562C668" w:tentative="1">
      <w:start w:val="1"/>
      <w:numFmt w:val="bullet"/>
      <w:lvlText w:val="•"/>
      <w:lvlJc w:val="left"/>
      <w:pPr>
        <w:tabs>
          <w:tab w:val="num" w:pos="2880"/>
        </w:tabs>
        <w:ind w:left="2880" w:hanging="360"/>
      </w:pPr>
      <w:rPr>
        <w:rFonts w:ascii="Arial" w:hAnsi="Arial" w:hint="default"/>
      </w:rPr>
    </w:lvl>
    <w:lvl w:ilvl="4" w:tplc="22A43CE8" w:tentative="1">
      <w:start w:val="1"/>
      <w:numFmt w:val="bullet"/>
      <w:lvlText w:val="•"/>
      <w:lvlJc w:val="left"/>
      <w:pPr>
        <w:tabs>
          <w:tab w:val="num" w:pos="3600"/>
        </w:tabs>
        <w:ind w:left="3600" w:hanging="360"/>
      </w:pPr>
      <w:rPr>
        <w:rFonts w:ascii="Arial" w:hAnsi="Arial" w:hint="default"/>
      </w:rPr>
    </w:lvl>
    <w:lvl w:ilvl="5" w:tplc="03B0E62C" w:tentative="1">
      <w:start w:val="1"/>
      <w:numFmt w:val="bullet"/>
      <w:lvlText w:val="•"/>
      <w:lvlJc w:val="left"/>
      <w:pPr>
        <w:tabs>
          <w:tab w:val="num" w:pos="4320"/>
        </w:tabs>
        <w:ind w:left="4320" w:hanging="360"/>
      </w:pPr>
      <w:rPr>
        <w:rFonts w:ascii="Arial" w:hAnsi="Arial" w:hint="default"/>
      </w:rPr>
    </w:lvl>
    <w:lvl w:ilvl="6" w:tplc="E77E8AE4" w:tentative="1">
      <w:start w:val="1"/>
      <w:numFmt w:val="bullet"/>
      <w:lvlText w:val="•"/>
      <w:lvlJc w:val="left"/>
      <w:pPr>
        <w:tabs>
          <w:tab w:val="num" w:pos="5040"/>
        </w:tabs>
        <w:ind w:left="5040" w:hanging="360"/>
      </w:pPr>
      <w:rPr>
        <w:rFonts w:ascii="Arial" w:hAnsi="Arial" w:hint="default"/>
      </w:rPr>
    </w:lvl>
    <w:lvl w:ilvl="7" w:tplc="D7EAA512" w:tentative="1">
      <w:start w:val="1"/>
      <w:numFmt w:val="bullet"/>
      <w:lvlText w:val="•"/>
      <w:lvlJc w:val="left"/>
      <w:pPr>
        <w:tabs>
          <w:tab w:val="num" w:pos="5760"/>
        </w:tabs>
        <w:ind w:left="5760" w:hanging="360"/>
      </w:pPr>
      <w:rPr>
        <w:rFonts w:ascii="Arial" w:hAnsi="Arial" w:hint="default"/>
      </w:rPr>
    </w:lvl>
    <w:lvl w:ilvl="8" w:tplc="24C859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007861"/>
    <w:multiLevelType w:val="hybridMultilevel"/>
    <w:tmpl w:val="D2046BA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7" w15:restartNumberingAfterBreak="0">
    <w:nsid w:val="44BA5A2B"/>
    <w:multiLevelType w:val="hybridMultilevel"/>
    <w:tmpl w:val="BD0CF130"/>
    <w:lvl w:ilvl="0" w:tplc="69CA0770">
      <w:start w:val="1"/>
      <w:numFmt w:val="lowerLetter"/>
      <w:lvlText w:val="%1)"/>
      <w:lvlJc w:val="left"/>
      <w:pPr>
        <w:tabs>
          <w:tab w:val="num" w:pos="720"/>
        </w:tabs>
        <w:ind w:left="720" w:hanging="360"/>
      </w:pPr>
    </w:lvl>
    <w:lvl w:ilvl="1" w:tplc="B4B4DEC2" w:tentative="1">
      <w:start w:val="1"/>
      <w:numFmt w:val="lowerLetter"/>
      <w:lvlText w:val="%2)"/>
      <w:lvlJc w:val="left"/>
      <w:pPr>
        <w:tabs>
          <w:tab w:val="num" w:pos="1440"/>
        </w:tabs>
        <w:ind w:left="1440" w:hanging="360"/>
      </w:pPr>
    </w:lvl>
    <w:lvl w:ilvl="2" w:tplc="46FC9860" w:tentative="1">
      <w:start w:val="1"/>
      <w:numFmt w:val="lowerLetter"/>
      <w:lvlText w:val="%3)"/>
      <w:lvlJc w:val="left"/>
      <w:pPr>
        <w:tabs>
          <w:tab w:val="num" w:pos="2160"/>
        </w:tabs>
        <w:ind w:left="2160" w:hanging="360"/>
      </w:pPr>
    </w:lvl>
    <w:lvl w:ilvl="3" w:tplc="1FE4E1AA" w:tentative="1">
      <w:start w:val="1"/>
      <w:numFmt w:val="lowerLetter"/>
      <w:lvlText w:val="%4)"/>
      <w:lvlJc w:val="left"/>
      <w:pPr>
        <w:tabs>
          <w:tab w:val="num" w:pos="2880"/>
        </w:tabs>
        <w:ind w:left="2880" w:hanging="360"/>
      </w:pPr>
    </w:lvl>
    <w:lvl w:ilvl="4" w:tplc="E5523DE4" w:tentative="1">
      <w:start w:val="1"/>
      <w:numFmt w:val="lowerLetter"/>
      <w:lvlText w:val="%5)"/>
      <w:lvlJc w:val="left"/>
      <w:pPr>
        <w:tabs>
          <w:tab w:val="num" w:pos="3600"/>
        </w:tabs>
        <w:ind w:left="3600" w:hanging="360"/>
      </w:pPr>
    </w:lvl>
    <w:lvl w:ilvl="5" w:tplc="BF2ED62A" w:tentative="1">
      <w:start w:val="1"/>
      <w:numFmt w:val="lowerLetter"/>
      <w:lvlText w:val="%6)"/>
      <w:lvlJc w:val="left"/>
      <w:pPr>
        <w:tabs>
          <w:tab w:val="num" w:pos="4320"/>
        </w:tabs>
        <w:ind w:left="4320" w:hanging="360"/>
      </w:pPr>
    </w:lvl>
    <w:lvl w:ilvl="6" w:tplc="9E940860" w:tentative="1">
      <w:start w:val="1"/>
      <w:numFmt w:val="lowerLetter"/>
      <w:lvlText w:val="%7)"/>
      <w:lvlJc w:val="left"/>
      <w:pPr>
        <w:tabs>
          <w:tab w:val="num" w:pos="5040"/>
        </w:tabs>
        <w:ind w:left="5040" w:hanging="360"/>
      </w:pPr>
    </w:lvl>
    <w:lvl w:ilvl="7" w:tplc="A95492C6" w:tentative="1">
      <w:start w:val="1"/>
      <w:numFmt w:val="lowerLetter"/>
      <w:lvlText w:val="%8)"/>
      <w:lvlJc w:val="left"/>
      <w:pPr>
        <w:tabs>
          <w:tab w:val="num" w:pos="5760"/>
        </w:tabs>
        <w:ind w:left="5760" w:hanging="360"/>
      </w:pPr>
    </w:lvl>
    <w:lvl w:ilvl="8" w:tplc="61E60FC2" w:tentative="1">
      <w:start w:val="1"/>
      <w:numFmt w:val="lowerLetter"/>
      <w:lvlText w:val="%9)"/>
      <w:lvlJc w:val="left"/>
      <w:pPr>
        <w:tabs>
          <w:tab w:val="num" w:pos="6480"/>
        </w:tabs>
        <w:ind w:left="6480" w:hanging="360"/>
      </w:pPr>
    </w:lvl>
  </w:abstractNum>
  <w:abstractNum w:abstractNumId="18"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02913"/>
    <w:multiLevelType w:val="hybridMultilevel"/>
    <w:tmpl w:val="087A8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6B271E"/>
    <w:multiLevelType w:val="hybridMultilevel"/>
    <w:tmpl w:val="E99217CE"/>
    <w:lvl w:ilvl="0" w:tplc="7A765F1E">
      <w:start w:val="1"/>
      <w:numFmt w:val="bullet"/>
      <w:lvlText w:val="•"/>
      <w:lvlJc w:val="left"/>
      <w:pPr>
        <w:tabs>
          <w:tab w:val="num" w:pos="720"/>
        </w:tabs>
        <w:ind w:left="720" w:hanging="360"/>
      </w:pPr>
      <w:rPr>
        <w:rFonts w:ascii="Arial" w:hAnsi="Arial" w:hint="default"/>
      </w:rPr>
    </w:lvl>
    <w:lvl w:ilvl="1" w:tplc="61BAAB98" w:tentative="1">
      <w:start w:val="1"/>
      <w:numFmt w:val="bullet"/>
      <w:lvlText w:val="•"/>
      <w:lvlJc w:val="left"/>
      <w:pPr>
        <w:tabs>
          <w:tab w:val="num" w:pos="1440"/>
        </w:tabs>
        <w:ind w:left="1440" w:hanging="360"/>
      </w:pPr>
      <w:rPr>
        <w:rFonts w:ascii="Arial" w:hAnsi="Arial" w:hint="default"/>
      </w:rPr>
    </w:lvl>
    <w:lvl w:ilvl="2" w:tplc="94E0C4CA" w:tentative="1">
      <w:start w:val="1"/>
      <w:numFmt w:val="bullet"/>
      <w:lvlText w:val="•"/>
      <w:lvlJc w:val="left"/>
      <w:pPr>
        <w:tabs>
          <w:tab w:val="num" w:pos="2160"/>
        </w:tabs>
        <w:ind w:left="2160" w:hanging="360"/>
      </w:pPr>
      <w:rPr>
        <w:rFonts w:ascii="Arial" w:hAnsi="Arial" w:hint="default"/>
      </w:rPr>
    </w:lvl>
    <w:lvl w:ilvl="3" w:tplc="34F4D784" w:tentative="1">
      <w:start w:val="1"/>
      <w:numFmt w:val="bullet"/>
      <w:lvlText w:val="•"/>
      <w:lvlJc w:val="left"/>
      <w:pPr>
        <w:tabs>
          <w:tab w:val="num" w:pos="2880"/>
        </w:tabs>
        <w:ind w:left="2880" w:hanging="360"/>
      </w:pPr>
      <w:rPr>
        <w:rFonts w:ascii="Arial" w:hAnsi="Arial" w:hint="default"/>
      </w:rPr>
    </w:lvl>
    <w:lvl w:ilvl="4" w:tplc="9B987C0C" w:tentative="1">
      <w:start w:val="1"/>
      <w:numFmt w:val="bullet"/>
      <w:lvlText w:val="•"/>
      <w:lvlJc w:val="left"/>
      <w:pPr>
        <w:tabs>
          <w:tab w:val="num" w:pos="3600"/>
        </w:tabs>
        <w:ind w:left="3600" w:hanging="360"/>
      </w:pPr>
      <w:rPr>
        <w:rFonts w:ascii="Arial" w:hAnsi="Arial" w:hint="default"/>
      </w:rPr>
    </w:lvl>
    <w:lvl w:ilvl="5" w:tplc="3F144B4A" w:tentative="1">
      <w:start w:val="1"/>
      <w:numFmt w:val="bullet"/>
      <w:lvlText w:val="•"/>
      <w:lvlJc w:val="left"/>
      <w:pPr>
        <w:tabs>
          <w:tab w:val="num" w:pos="4320"/>
        </w:tabs>
        <w:ind w:left="4320" w:hanging="360"/>
      </w:pPr>
      <w:rPr>
        <w:rFonts w:ascii="Arial" w:hAnsi="Arial" w:hint="default"/>
      </w:rPr>
    </w:lvl>
    <w:lvl w:ilvl="6" w:tplc="B04E109C" w:tentative="1">
      <w:start w:val="1"/>
      <w:numFmt w:val="bullet"/>
      <w:lvlText w:val="•"/>
      <w:lvlJc w:val="left"/>
      <w:pPr>
        <w:tabs>
          <w:tab w:val="num" w:pos="5040"/>
        </w:tabs>
        <w:ind w:left="5040" w:hanging="360"/>
      </w:pPr>
      <w:rPr>
        <w:rFonts w:ascii="Arial" w:hAnsi="Arial" w:hint="default"/>
      </w:rPr>
    </w:lvl>
    <w:lvl w:ilvl="7" w:tplc="A260D3B4" w:tentative="1">
      <w:start w:val="1"/>
      <w:numFmt w:val="bullet"/>
      <w:lvlText w:val="•"/>
      <w:lvlJc w:val="left"/>
      <w:pPr>
        <w:tabs>
          <w:tab w:val="num" w:pos="5760"/>
        </w:tabs>
        <w:ind w:left="5760" w:hanging="360"/>
      </w:pPr>
      <w:rPr>
        <w:rFonts w:ascii="Arial" w:hAnsi="Arial" w:hint="default"/>
      </w:rPr>
    </w:lvl>
    <w:lvl w:ilvl="8" w:tplc="3210EC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D224D5"/>
    <w:multiLevelType w:val="hybridMultilevel"/>
    <w:tmpl w:val="755A97A0"/>
    <w:lvl w:ilvl="0" w:tplc="76B0A7FE">
      <w:start w:val="1"/>
      <w:numFmt w:val="bullet"/>
      <w:lvlText w:val="•"/>
      <w:lvlJc w:val="left"/>
      <w:pPr>
        <w:tabs>
          <w:tab w:val="num" w:pos="720"/>
        </w:tabs>
        <w:ind w:left="720" w:hanging="360"/>
      </w:pPr>
      <w:rPr>
        <w:rFonts w:ascii="Arial" w:hAnsi="Arial" w:hint="default"/>
      </w:rPr>
    </w:lvl>
    <w:lvl w:ilvl="1" w:tplc="518A7DC8" w:tentative="1">
      <w:start w:val="1"/>
      <w:numFmt w:val="bullet"/>
      <w:lvlText w:val="•"/>
      <w:lvlJc w:val="left"/>
      <w:pPr>
        <w:tabs>
          <w:tab w:val="num" w:pos="1440"/>
        </w:tabs>
        <w:ind w:left="1440" w:hanging="360"/>
      </w:pPr>
      <w:rPr>
        <w:rFonts w:ascii="Arial" w:hAnsi="Arial" w:hint="default"/>
      </w:rPr>
    </w:lvl>
    <w:lvl w:ilvl="2" w:tplc="E15AC2CC" w:tentative="1">
      <w:start w:val="1"/>
      <w:numFmt w:val="bullet"/>
      <w:lvlText w:val="•"/>
      <w:lvlJc w:val="left"/>
      <w:pPr>
        <w:tabs>
          <w:tab w:val="num" w:pos="2160"/>
        </w:tabs>
        <w:ind w:left="2160" w:hanging="360"/>
      </w:pPr>
      <w:rPr>
        <w:rFonts w:ascii="Arial" w:hAnsi="Arial" w:hint="default"/>
      </w:rPr>
    </w:lvl>
    <w:lvl w:ilvl="3" w:tplc="A1B4F87E" w:tentative="1">
      <w:start w:val="1"/>
      <w:numFmt w:val="bullet"/>
      <w:lvlText w:val="•"/>
      <w:lvlJc w:val="left"/>
      <w:pPr>
        <w:tabs>
          <w:tab w:val="num" w:pos="2880"/>
        </w:tabs>
        <w:ind w:left="2880" w:hanging="360"/>
      </w:pPr>
      <w:rPr>
        <w:rFonts w:ascii="Arial" w:hAnsi="Arial" w:hint="default"/>
      </w:rPr>
    </w:lvl>
    <w:lvl w:ilvl="4" w:tplc="8160BCB4" w:tentative="1">
      <w:start w:val="1"/>
      <w:numFmt w:val="bullet"/>
      <w:lvlText w:val="•"/>
      <w:lvlJc w:val="left"/>
      <w:pPr>
        <w:tabs>
          <w:tab w:val="num" w:pos="3600"/>
        </w:tabs>
        <w:ind w:left="3600" w:hanging="360"/>
      </w:pPr>
      <w:rPr>
        <w:rFonts w:ascii="Arial" w:hAnsi="Arial" w:hint="default"/>
      </w:rPr>
    </w:lvl>
    <w:lvl w:ilvl="5" w:tplc="D6B20A4A" w:tentative="1">
      <w:start w:val="1"/>
      <w:numFmt w:val="bullet"/>
      <w:lvlText w:val="•"/>
      <w:lvlJc w:val="left"/>
      <w:pPr>
        <w:tabs>
          <w:tab w:val="num" w:pos="4320"/>
        </w:tabs>
        <w:ind w:left="4320" w:hanging="360"/>
      </w:pPr>
      <w:rPr>
        <w:rFonts w:ascii="Arial" w:hAnsi="Arial" w:hint="default"/>
      </w:rPr>
    </w:lvl>
    <w:lvl w:ilvl="6" w:tplc="2FC898F6" w:tentative="1">
      <w:start w:val="1"/>
      <w:numFmt w:val="bullet"/>
      <w:lvlText w:val="•"/>
      <w:lvlJc w:val="left"/>
      <w:pPr>
        <w:tabs>
          <w:tab w:val="num" w:pos="5040"/>
        </w:tabs>
        <w:ind w:left="5040" w:hanging="360"/>
      </w:pPr>
      <w:rPr>
        <w:rFonts w:ascii="Arial" w:hAnsi="Arial" w:hint="default"/>
      </w:rPr>
    </w:lvl>
    <w:lvl w:ilvl="7" w:tplc="84B21B1A" w:tentative="1">
      <w:start w:val="1"/>
      <w:numFmt w:val="bullet"/>
      <w:lvlText w:val="•"/>
      <w:lvlJc w:val="left"/>
      <w:pPr>
        <w:tabs>
          <w:tab w:val="num" w:pos="5760"/>
        </w:tabs>
        <w:ind w:left="5760" w:hanging="360"/>
      </w:pPr>
      <w:rPr>
        <w:rFonts w:ascii="Arial" w:hAnsi="Arial" w:hint="default"/>
      </w:rPr>
    </w:lvl>
    <w:lvl w:ilvl="8" w:tplc="09FEB1A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B251CA"/>
    <w:multiLevelType w:val="hybridMultilevel"/>
    <w:tmpl w:val="DBB077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4204D96"/>
    <w:multiLevelType w:val="hybridMultilevel"/>
    <w:tmpl w:val="66589BB4"/>
    <w:lvl w:ilvl="0" w:tplc="D00C0016">
      <w:start w:val="1"/>
      <w:numFmt w:val="bullet"/>
      <w:lvlText w:val="•"/>
      <w:lvlJc w:val="left"/>
      <w:pPr>
        <w:tabs>
          <w:tab w:val="num" w:pos="720"/>
        </w:tabs>
        <w:ind w:left="720" w:hanging="360"/>
      </w:pPr>
      <w:rPr>
        <w:rFonts w:ascii="Times New Roman" w:hAnsi="Times New Roman" w:hint="default"/>
      </w:rPr>
    </w:lvl>
    <w:lvl w:ilvl="1" w:tplc="93DC021A" w:tentative="1">
      <w:start w:val="1"/>
      <w:numFmt w:val="bullet"/>
      <w:lvlText w:val="•"/>
      <w:lvlJc w:val="left"/>
      <w:pPr>
        <w:tabs>
          <w:tab w:val="num" w:pos="1440"/>
        </w:tabs>
        <w:ind w:left="1440" w:hanging="360"/>
      </w:pPr>
      <w:rPr>
        <w:rFonts w:ascii="Times New Roman" w:hAnsi="Times New Roman" w:hint="default"/>
      </w:rPr>
    </w:lvl>
    <w:lvl w:ilvl="2" w:tplc="0EC26AA8" w:tentative="1">
      <w:start w:val="1"/>
      <w:numFmt w:val="bullet"/>
      <w:lvlText w:val="•"/>
      <w:lvlJc w:val="left"/>
      <w:pPr>
        <w:tabs>
          <w:tab w:val="num" w:pos="2160"/>
        </w:tabs>
        <w:ind w:left="2160" w:hanging="360"/>
      </w:pPr>
      <w:rPr>
        <w:rFonts w:ascii="Times New Roman" w:hAnsi="Times New Roman" w:hint="default"/>
      </w:rPr>
    </w:lvl>
    <w:lvl w:ilvl="3" w:tplc="4ECC6C3A" w:tentative="1">
      <w:start w:val="1"/>
      <w:numFmt w:val="bullet"/>
      <w:lvlText w:val="•"/>
      <w:lvlJc w:val="left"/>
      <w:pPr>
        <w:tabs>
          <w:tab w:val="num" w:pos="2880"/>
        </w:tabs>
        <w:ind w:left="2880" w:hanging="360"/>
      </w:pPr>
      <w:rPr>
        <w:rFonts w:ascii="Times New Roman" w:hAnsi="Times New Roman" w:hint="default"/>
      </w:rPr>
    </w:lvl>
    <w:lvl w:ilvl="4" w:tplc="897AB366" w:tentative="1">
      <w:start w:val="1"/>
      <w:numFmt w:val="bullet"/>
      <w:lvlText w:val="•"/>
      <w:lvlJc w:val="left"/>
      <w:pPr>
        <w:tabs>
          <w:tab w:val="num" w:pos="3600"/>
        </w:tabs>
        <w:ind w:left="3600" w:hanging="360"/>
      </w:pPr>
      <w:rPr>
        <w:rFonts w:ascii="Times New Roman" w:hAnsi="Times New Roman" w:hint="default"/>
      </w:rPr>
    </w:lvl>
    <w:lvl w:ilvl="5" w:tplc="D2B4B8C6" w:tentative="1">
      <w:start w:val="1"/>
      <w:numFmt w:val="bullet"/>
      <w:lvlText w:val="•"/>
      <w:lvlJc w:val="left"/>
      <w:pPr>
        <w:tabs>
          <w:tab w:val="num" w:pos="4320"/>
        </w:tabs>
        <w:ind w:left="4320" w:hanging="360"/>
      </w:pPr>
      <w:rPr>
        <w:rFonts w:ascii="Times New Roman" w:hAnsi="Times New Roman" w:hint="default"/>
      </w:rPr>
    </w:lvl>
    <w:lvl w:ilvl="6" w:tplc="37A0594A" w:tentative="1">
      <w:start w:val="1"/>
      <w:numFmt w:val="bullet"/>
      <w:lvlText w:val="•"/>
      <w:lvlJc w:val="left"/>
      <w:pPr>
        <w:tabs>
          <w:tab w:val="num" w:pos="5040"/>
        </w:tabs>
        <w:ind w:left="5040" w:hanging="360"/>
      </w:pPr>
      <w:rPr>
        <w:rFonts w:ascii="Times New Roman" w:hAnsi="Times New Roman" w:hint="default"/>
      </w:rPr>
    </w:lvl>
    <w:lvl w:ilvl="7" w:tplc="ECD8CA30" w:tentative="1">
      <w:start w:val="1"/>
      <w:numFmt w:val="bullet"/>
      <w:lvlText w:val="•"/>
      <w:lvlJc w:val="left"/>
      <w:pPr>
        <w:tabs>
          <w:tab w:val="num" w:pos="5760"/>
        </w:tabs>
        <w:ind w:left="5760" w:hanging="360"/>
      </w:pPr>
      <w:rPr>
        <w:rFonts w:ascii="Times New Roman" w:hAnsi="Times New Roman" w:hint="default"/>
      </w:rPr>
    </w:lvl>
    <w:lvl w:ilvl="8" w:tplc="475637E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4A24260"/>
    <w:multiLevelType w:val="hybridMultilevel"/>
    <w:tmpl w:val="43940EF6"/>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num w:numId="1">
    <w:abstractNumId w:val="15"/>
  </w:num>
  <w:num w:numId="2">
    <w:abstractNumId w:val="6"/>
  </w:num>
  <w:num w:numId="3">
    <w:abstractNumId w:val="5"/>
  </w:num>
  <w:num w:numId="4">
    <w:abstractNumId w:val="19"/>
  </w:num>
  <w:num w:numId="5">
    <w:abstractNumId w:val="11"/>
  </w:num>
  <w:num w:numId="6">
    <w:abstractNumId w:val="8"/>
  </w:num>
  <w:num w:numId="7">
    <w:abstractNumId w:val="18"/>
  </w:num>
  <w:num w:numId="8">
    <w:abstractNumId w:val="23"/>
  </w:num>
  <w:num w:numId="9">
    <w:abstractNumId w:val="2"/>
  </w:num>
  <w:num w:numId="10">
    <w:abstractNumId w:val="12"/>
  </w:num>
  <w:num w:numId="11">
    <w:abstractNumId w:val="24"/>
  </w:num>
  <w:num w:numId="12">
    <w:abstractNumId w:val="9"/>
  </w:num>
  <w:num w:numId="13">
    <w:abstractNumId w:val="0"/>
  </w:num>
  <w:num w:numId="14">
    <w:abstractNumId w:val="13"/>
  </w:num>
  <w:num w:numId="15">
    <w:abstractNumId w:val="17"/>
  </w:num>
  <w:num w:numId="16">
    <w:abstractNumId w:val="4"/>
  </w:num>
  <w:num w:numId="17">
    <w:abstractNumId w:val="22"/>
  </w:num>
  <w:num w:numId="18">
    <w:abstractNumId w:val="21"/>
  </w:num>
  <w:num w:numId="19">
    <w:abstractNumId w:val="1"/>
  </w:num>
  <w:num w:numId="20">
    <w:abstractNumId w:val="14"/>
  </w:num>
  <w:num w:numId="21">
    <w:abstractNumId w:val="10"/>
  </w:num>
  <w:num w:numId="22">
    <w:abstractNumId w:val="25"/>
  </w:num>
  <w:num w:numId="23">
    <w:abstractNumId w:val="7"/>
  </w:num>
  <w:num w:numId="24">
    <w:abstractNumId w:val="16"/>
  </w:num>
  <w:num w:numId="25">
    <w:abstractNumId w:val="3"/>
  </w:num>
  <w:num w:numId="2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505">
      <w:bodyDiv w:val="1"/>
      <w:marLeft w:val="0"/>
      <w:marRight w:val="0"/>
      <w:marTop w:val="0"/>
      <w:marBottom w:val="0"/>
      <w:divBdr>
        <w:top w:val="none" w:sz="0" w:space="0" w:color="auto"/>
        <w:left w:val="none" w:sz="0" w:space="0" w:color="auto"/>
        <w:bottom w:val="none" w:sz="0" w:space="0" w:color="auto"/>
        <w:right w:val="none" w:sz="0" w:space="0" w:color="auto"/>
      </w:divBdr>
    </w:div>
    <w:div w:id="169175843">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38949529">
      <w:bodyDiv w:val="1"/>
      <w:marLeft w:val="0"/>
      <w:marRight w:val="0"/>
      <w:marTop w:val="0"/>
      <w:marBottom w:val="0"/>
      <w:divBdr>
        <w:top w:val="none" w:sz="0" w:space="0" w:color="auto"/>
        <w:left w:val="none" w:sz="0" w:space="0" w:color="auto"/>
        <w:bottom w:val="none" w:sz="0" w:space="0" w:color="auto"/>
        <w:right w:val="none" w:sz="0" w:space="0" w:color="auto"/>
      </w:divBdr>
      <w:divsChild>
        <w:div w:id="1875772106">
          <w:marLeft w:val="547"/>
          <w:marRight w:val="0"/>
          <w:marTop w:val="0"/>
          <w:marBottom w:val="0"/>
          <w:divBdr>
            <w:top w:val="none" w:sz="0" w:space="0" w:color="auto"/>
            <w:left w:val="none" w:sz="0" w:space="0" w:color="auto"/>
            <w:bottom w:val="none" w:sz="0" w:space="0" w:color="auto"/>
            <w:right w:val="none" w:sz="0" w:space="0" w:color="auto"/>
          </w:divBdr>
        </w:div>
      </w:divsChild>
    </w:div>
    <w:div w:id="249697970">
      <w:bodyDiv w:val="1"/>
      <w:marLeft w:val="0"/>
      <w:marRight w:val="0"/>
      <w:marTop w:val="0"/>
      <w:marBottom w:val="0"/>
      <w:divBdr>
        <w:top w:val="none" w:sz="0" w:space="0" w:color="auto"/>
        <w:left w:val="none" w:sz="0" w:space="0" w:color="auto"/>
        <w:bottom w:val="none" w:sz="0" w:space="0" w:color="auto"/>
        <w:right w:val="none" w:sz="0" w:space="0" w:color="auto"/>
      </w:divBdr>
      <w:divsChild>
        <w:div w:id="797187378">
          <w:marLeft w:val="547"/>
          <w:marRight w:val="0"/>
          <w:marTop w:val="0"/>
          <w:marBottom w:val="0"/>
          <w:divBdr>
            <w:top w:val="none" w:sz="0" w:space="0" w:color="auto"/>
            <w:left w:val="none" w:sz="0" w:space="0" w:color="auto"/>
            <w:bottom w:val="none" w:sz="0" w:space="0" w:color="auto"/>
            <w:right w:val="none" w:sz="0" w:space="0" w:color="auto"/>
          </w:divBdr>
        </w:div>
      </w:divsChild>
    </w:div>
    <w:div w:id="480005649">
      <w:bodyDiv w:val="1"/>
      <w:marLeft w:val="0"/>
      <w:marRight w:val="0"/>
      <w:marTop w:val="0"/>
      <w:marBottom w:val="0"/>
      <w:divBdr>
        <w:top w:val="none" w:sz="0" w:space="0" w:color="auto"/>
        <w:left w:val="none" w:sz="0" w:space="0" w:color="auto"/>
        <w:bottom w:val="none" w:sz="0" w:space="0" w:color="auto"/>
        <w:right w:val="none" w:sz="0" w:space="0" w:color="auto"/>
      </w:divBdr>
      <w:divsChild>
        <w:div w:id="205874553">
          <w:marLeft w:val="274"/>
          <w:marRight w:val="0"/>
          <w:marTop w:val="0"/>
          <w:marBottom w:val="0"/>
          <w:divBdr>
            <w:top w:val="none" w:sz="0" w:space="0" w:color="auto"/>
            <w:left w:val="none" w:sz="0" w:space="0" w:color="auto"/>
            <w:bottom w:val="none" w:sz="0" w:space="0" w:color="auto"/>
            <w:right w:val="none" w:sz="0" w:space="0" w:color="auto"/>
          </w:divBdr>
        </w:div>
        <w:div w:id="1751805039">
          <w:marLeft w:val="274"/>
          <w:marRight w:val="0"/>
          <w:marTop w:val="0"/>
          <w:marBottom w:val="0"/>
          <w:divBdr>
            <w:top w:val="none" w:sz="0" w:space="0" w:color="auto"/>
            <w:left w:val="none" w:sz="0" w:space="0" w:color="auto"/>
            <w:bottom w:val="none" w:sz="0" w:space="0" w:color="auto"/>
            <w:right w:val="none" w:sz="0" w:space="0" w:color="auto"/>
          </w:divBdr>
        </w:div>
        <w:div w:id="203636948">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9751085">
      <w:bodyDiv w:val="1"/>
      <w:marLeft w:val="0"/>
      <w:marRight w:val="0"/>
      <w:marTop w:val="0"/>
      <w:marBottom w:val="0"/>
      <w:divBdr>
        <w:top w:val="none" w:sz="0" w:space="0" w:color="auto"/>
        <w:left w:val="none" w:sz="0" w:space="0" w:color="auto"/>
        <w:bottom w:val="none" w:sz="0" w:space="0" w:color="auto"/>
        <w:right w:val="none" w:sz="0" w:space="0" w:color="auto"/>
      </w:divBdr>
      <w:divsChild>
        <w:div w:id="1774202613">
          <w:marLeft w:val="547"/>
          <w:marRight w:val="0"/>
          <w:marTop w:val="200"/>
          <w:marBottom w:val="0"/>
          <w:divBdr>
            <w:top w:val="none" w:sz="0" w:space="0" w:color="auto"/>
            <w:left w:val="none" w:sz="0" w:space="0" w:color="auto"/>
            <w:bottom w:val="none" w:sz="0" w:space="0" w:color="auto"/>
            <w:right w:val="none" w:sz="0" w:space="0" w:color="auto"/>
          </w:divBdr>
        </w:div>
        <w:div w:id="224266341">
          <w:marLeft w:val="547"/>
          <w:marRight w:val="0"/>
          <w:marTop w:val="200"/>
          <w:marBottom w:val="0"/>
          <w:divBdr>
            <w:top w:val="none" w:sz="0" w:space="0" w:color="auto"/>
            <w:left w:val="none" w:sz="0" w:space="0" w:color="auto"/>
            <w:bottom w:val="none" w:sz="0" w:space="0" w:color="auto"/>
            <w:right w:val="none" w:sz="0" w:space="0" w:color="auto"/>
          </w:divBdr>
        </w:div>
      </w:divsChild>
    </w:div>
    <w:div w:id="660892352">
      <w:bodyDiv w:val="1"/>
      <w:marLeft w:val="0"/>
      <w:marRight w:val="0"/>
      <w:marTop w:val="0"/>
      <w:marBottom w:val="0"/>
      <w:divBdr>
        <w:top w:val="none" w:sz="0" w:space="0" w:color="auto"/>
        <w:left w:val="none" w:sz="0" w:space="0" w:color="auto"/>
        <w:bottom w:val="none" w:sz="0" w:space="0" w:color="auto"/>
        <w:right w:val="none" w:sz="0" w:space="0" w:color="auto"/>
      </w:divBdr>
      <w:divsChild>
        <w:div w:id="1071659235">
          <w:marLeft w:val="274"/>
          <w:marRight w:val="0"/>
          <w:marTop w:val="0"/>
          <w:marBottom w:val="0"/>
          <w:divBdr>
            <w:top w:val="none" w:sz="0" w:space="0" w:color="auto"/>
            <w:left w:val="none" w:sz="0" w:space="0" w:color="auto"/>
            <w:bottom w:val="none" w:sz="0" w:space="0" w:color="auto"/>
            <w:right w:val="none" w:sz="0" w:space="0" w:color="auto"/>
          </w:divBdr>
        </w:div>
        <w:div w:id="62335987">
          <w:marLeft w:val="274"/>
          <w:marRight w:val="0"/>
          <w:marTop w:val="0"/>
          <w:marBottom w:val="0"/>
          <w:divBdr>
            <w:top w:val="none" w:sz="0" w:space="0" w:color="auto"/>
            <w:left w:val="none" w:sz="0" w:space="0" w:color="auto"/>
            <w:bottom w:val="none" w:sz="0" w:space="0" w:color="auto"/>
            <w:right w:val="none" w:sz="0" w:space="0" w:color="auto"/>
          </w:divBdr>
        </w:div>
        <w:div w:id="191695383">
          <w:marLeft w:val="274"/>
          <w:marRight w:val="0"/>
          <w:marTop w:val="0"/>
          <w:marBottom w:val="0"/>
          <w:divBdr>
            <w:top w:val="none" w:sz="0" w:space="0" w:color="auto"/>
            <w:left w:val="none" w:sz="0" w:space="0" w:color="auto"/>
            <w:bottom w:val="none" w:sz="0" w:space="0" w:color="auto"/>
            <w:right w:val="none" w:sz="0" w:space="0" w:color="auto"/>
          </w:divBdr>
        </w:div>
        <w:div w:id="807165090">
          <w:marLeft w:val="994"/>
          <w:marRight w:val="0"/>
          <w:marTop w:val="0"/>
          <w:marBottom w:val="0"/>
          <w:divBdr>
            <w:top w:val="none" w:sz="0" w:space="0" w:color="auto"/>
            <w:left w:val="none" w:sz="0" w:space="0" w:color="auto"/>
            <w:bottom w:val="none" w:sz="0" w:space="0" w:color="auto"/>
            <w:right w:val="none" w:sz="0" w:space="0" w:color="auto"/>
          </w:divBdr>
        </w:div>
        <w:div w:id="1722360729">
          <w:marLeft w:val="99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5763791">
      <w:bodyDiv w:val="1"/>
      <w:marLeft w:val="0"/>
      <w:marRight w:val="0"/>
      <w:marTop w:val="0"/>
      <w:marBottom w:val="0"/>
      <w:divBdr>
        <w:top w:val="none" w:sz="0" w:space="0" w:color="auto"/>
        <w:left w:val="none" w:sz="0" w:space="0" w:color="auto"/>
        <w:bottom w:val="none" w:sz="0" w:space="0" w:color="auto"/>
        <w:right w:val="none" w:sz="0" w:space="0" w:color="auto"/>
      </w:divBdr>
      <w:divsChild>
        <w:div w:id="2070882338">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03490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7818289">
      <w:bodyDiv w:val="1"/>
      <w:marLeft w:val="0"/>
      <w:marRight w:val="0"/>
      <w:marTop w:val="0"/>
      <w:marBottom w:val="0"/>
      <w:divBdr>
        <w:top w:val="none" w:sz="0" w:space="0" w:color="auto"/>
        <w:left w:val="none" w:sz="0" w:space="0" w:color="auto"/>
        <w:bottom w:val="none" w:sz="0" w:space="0" w:color="auto"/>
        <w:right w:val="none" w:sz="0" w:space="0" w:color="auto"/>
      </w:divBdr>
      <w:divsChild>
        <w:div w:id="1570773139">
          <w:marLeft w:val="547"/>
          <w:marRight w:val="0"/>
          <w:marTop w:val="0"/>
          <w:marBottom w:val="0"/>
          <w:divBdr>
            <w:top w:val="none" w:sz="0" w:space="0" w:color="auto"/>
            <w:left w:val="none" w:sz="0" w:space="0" w:color="auto"/>
            <w:bottom w:val="none" w:sz="0" w:space="0" w:color="auto"/>
            <w:right w:val="none" w:sz="0" w:space="0" w:color="auto"/>
          </w:divBdr>
        </w:div>
      </w:divsChild>
    </w:div>
    <w:div w:id="1128741622">
      <w:bodyDiv w:val="1"/>
      <w:marLeft w:val="0"/>
      <w:marRight w:val="0"/>
      <w:marTop w:val="0"/>
      <w:marBottom w:val="0"/>
      <w:divBdr>
        <w:top w:val="none" w:sz="0" w:space="0" w:color="auto"/>
        <w:left w:val="none" w:sz="0" w:space="0" w:color="auto"/>
        <w:bottom w:val="none" w:sz="0" w:space="0" w:color="auto"/>
        <w:right w:val="none" w:sz="0" w:space="0" w:color="auto"/>
      </w:divBdr>
    </w:div>
    <w:div w:id="1294748174">
      <w:bodyDiv w:val="1"/>
      <w:marLeft w:val="0"/>
      <w:marRight w:val="0"/>
      <w:marTop w:val="0"/>
      <w:marBottom w:val="0"/>
      <w:divBdr>
        <w:top w:val="none" w:sz="0" w:space="0" w:color="auto"/>
        <w:left w:val="none" w:sz="0" w:space="0" w:color="auto"/>
        <w:bottom w:val="none" w:sz="0" w:space="0" w:color="auto"/>
        <w:right w:val="none" w:sz="0" w:space="0" w:color="auto"/>
      </w:divBdr>
      <w:divsChild>
        <w:div w:id="1684238602">
          <w:marLeft w:val="274"/>
          <w:marRight w:val="0"/>
          <w:marTop w:val="0"/>
          <w:marBottom w:val="0"/>
          <w:divBdr>
            <w:top w:val="none" w:sz="0" w:space="0" w:color="auto"/>
            <w:left w:val="none" w:sz="0" w:space="0" w:color="auto"/>
            <w:bottom w:val="none" w:sz="0" w:space="0" w:color="auto"/>
            <w:right w:val="none" w:sz="0" w:space="0" w:color="auto"/>
          </w:divBdr>
        </w:div>
        <w:div w:id="860507150">
          <w:marLeft w:val="994"/>
          <w:marRight w:val="0"/>
          <w:marTop w:val="0"/>
          <w:marBottom w:val="0"/>
          <w:divBdr>
            <w:top w:val="none" w:sz="0" w:space="0" w:color="auto"/>
            <w:left w:val="none" w:sz="0" w:space="0" w:color="auto"/>
            <w:bottom w:val="none" w:sz="0" w:space="0" w:color="auto"/>
            <w:right w:val="none" w:sz="0" w:space="0" w:color="auto"/>
          </w:divBdr>
        </w:div>
        <w:div w:id="1550844436">
          <w:marLeft w:val="994"/>
          <w:marRight w:val="0"/>
          <w:marTop w:val="0"/>
          <w:marBottom w:val="0"/>
          <w:divBdr>
            <w:top w:val="none" w:sz="0" w:space="0" w:color="auto"/>
            <w:left w:val="none" w:sz="0" w:space="0" w:color="auto"/>
            <w:bottom w:val="none" w:sz="0" w:space="0" w:color="auto"/>
            <w:right w:val="none" w:sz="0" w:space="0" w:color="auto"/>
          </w:divBdr>
        </w:div>
      </w:divsChild>
    </w:div>
    <w:div w:id="1394891930">
      <w:bodyDiv w:val="1"/>
      <w:marLeft w:val="0"/>
      <w:marRight w:val="0"/>
      <w:marTop w:val="0"/>
      <w:marBottom w:val="0"/>
      <w:divBdr>
        <w:top w:val="none" w:sz="0" w:space="0" w:color="auto"/>
        <w:left w:val="none" w:sz="0" w:space="0" w:color="auto"/>
        <w:bottom w:val="none" w:sz="0" w:space="0" w:color="auto"/>
        <w:right w:val="none" w:sz="0" w:space="0" w:color="auto"/>
      </w:divBdr>
      <w:divsChild>
        <w:div w:id="2118599120">
          <w:marLeft w:val="547"/>
          <w:marRight w:val="0"/>
          <w:marTop w:val="0"/>
          <w:marBottom w:val="0"/>
          <w:divBdr>
            <w:top w:val="none" w:sz="0" w:space="0" w:color="auto"/>
            <w:left w:val="none" w:sz="0" w:space="0" w:color="auto"/>
            <w:bottom w:val="none" w:sz="0" w:space="0" w:color="auto"/>
            <w:right w:val="none" w:sz="0" w:space="0" w:color="auto"/>
          </w:divBdr>
        </w:div>
      </w:divsChild>
    </w:div>
    <w:div w:id="1508519013">
      <w:bodyDiv w:val="1"/>
      <w:marLeft w:val="0"/>
      <w:marRight w:val="0"/>
      <w:marTop w:val="0"/>
      <w:marBottom w:val="0"/>
      <w:divBdr>
        <w:top w:val="none" w:sz="0" w:space="0" w:color="auto"/>
        <w:left w:val="none" w:sz="0" w:space="0" w:color="auto"/>
        <w:bottom w:val="none" w:sz="0" w:space="0" w:color="auto"/>
        <w:right w:val="none" w:sz="0" w:space="0" w:color="auto"/>
      </w:divBdr>
      <w:divsChild>
        <w:div w:id="750585795">
          <w:marLeft w:val="274"/>
          <w:marRight w:val="0"/>
          <w:marTop w:val="0"/>
          <w:marBottom w:val="0"/>
          <w:divBdr>
            <w:top w:val="none" w:sz="0" w:space="0" w:color="auto"/>
            <w:left w:val="none" w:sz="0" w:space="0" w:color="auto"/>
            <w:bottom w:val="none" w:sz="0" w:space="0" w:color="auto"/>
            <w:right w:val="none" w:sz="0" w:space="0" w:color="auto"/>
          </w:divBdr>
        </w:div>
      </w:divsChild>
    </w:div>
    <w:div w:id="1550994694">
      <w:bodyDiv w:val="1"/>
      <w:marLeft w:val="0"/>
      <w:marRight w:val="0"/>
      <w:marTop w:val="0"/>
      <w:marBottom w:val="0"/>
      <w:divBdr>
        <w:top w:val="none" w:sz="0" w:space="0" w:color="auto"/>
        <w:left w:val="none" w:sz="0" w:space="0" w:color="auto"/>
        <w:bottom w:val="none" w:sz="0" w:space="0" w:color="auto"/>
        <w:right w:val="none" w:sz="0" w:space="0" w:color="auto"/>
      </w:divBdr>
    </w:div>
    <w:div w:id="1585725710">
      <w:bodyDiv w:val="1"/>
      <w:marLeft w:val="0"/>
      <w:marRight w:val="0"/>
      <w:marTop w:val="0"/>
      <w:marBottom w:val="0"/>
      <w:divBdr>
        <w:top w:val="none" w:sz="0" w:space="0" w:color="auto"/>
        <w:left w:val="none" w:sz="0" w:space="0" w:color="auto"/>
        <w:bottom w:val="none" w:sz="0" w:space="0" w:color="auto"/>
        <w:right w:val="none" w:sz="0" w:space="0" w:color="auto"/>
      </w:divBdr>
      <w:divsChild>
        <w:div w:id="155926356">
          <w:marLeft w:val="274"/>
          <w:marRight w:val="0"/>
          <w:marTop w:val="0"/>
          <w:marBottom w:val="0"/>
          <w:divBdr>
            <w:top w:val="none" w:sz="0" w:space="0" w:color="auto"/>
            <w:left w:val="none" w:sz="0" w:space="0" w:color="auto"/>
            <w:bottom w:val="none" w:sz="0" w:space="0" w:color="auto"/>
            <w:right w:val="none" w:sz="0" w:space="0" w:color="auto"/>
          </w:divBdr>
        </w:div>
        <w:div w:id="618100200">
          <w:marLeft w:val="274"/>
          <w:marRight w:val="0"/>
          <w:marTop w:val="0"/>
          <w:marBottom w:val="0"/>
          <w:divBdr>
            <w:top w:val="none" w:sz="0" w:space="0" w:color="auto"/>
            <w:left w:val="none" w:sz="0" w:space="0" w:color="auto"/>
            <w:bottom w:val="none" w:sz="0" w:space="0" w:color="auto"/>
            <w:right w:val="none" w:sz="0" w:space="0" w:color="auto"/>
          </w:divBdr>
        </w:div>
      </w:divsChild>
    </w:div>
    <w:div w:id="1676572637">
      <w:bodyDiv w:val="1"/>
      <w:marLeft w:val="0"/>
      <w:marRight w:val="0"/>
      <w:marTop w:val="0"/>
      <w:marBottom w:val="0"/>
      <w:divBdr>
        <w:top w:val="none" w:sz="0" w:space="0" w:color="auto"/>
        <w:left w:val="none" w:sz="0" w:space="0" w:color="auto"/>
        <w:bottom w:val="none" w:sz="0" w:space="0" w:color="auto"/>
        <w:right w:val="none" w:sz="0" w:space="0" w:color="auto"/>
      </w:divBdr>
      <w:divsChild>
        <w:div w:id="753361149">
          <w:marLeft w:val="274"/>
          <w:marRight w:val="0"/>
          <w:marTop w:val="0"/>
          <w:marBottom w:val="0"/>
          <w:divBdr>
            <w:top w:val="none" w:sz="0" w:space="0" w:color="auto"/>
            <w:left w:val="none" w:sz="0" w:space="0" w:color="auto"/>
            <w:bottom w:val="none" w:sz="0" w:space="0" w:color="auto"/>
            <w:right w:val="none" w:sz="0" w:space="0" w:color="auto"/>
          </w:divBdr>
        </w:div>
        <w:div w:id="1606840210">
          <w:marLeft w:val="99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8-24.pp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8-24.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581FA-5654-47A5-A9F1-F3C75FDD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2704</Words>
  <Characters>17041</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66</cp:revision>
  <cp:lastPrinted>2020-05-06T16:43:00Z</cp:lastPrinted>
  <dcterms:created xsi:type="dcterms:W3CDTF">2022-03-03T09:26:00Z</dcterms:created>
  <dcterms:modified xsi:type="dcterms:W3CDTF">2022-08-25T10:19:00Z</dcterms:modified>
</cp:coreProperties>
</file>