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berschrift1"/>
      </w:pPr>
      <w:r>
        <w:t>Lage-AG-Sitzung zu COVID-19</w:t>
      </w:r>
    </w:p>
    <w:p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Ergebnisprotokoll</w:t>
      </w:r>
    </w:p>
    <w:p>
      <w:pPr>
        <w:rPr>
          <w:i/>
        </w:rPr>
      </w:pPr>
      <w:r>
        <w:rPr>
          <w:i/>
        </w:rPr>
        <w:t>Aktenzeichen: 4.06.02/0024#0014</w:t>
      </w:r>
    </w:p>
    <w:p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solid" w:color="D9D9D9" w:themeColor="background1" w:themeShade="D9" w:fill="auto"/>
        <w:spacing w:line="276" w:lineRule="auto"/>
        <w:rPr>
          <w:i/>
          <w:sz w:val="22"/>
        </w:rPr>
      </w:pPr>
      <w:r>
        <w:rPr>
          <w:b/>
          <w:i/>
          <w:sz w:val="22"/>
        </w:rPr>
        <w:t>Anlass:</w:t>
      </w:r>
      <w:r>
        <w:rPr>
          <w:i/>
          <w:sz w:val="22"/>
        </w:rPr>
        <w:t xml:space="preserve"> </w:t>
      </w:r>
      <w:r>
        <w:rPr>
          <w:i/>
          <w:sz w:val="22"/>
        </w:rPr>
        <w:tab/>
      </w:r>
      <w:r>
        <w:rPr>
          <w:i/>
          <w:sz w:val="22"/>
        </w:rPr>
        <w:tab/>
      </w:r>
      <w:sdt>
        <w:sdtPr>
          <w:rPr>
            <w:i/>
            <w:sz w:val="22"/>
          </w:rPr>
          <w:id w:val="-1069258484"/>
          <w:placeholder>
            <w:docPart w:val="DefaultPlaceholder_1082065158"/>
          </w:placeholder>
        </w:sdtPr>
        <w:sdtContent>
          <w:sdt>
            <w:sdtPr>
              <w:rPr>
                <w:i/>
                <w:sz w:val="22"/>
              </w:rPr>
              <w:id w:val="334350100"/>
              <w:placeholder>
                <w:docPart w:val="0A67EC378ADB4363968F76466F3994ED"/>
              </w:placeholder>
            </w:sdtPr>
            <w:sdtContent>
              <w:r>
                <w:rPr>
                  <w:sz w:val="22"/>
                </w:rPr>
                <w:t>COVID-19</w:t>
              </w:r>
            </w:sdtContent>
          </w:sdt>
        </w:sdtContent>
      </w:sdt>
    </w:p>
    <w:p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solid" w:color="D9D9D9" w:themeColor="background1" w:themeShade="D9" w:fill="auto"/>
        <w:spacing w:line="276" w:lineRule="auto"/>
        <w:rPr>
          <w:i/>
          <w:sz w:val="22"/>
        </w:rPr>
      </w:pPr>
      <w:r>
        <w:rPr>
          <w:b/>
          <w:i/>
          <w:sz w:val="22"/>
        </w:rPr>
        <w:t>Datum:</w:t>
      </w:r>
      <w:r>
        <w:rPr>
          <w:i/>
          <w:sz w:val="22"/>
        </w:rPr>
        <w:t xml:space="preserve"> </w:t>
      </w:r>
      <w:r>
        <w:rPr>
          <w:i/>
          <w:sz w:val="22"/>
        </w:rPr>
        <w:tab/>
      </w:r>
      <w:r>
        <w:rPr>
          <w:i/>
          <w:sz w:val="22"/>
        </w:rPr>
        <w:tab/>
      </w:r>
      <w:sdt>
        <w:sdtPr>
          <w:rPr>
            <w:i/>
            <w:sz w:val="22"/>
          </w:rPr>
          <w:id w:val="1092433924"/>
          <w:placeholder>
            <w:docPart w:val="DefaultPlaceholder_1082065158"/>
          </w:placeholder>
        </w:sdtPr>
        <w:sdtContent>
          <w:r>
            <w:rPr>
              <w:i/>
              <w:sz w:val="22"/>
            </w:rPr>
            <w:t>Donnerstag, 01.09.20222, 09:00 Uhr</w:t>
          </w:r>
        </w:sdtContent>
      </w:sdt>
    </w:p>
    <w:p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solid" w:color="D9D9D9" w:themeColor="background1" w:themeShade="D9" w:fill="auto"/>
        <w:spacing w:line="276" w:lineRule="auto"/>
        <w:rPr>
          <w:sz w:val="22"/>
        </w:rPr>
      </w:pPr>
      <w:r>
        <w:rPr>
          <w:b/>
          <w:i/>
          <w:sz w:val="22"/>
        </w:rPr>
        <w:t>Sitzungsort:</w:t>
      </w:r>
      <w:r>
        <w:rPr>
          <w:b/>
          <w:i/>
          <w:sz w:val="22"/>
        </w:rPr>
        <w:tab/>
      </w:r>
      <w:r>
        <w:rPr>
          <w:b/>
          <w:i/>
          <w:sz w:val="22"/>
        </w:rPr>
        <w:tab/>
      </w:r>
      <w:sdt>
        <w:sdtPr>
          <w:rPr>
            <w:sz w:val="22"/>
          </w:rPr>
          <w:id w:val="1344203332"/>
          <w:placeholder>
            <w:docPart w:val="0F773A1FCB61483A80E8B309D8E6A01A"/>
          </w:placeholder>
        </w:sdtPr>
        <w:sdtContent>
          <w:r>
            <w:rPr>
              <w:sz w:val="22"/>
            </w:rPr>
            <w:t>Webex-Konferenz</w:t>
          </w:r>
        </w:sdtContent>
      </w:sdt>
    </w:p>
    <w:p>
      <w:pPr>
        <w:rPr>
          <w:b/>
          <w:sz w:val="22"/>
        </w:rPr>
      </w:pPr>
      <w:r>
        <w:rPr>
          <w:b/>
          <w:sz w:val="22"/>
        </w:rPr>
        <w:t xml:space="preserve">Moderation: Lars Schaade </w:t>
      </w:r>
    </w:p>
    <w:p>
      <w:pPr>
        <w:spacing w:after="0"/>
        <w:rPr>
          <w:b/>
          <w:sz w:val="22"/>
        </w:rPr>
        <w:sectPr>
          <w:headerReference w:type="default" r:id="rId8"/>
          <w:footerReference w:type="even" r:id="rId9"/>
          <w:footerReference w:type="default" r:id="rId10"/>
          <w:pgSz w:w="11900" w:h="16840"/>
          <w:pgMar w:top="1440" w:right="1800" w:bottom="1440" w:left="1800" w:header="708" w:footer="708" w:gutter="0"/>
          <w:cols w:space="708"/>
        </w:sectPr>
      </w:pPr>
    </w:p>
    <w:p>
      <w:pPr>
        <w:spacing w:after="0"/>
        <w:rPr>
          <w:b/>
          <w:sz w:val="22"/>
        </w:rPr>
      </w:pPr>
      <w:bookmarkStart w:id="0" w:name="_Hlk82005470"/>
      <w:r>
        <w:rPr>
          <w:b/>
          <w:sz w:val="22"/>
        </w:rPr>
        <w:t xml:space="preserve">Teilnehmende: </w:t>
      </w:r>
    </w:p>
    <w:p>
      <w:pPr>
        <w:pStyle w:val="Listenabsatz"/>
        <w:numPr>
          <w:ilvl w:val="0"/>
          <w:numId w:val="3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Institutsleitung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Lars Schaade</w:t>
      </w:r>
    </w:p>
    <w:p>
      <w:pPr>
        <w:pStyle w:val="Listenabsatz"/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Esther-Maria </w:t>
      </w:r>
      <w:proofErr w:type="spellStart"/>
      <w:r>
        <w:rPr>
          <w:sz w:val="22"/>
          <w:szCs w:val="22"/>
        </w:rPr>
        <w:t>Antão</w:t>
      </w:r>
      <w:proofErr w:type="spellEnd"/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</w:p>
    <w:p>
      <w:pPr>
        <w:pStyle w:val="Listenabsatz"/>
        <w:numPr>
          <w:ilvl w:val="0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Abt. 1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Martin Mielke</w:t>
      </w:r>
    </w:p>
    <w:p>
      <w:pPr>
        <w:pStyle w:val="Listenabsatz"/>
        <w:numPr>
          <w:ilvl w:val="0"/>
          <w:numId w:val="2"/>
        </w:numPr>
        <w:spacing w:after="0" w:line="233" w:lineRule="auto"/>
        <w:ind w:hanging="357"/>
        <w:contextualSpacing w:val="0"/>
        <w:rPr>
          <w:sz w:val="22"/>
          <w:szCs w:val="22"/>
        </w:rPr>
      </w:pPr>
      <w:r>
        <w:rPr>
          <w:sz w:val="22"/>
          <w:szCs w:val="22"/>
        </w:rPr>
        <w:t>Abt. 3</w:t>
      </w:r>
    </w:p>
    <w:p>
      <w:pPr>
        <w:pStyle w:val="Listenabsatz"/>
        <w:numPr>
          <w:ilvl w:val="1"/>
          <w:numId w:val="2"/>
        </w:numPr>
        <w:spacing w:after="0" w:line="233" w:lineRule="auto"/>
        <w:contextualSpacing w:val="0"/>
        <w:rPr>
          <w:sz w:val="22"/>
          <w:szCs w:val="22"/>
        </w:rPr>
      </w:pPr>
      <w:r>
        <w:rPr>
          <w:sz w:val="22"/>
          <w:szCs w:val="22"/>
        </w:rPr>
        <w:t>Osamah Hamouda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Tanja Jung-Sendzik</w:t>
      </w:r>
    </w:p>
    <w:p>
      <w:pPr>
        <w:pStyle w:val="Listenabsatz"/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FG14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Melanie Brunke</w:t>
      </w:r>
    </w:p>
    <w:p>
      <w:pPr>
        <w:spacing w:after="0"/>
        <w:ind w:left="1080"/>
        <w:rPr>
          <w:sz w:val="22"/>
          <w:szCs w:val="22"/>
        </w:rPr>
      </w:pPr>
    </w:p>
    <w:p>
      <w:pPr>
        <w:pStyle w:val="Listenabsatz"/>
        <w:numPr>
          <w:ilvl w:val="0"/>
          <w:numId w:val="3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FG17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Barbara Biere</w:t>
      </w:r>
    </w:p>
    <w:p>
      <w:pPr>
        <w:pStyle w:val="Listenabsatz"/>
        <w:numPr>
          <w:ilvl w:val="0"/>
          <w:numId w:val="4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FG31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Ute Rexroth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Ulrike Grote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Janina Stauke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Christian Wittke (Protokoll)</w:t>
      </w:r>
    </w:p>
    <w:p>
      <w:pPr>
        <w:pStyle w:val="Listenabsatz"/>
        <w:numPr>
          <w:ilvl w:val="0"/>
          <w:numId w:val="4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FG32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Michaela Diercke</w:t>
      </w:r>
    </w:p>
    <w:p>
      <w:pPr>
        <w:pStyle w:val="Listenabsatz"/>
        <w:numPr>
          <w:ilvl w:val="0"/>
          <w:numId w:val="4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FG34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 xml:space="preserve">Matthias </w:t>
      </w:r>
      <w:proofErr w:type="gramStart"/>
      <w:r>
        <w:rPr>
          <w:sz w:val="22"/>
        </w:rPr>
        <w:t>an der Heiden</w:t>
      </w:r>
      <w:proofErr w:type="gramEnd"/>
    </w:p>
    <w:p>
      <w:pPr>
        <w:pStyle w:val="Listenabsatz"/>
        <w:numPr>
          <w:ilvl w:val="0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FG36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Udo Buchholz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Stefan Kröger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Kristin Tolksdorf</w:t>
      </w:r>
    </w:p>
    <w:p>
      <w:pPr>
        <w:pStyle w:val="Listenabsatz"/>
        <w:numPr>
          <w:ilvl w:val="0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FG37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Tim Eckmanns</w:t>
      </w:r>
    </w:p>
    <w:p>
      <w:pPr>
        <w:pStyle w:val="Listenabsatz"/>
        <w:numPr>
          <w:ilvl w:val="0"/>
          <w:numId w:val="3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ZBS7</w:t>
      </w:r>
    </w:p>
    <w:p>
      <w:pPr>
        <w:pStyle w:val="Listenabsatz"/>
        <w:numPr>
          <w:ilvl w:val="1"/>
          <w:numId w:val="3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Agata Mikolajewska</w:t>
      </w:r>
    </w:p>
    <w:p>
      <w:pPr>
        <w:pStyle w:val="Listenabsatz"/>
        <w:numPr>
          <w:ilvl w:val="0"/>
          <w:numId w:val="3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MF4</w:t>
      </w:r>
    </w:p>
    <w:p>
      <w:pPr>
        <w:pStyle w:val="Listenabsatz"/>
        <w:numPr>
          <w:ilvl w:val="1"/>
          <w:numId w:val="3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Martina Fischer</w:t>
      </w:r>
    </w:p>
    <w:p>
      <w:pPr>
        <w:pStyle w:val="Listenabsatz"/>
        <w:numPr>
          <w:ilvl w:val="0"/>
          <w:numId w:val="3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P1</w:t>
      </w:r>
    </w:p>
    <w:p>
      <w:pPr>
        <w:pStyle w:val="Listenabsatz"/>
        <w:numPr>
          <w:ilvl w:val="1"/>
          <w:numId w:val="3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Ines Lein</w:t>
      </w:r>
    </w:p>
    <w:p>
      <w:pPr>
        <w:pStyle w:val="Listenabsatz"/>
        <w:numPr>
          <w:ilvl w:val="0"/>
          <w:numId w:val="3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Presse</w:t>
      </w:r>
    </w:p>
    <w:p>
      <w:pPr>
        <w:pStyle w:val="Listenabsatz"/>
        <w:numPr>
          <w:ilvl w:val="1"/>
          <w:numId w:val="3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Susanne Glasmacher</w:t>
      </w:r>
    </w:p>
    <w:p>
      <w:pPr>
        <w:pStyle w:val="Listenabsatz"/>
        <w:numPr>
          <w:ilvl w:val="1"/>
          <w:numId w:val="3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Marieke Degen</w:t>
      </w:r>
    </w:p>
    <w:p>
      <w:pPr>
        <w:pStyle w:val="Listenabsatz"/>
        <w:numPr>
          <w:ilvl w:val="0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ZIG1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rStyle w:val="highlight"/>
          <w:sz w:val="22"/>
          <w:szCs w:val="22"/>
        </w:rPr>
      </w:pPr>
      <w:r>
        <w:rPr>
          <w:rStyle w:val="highlight"/>
          <w:sz w:val="22"/>
          <w:szCs w:val="22"/>
        </w:rPr>
        <w:t>Romy Kerber</w:t>
      </w:r>
    </w:p>
    <w:p>
      <w:pPr>
        <w:pStyle w:val="Listenabsatz"/>
        <w:numPr>
          <w:ilvl w:val="0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 xml:space="preserve">BZgA 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</w:rPr>
        <w:t>Mirco Steffens</w:t>
      </w:r>
    </w:p>
    <w:p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bookmarkEnd w:id="0"/>
    <w:p>
      <w:pPr>
        <w:spacing w:after="0"/>
        <w:rPr>
          <w:sz w:val="22"/>
        </w:rPr>
        <w:sectPr>
          <w:type w:val="continuous"/>
          <w:pgSz w:w="11900" w:h="16840"/>
          <w:pgMar w:top="1440" w:right="1800" w:bottom="1440" w:left="1800" w:header="708" w:footer="708" w:gutter="0"/>
          <w:cols w:num="2" w:space="560"/>
        </w:sectPr>
      </w:pPr>
    </w:p>
    <w:p>
      <w:pPr>
        <w:pStyle w:val="Liste2"/>
        <w:numPr>
          <w:ilvl w:val="0"/>
          <w:numId w:val="0"/>
        </w:numPr>
      </w:pPr>
    </w:p>
    <w:tbl>
      <w:tblPr>
        <w:tblStyle w:val="Tabellenraster"/>
        <w:tblW w:w="8971" w:type="dxa"/>
        <w:tblLayout w:type="fixed"/>
        <w:tblLook w:val="00A0" w:firstRow="1" w:lastRow="0" w:firstColumn="1" w:lastColumn="0" w:noHBand="0" w:noVBand="0"/>
      </w:tblPr>
      <w:tblGrid>
        <w:gridCol w:w="684"/>
        <w:gridCol w:w="6824"/>
        <w:gridCol w:w="1463"/>
      </w:tblGrid>
      <w:tr>
        <w:tc>
          <w:tcPr>
            <w:tcW w:w="684" w:type="dxa"/>
          </w:tcPr>
          <w:p>
            <w:pPr>
              <w:pStyle w:val="1"/>
              <w:rPr>
                <w:sz w:val="24"/>
              </w:rPr>
            </w:pPr>
            <w:r>
              <w:rPr>
                <w:sz w:val="24"/>
              </w:rPr>
              <w:br w:type="page"/>
            </w:r>
            <w:r>
              <w:rPr>
                <w:sz w:val="24"/>
              </w:rPr>
              <w:br w:type="page"/>
              <w:t>TOP</w:t>
            </w:r>
          </w:p>
        </w:tc>
        <w:tc>
          <w:tcPr>
            <w:tcW w:w="6824" w:type="dxa"/>
          </w:tcPr>
          <w:p>
            <w:pPr>
              <w:pStyle w:val="1"/>
              <w:rPr>
                <w:sz w:val="24"/>
              </w:rPr>
            </w:pPr>
            <w:r>
              <w:rPr>
                <w:sz w:val="24"/>
              </w:rPr>
              <w:t>Beitrag/ Thema</w:t>
            </w:r>
          </w:p>
        </w:tc>
        <w:tc>
          <w:tcPr>
            <w:tcW w:w="1463" w:type="dxa"/>
          </w:tcPr>
          <w:p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eingebracht von</w:t>
            </w: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6824" w:type="dxa"/>
          </w:tcPr>
          <w:p>
            <w:pPr>
              <w:pStyle w:val="1"/>
            </w:pPr>
            <w:r>
              <w:t xml:space="preserve">Aktuelle Lage </w:t>
            </w:r>
          </w:p>
          <w:p>
            <w:pPr>
              <w:spacing w:line="276" w:lineRule="auto"/>
              <w:rPr>
                <w:b/>
                <w:bCs/>
                <w:i/>
                <w:color w:val="D99594" w:themeColor="accent2" w:themeTint="99"/>
              </w:rPr>
            </w:pPr>
            <w:r>
              <w:rPr>
                <w:rStyle w:val="2Zchn"/>
                <w:sz w:val="22"/>
                <w:szCs w:val="22"/>
              </w:rPr>
              <w:t>International</w:t>
            </w:r>
            <w:r>
              <w:rPr>
                <w:rStyle w:val="TagMiZchn"/>
                <w:bCs/>
              </w:rPr>
              <w:t xml:space="preserve"> </w:t>
            </w:r>
          </w:p>
          <w:p>
            <w:pPr>
              <w:pStyle w:val="Liste2"/>
            </w:pPr>
            <w:proofErr w:type="spellStart"/>
            <w:r>
              <w:t>Folien</w:t>
            </w:r>
            <w:proofErr w:type="spellEnd"/>
            <w:r>
              <w:t xml:space="preserve"> </w:t>
            </w:r>
            <w:hyperlink r:id="rId11" w:history="1">
              <w:proofErr w:type="spellStart"/>
              <w:r>
                <w:rPr>
                  <w:rStyle w:val="Hyperlink"/>
                </w:rPr>
                <w:t>hier</w:t>
              </w:r>
              <w:proofErr w:type="spellEnd"/>
            </w:hyperlink>
          </w:p>
          <w:p>
            <w:pPr>
              <w:pStyle w:val="Liste2"/>
            </w:pPr>
            <w:proofErr w:type="spellStart"/>
            <w:r>
              <w:t>Weltweit</w:t>
            </w:r>
            <w:proofErr w:type="spellEnd"/>
            <w:r>
              <w:t xml:space="preserve">: </w:t>
            </w:r>
            <w:proofErr w:type="spellStart"/>
            <w:r>
              <w:t>Fälle</w:t>
            </w:r>
            <w:proofErr w:type="spellEnd"/>
            <w:r>
              <w:t xml:space="preserve">, </w:t>
            </w:r>
            <w:proofErr w:type="spellStart"/>
            <w:r>
              <w:t>Todesfälle</w:t>
            </w:r>
            <w:proofErr w:type="spellEnd"/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Anzahl Fälle pro KW und WHO Region, 30.12.2019-31.08.2022</w:t>
            </w:r>
          </w:p>
          <w:p>
            <w:pPr>
              <w:pStyle w:val="Liste2"/>
              <w:numPr>
                <w:ilvl w:val="1"/>
                <w:numId w:val="7"/>
              </w:numPr>
              <w:rPr>
                <w:lang w:val="de-DE"/>
              </w:rPr>
            </w:pPr>
            <w:r>
              <w:rPr>
                <w:lang w:val="de-DE"/>
              </w:rPr>
              <w:t xml:space="preserve">Europe: 246.426.020 </w:t>
            </w:r>
          </w:p>
          <w:p>
            <w:pPr>
              <w:pStyle w:val="Liste2"/>
              <w:numPr>
                <w:ilvl w:val="1"/>
                <w:numId w:val="7"/>
              </w:numPr>
              <w:rPr>
                <w:lang w:val="de-DE"/>
              </w:rPr>
            </w:pPr>
            <w:proofErr w:type="spellStart"/>
            <w:r>
              <w:rPr>
                <w:lang w:val="de-DE"/>
              </w:rPr>
              <w:t>America</w:t>
            </w:r>
            <w:proofErr w:type="spellEnd"/>
            <w:r>
              <w:rPr>
                <w:lang w:val="de-DE"/>
              </w:rPr>
              <w:t xml:space="preserve">: 174.492.276 </w:t>
            </w:r>
          </w:p>
          <w:p>
            <w:pPr>
              <w:pStyle w:val="Liste2"/>
              <w:numPr>
                <w:ilvl w:val="1"/>
                <w:numId w:val="7"/>
              </w:numPr>
              <w:rPr>
                <w:lang w:val="de-DE"/>
              </w:rPr>
            </w:pPr>
            <w:r>
              <w:rPr>
                <w:lang w:val="de-DE"/>
              </w:rPr>
              <w:t xml:space="preserve">Western Pacific: 81.367.219 </w:t>
            </w:r>
          </w:p>
          <w:p>
            <w:pPr>
              <w:pStyle w:val="Liste2"/>
              <w:numPr>
                <w:ilvl w:val="1"/>
                <w:numId w:val="7"/>
              </w:numPr>
              <w:rPr>
                <w:lang w:val="de-DE"/>
              </w:rPr>
            </w:pPr>
            <w:r>
              <w:rPr>
                <w:lang w:val="de-DE"/>
              </w:rPr>
              <w:t>South-East Asia: 59.877.206</w:t>
            </w:r>
          </w:p>
          <w:p>
            <w:pPr>
              <w:pStyle w:val="Liste2"/>
              <w:numPr>
                <w:ilvl w:val="1"/>
                <w:numId w:val="7"/>
              </w:numPr>
              <w:rPr>
                <w:lang w:val="de-DE"/>
              </w:rPr>
            </w:pPr>
            <w:r>
              <w:rPr>
                <w:lang w:val="de-DE"/>
              </w:rPr>
              <w:t xml:space="preserve">Eastern </w:t>
            </w:r>
            <w:proofErr w:type="spellStart"/>
            <w:r>
              <w:rPr>
                <w:lang w:val="de-DE"/>
              </w:rPr>
              <w:t>Mediterranean</w:t>
            </w:r>
            <w:proofErr w:type="spellEnd"/>
            <w:r>
              <w:rPr>
                <w:lang w:val="de-DE"/>
              </w:rPr>
              <w:t>: 22.934.311</w:t>
            </w:r>
          </w:p>
          <w:p>
            <w:pPr>
              <w:pStyle w:val="Liste2"/>
              <w:numPr>
                <w:ilvl w:val="1"/>
                <w:numId w:val="7"/>
              </w:numPr>
              <w:rPr>
                <w:lang w:val="de-DE"/>
              </w:rPr>
            </w:pPr>
            <w:proofErr w:type="spellStart"/>
            <w:r>
              <w:rPr>
                <w:lang w:val="de-DE"/>
              </w:rPr>
              <w:t>Africa</w:t>
            </w:r>
            <w:proofErr w:type="spellEnd"/>
            <w:r>
              <w:rPr>
                <w:lang w:val="de-DE"/>
              </w:rPr>
              <w:t>: 9.269.451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 xml:space="preserve">Insgesamt global abnehmendes Infektionsgeschehen über alle Kontinente hinweg. Leicht steigende Trends lediglich auf kleinen Inselstaaten oder Überseegebieten. BA.5 </w:t>
            </w:r>
            <w:proofErr w:type="spellStart"/>
            <w:r>
              <w:rPr>
                <w:lang w:val="de-DE"/>
              </w:rPr>
              <w:t>Sublinie</w:t>
            </w:r>
            <w:proofErr w:type="spellEnd"/>
            <w:r>
              <w:rPr>
                <w:lang w:val="de-DE"/>
              </w:rPr>
              <w:t xml:space="preserve"> mit Prävalenz von 87% weiterhin global dominant.</w:t>
            </w:r>
          </w:p>
          <w:p>
            <w:pPr>
              <w:pStyle w:val="Liste2"/>
              <w:numPr>
                <w:ilvl w:val="1"/>
                <w:numId w:val="7"/>
              </w:numPr>
              <w:rPr>
                <w:lang w:val="de-DE"/>
              </w:rPr>
            </w:pPr>
            <w:r>
              <w:rPr>
                <w:lang w:val="de-DE"/>
              </w:rPr>
              <w:t>Asien: Sinkende Fallzahlen mit – 18% bei stabilen Todesfallzahlen. Steigende Fallzahlen in den palästinensischen Gebieten. Hohe Inzidenzen &gt; 1.000/ 100.000 EW in Korea und Japan bei sinkendem Trend.</w:t>
            </w:r>
          </w:p>
          <w:p>
            <w:pPr>
              <w:pStyle w:val="Liste2"/>
              <w:numPr>
                <w:ilvl w:val="1"/>
                <w:numId w:val="7"/>
              </w:numPr>
              <w:rPr>
                <w:lang w:val="de-DE"/>
              </w:rPr>
            </w:pPr>
            <w:r>
              <w:rPr>
                <w:lang w:val="de-DE"/>
              </w:rPr>
              <w:t>Europa: Sinkende Fall- und Todesfallzahlen (-15% und -33%)</w:t>
            </w:r>
          </w:p>
          <w:p>
            <w:pPr>
              <w:pStyle w:val="Liste2"/>
              <w:numPr>
                <w:ilvl w:val="1"/>
                <w:numId w:val="7"/>
              </w:numPr>
              <w:rPr>
                <w:lang w:val="de-DE"/>
              </w:rPr>
            </w:pPr>
            <w:r>
              <w:rPr>
                <w:lang w:val="de-DE"/>
              </w:rPr>
              <w:t>Ozeanien: Sinkende Fall- und Todesfallzahlen (-26,3% und -19,9%). Australien und Neuseeland mit Inzidenz über 300 bei sinkendem Trend.</w:t>
            </w:r>
          </w:p>
          <w:p>
            <w:pPr>
              <w:pStyle w:val="Liste2"/>
              <w:numPr>
                <w:ilvl w:val="1"/>
                <w:numId w:val="7"/>
              </w:numPr>
              <w:rPr>
                <w:lang w:val="de-DE"/>
              </w:rPr>
            </w:pPr>
            <w:r>
              <w:rPr>
                <w:lang w:val="de-DE"/>
              </w:rPr>
              <w:t>Afrika: Sinkende Fall- und Todesfallzahlen (-27,9 % und -63,9%)</w:t>
            </w:r>
          </w:p>
          <w:p>
            <w:pPr>
              <w:pStyle w:val="Liste2"/>
              <w:numPr>
                <w:ilvl w:val="1"/>
                <w:numId w:val="7"/>
              </w:numPr>
              <w:rPr>
                <w:lang w:val="de-DE"/>
              </w:rPr>
            </w:pPr>
            <w:r>
              <w:rPr>
                <w:lang w:val="de-DE"/>
              </w:rPr>
              <w:t>Amerika: Sinkende Fall- und Todesfallzahlen (-17,5% und -13,5%)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Globale Fallveränderung 7-Tage</w:t>
            </w:r>
          </w:p>
          <w:p>
            <w:pPr>
              <w:pStyle w:val="Liste3"/>
            </w:pPr>
            <w:r>
              <w:t>-17,5%</w:t>
            </w:r>
          </w:p>
          <w:p>
            <w:pPr>
              <w:pStyle w:val="Liste2"/>
            </w:pPr>
            <w:proofErr w:type="spellStart"/>
            <w:r>
              <w:t>Todesfallzahlen</w:t>
            </w:r>
            <w:proofErr w:type="spellEnd"/>
            <w:r>
              <w:t xml:space="preserve"> 7-Tage</w:t>
            </w:r>
          </w:p>
          <w:p>
            <w:pPr>
              <w:pStyle w:val="Liste3"/>
            </w:pPr>
            <w:r>
              <w:t>-15,7%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7-Tage-Inzidenz pro 100.000 Einwohner in Europa</w:t>
            </w:r>
          </w:p>
          <w:p>
            <w:pPr>
              <w:pStyle w:val="Liste2"/>
              <w:numPr>
                <w:ilvl w:val="1"/>
                <w:numId w:val="7"/>
              </w:numPr>
              <w:rPr>
                <w:lang w:val="de-DE"/>
              </w:rPr>
            </w:pPr>
            <w:r>
              <w:rPr>
                <w:lang w:val="de-DE"/>
              </w:rPr>
              <w:t>Weiterhin Auffälligkeiten in den Meldungen aus Griechenland und Schweiz</w:t>
            </w:r>
          </w:p>
          <w:p>
            <w:pPr>
              <w:pStyle w:val="Liste2"/>
              <w:numPr>
                <w:ilvl w:val="1"/>
                <w:numId w:val="7"/>
              </w:numPr>
              <w:rPr>
                <w:lang w:val="de-DE"/>
              </w:rPr>
            </w:pPr>
            <w:r>
              <w:rPr>
                <w:lang w:val="de-DE"/>
              </w:rPr>
              <w:t>Daten aus Belarus und Ukraine mit Verzögerungen/Unregelmäßigkeiten</w:t>
            </w:r>
          </w:p>
          <w:p>
            <w:pPr>
              <w:pStyle w:val="Liste2"/>
              <w:numPr>
                <w:ilvl w:val="1"/>
                <w:numId w:val="7"/>
              </w:numPr>
              <w:rPr>
                <w:lang w:val="de-DE"/>
              </w:rPr>
            </w:pPr>
            <w:r>
              <w:rPr>
                <w:lang w:val="de-DE"/>
              </w:rPr>
              <w:t>Seit KW33 abnehmender Trend nun auch bei Bevölkerung mit 65+ Jahren</w:t>
            </w:r>
          </w:p>
          <w:p>
            <w:pPr>
              <w:pStyle w:val="Liste2"/>
              <w:numPr>
                <w:ilvl w:val="1"/>
                <w:numId w:val="7"/>
              </w:numPr>
              <w:rPr>
                <w:lang w:val="de-DE"/>
              </w:rPr>
            </w:pPr>
            <w:r>
              <w:rPr>
                <w:lang w:val="de-DE"/>
              </w:rPr>
              <w:t xml:space="preserve">Abnehmender Trend in allen Ländern mit Ausnahme von  </w:t>
            </w:r>
          </w:p>
          <w:p>
            <w:pPr>
              <w:pStyle w:val="Liste2"/>
              <w:numPr>
                <w:ilvl w:val="2"/>
                <w:numId w:val="7"/>
              </w:numPr>
              <w:rPr>
                <w:lang w:val="de-DE"/>
              </w:rPr>
            </w:pPr>
            <w:r>
              <w:rPr>
                <w:lang w:val="de-DE"/>
              </w:rPr>
              <w:t>Russland (+20,4%, steigende Todeszahlen, BA.5 seit Ende Juni dominant)</w:t>
            </w:r>
          </w:p>
          <w:p>
            <w:pPr>
              <w:pStyle w:val="Liste2"/>
              <w:numPr>
                <w:ilvl w:val="2"/>
                <w:numId w:val="7"/>
              </w:numPr>
              <w:rPr>
                <w:lang w:val="de-DE"/>
              </w:rPr>
            </w:pPr>
            <w:r>
              <w:rPr>
                <w:lang w:val="de-DE"/>
              </w:rPr>
              <w:t>Portugal (+14,2%, leicht steigende Todeszahlen)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Spezifische Maßnahmen (Masken, Mindestabstand) für Schulen nach Sommerferien</w:t>
            </w:r>
          </w:p>
          <w:p>
            <w:pPr>
              <w:pStyle w:val="Liste2"/>
              <w:numPr>
                <w:ilvl w:val="1"/>
                <w:numId w:val="7"/>
              </w:numPr>
              <w:rPr>
                <w:lang w:val="de-DE"/>
              </w:rPr>
            </w:pPr>
            <w:r>
              <w:rPr>
                <w:lang w:val="de-DE"/>
              </w:rPr>
              <w:lastRenderedPageBreak/>
              <w:t>Die meisten Länder orientieren sich an Nachbarstaaten</w:t>
            </w:r>
          </w:p>
          <w:p>
            <w:pPr>
              <w:pStyle w:val="Liste2"/>
              <w:numPr>
                <w:ilvl w:val="1"/>
                <w:numId w:val="7"/>
              </w:numPr>
              <w:rPr>
                <w:lang w:val="de-DE"/>
              </w:rPr>
            </w:pPr>
            <w:r>
              <w:rPr>
                <w:lang w:val="de-DE"/>
              </w:rPr>
              <w:t>Rückmeldungen aus europäischen Ländern: Keine Planung weiterer spezifischen Maßnahmen. Anpassungen in Abhängigkeit der Lage sind möglich.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Hinweis: Die USA beenden Möglichkeit kostenlose Covid-19-Tests nach Hause bestellen zu können</w:t>
            </w:r>
          </w:p>
          <w:p>
            <w:pPr>
              <w:pStyle w:val="2"/>
            </w:pPr>
          </w:p>
          <w:p>
            <w:pPr>
              <w:pStyle w:val="2"/>
            </w:pPr>
            <w:r>
              <w:t xml:space="preserve">National </w:t>
            </w:r>
          </w:p>
          <w:p>
            <w:pPr>
              <w:pStyle w:val="Liste2"/>
            </w:pPr>
            <w:proofErr w:type="spellStart"/>
            <w:r>
              <w:t>Fallzahlen</w:t>
            </w:r>
            <w:proofErr w:type="spellEnd"/>
            <w:r>
              <w:t xml:space="preserve">, </w:t>
            </w:r>
            <w:proofErr w:type="spellStart"/>
            <w:r>
              <w:t>Todesfälle</w:t>
            </w:r>
            <w:proofErr w:type="spellEnd"/>
            <w:r>
              <w:t xml:space="preserve">, Trend, </w:t>
            </w:r>
            <w:proofErr w:type="spellStart"/>
            <w:r>
              <w:t>Folien</w:t>
            </w:r>
            <w:proofErr w:type="spellEnd"/>
            <w:r>
              <w:t xml:space="preserve"> </w:t>
            </w:r>
            <w:hyperlink r:id="rId12" w:history="1">
              <w:proofErr w:type="spellStart"/>
              <w:r>
                <w:rPr>
                  <w:rStyle w:val="Hyperlink"/>
                </w:rPr>
                <w:t>hier</w:t>
              </w:r>
              <w:proofErr w:type="spellEnd"/>
            </w:hyperlink>
          </w:p>
          <w:p>
            <w:pPr>
              <w:pStyle w:val="Liste2"/>
              <w:rPr>
                <w:lang w:val="de-DE"/>
              </w:rPr>
            </w:pPr>
            <w:proofErr w:type="spellStart"/>
            <w:r>
              <w:rPr>
                <w:lang w:val="de-DE"/>
              </w:rPr>
              <w:t>SurvNet</w:t>
            </w:r>
            <w:proofErr w:type="spellEnd"/>
            <w:r>
              <w:rPr>
                <w:lang w:val="de-DE"/>
              </w:rPr>
              <w:t xml:space="preserve"> übermittelt: </w:t>
            </w:r>
            <w:proofErr w:type="spellStart"/>
            <w:r>
              <w:rPr>
                <w:lang w:val="de-DE"/>
              </w:rPr>
              <w:t>SurvNet</w:t>
            </w:r>
            <w:proofErr w:type="spellEnd"/>
            <w:r>
              <w:rPr>
                <w:lang w:val="de-DE"/>
              </w:rPr>
              <w:t xml:space="preserve"> übermittelt: 32.184.553 (+39.396), davon 147.494 (+90) Todesfälle </w:t>
            </w:r>
          </w:p>
          <w:p>
            <w:pPr>
              <w:pStyle w:val="Liste2"/>
            </w:pPr>
            <w:r>
              <w:t xml:space="preserve">7-Tage-Inzidenz:  237,3/100.000 </w:t>
            </w:r>
            <w:proofErr w:type="spellStart"/>
            <w:r>
              <w:t>Einw</w:t>
            </w:r>
            <w:proofErr w:type="spellEnd"/>
            <w:r>
              <w:t>.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Impfmonitoring: Geimpfte mit 1. Dosis 64.762.361 (77,9%), mit vollständiger Impfung 51.555.930 (62,0%)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Verlauf der 7-Tage-Inzidenz der Bundesländer:</w:t>
            </w:r>
          </w:p>
          <w:p>
            <w:pPr>
              <w:pStyle w:val="Liste3"/>
            </w:pPr>
            <w:r>
              <w:t>Leichte Abnahme der Fallzahlen, Einpendeln auf Plateau</w:t>
            </w:r>
          </w:p>
          <w:p>
            <w:pPr>
              <w:pStyle w:val="Liste3"/>
            </w:pPr>
            <w:r>
              <w:t>Geografische Verteilung: Höchste Inzidenz im LK Straubing du LK Dachau. In beiden LK haben Volksfeste stattgefunden</w:t>
            </w:r>
          </w:p>
          <w:p>
            <w:pPr>
              <w:pStyle w:val="Liste3"/>
            </w:pPr>
            <w:proofErr w:type="spellStart"/>
            <w:r>
              <w:t>Heatmap</w:t>
            </w:r>
            <w:proofErr w:type="spellEnd"/>
            <w:r>
              <w:t>: In fast allen AG Rückgänge insbes. bei den Hochbetagten; leichte Anstiege bei 5-9 sowie 10-14-Jährigen</w:t>
            </w:r>
          </w:p>
          <w:p>
            <w:pPr>
              <w:pStyle w:val="Liste3"/>
            </w:pPr>
            <w:r>
              <w:t>KW32 Abnahme der COVID-19-Fälle nach Altersgruppe und Sterbedatum</w:t>
            </w:r>
          </w:p>
          <w:p>
            <w:pPr>
              <w:pStyle w:val="Liste3"/>
            </w:pPr>
            <w:r>
              <w:t>Destatis Übersterblichkeit weist keine Änderungen zur Vorwoche auf</w:t>
            </w:r>
          </w:p>
          <w:p>
            <w:pPr>
              <w:pStyle w:val="Liste3"/>
              <w:numPr>
                <w:ilvl w:val="0"/>
                <w:numId w:val="0"/>
              </w:numPr>
              <w:ind w:left="1193" w:hanging="360"/>
            </w:pPr>
          </w:p>
          <w:p>
            <w:pPr>
              <w:pStyle w:val="Liste3"/>
              <w:numPr>
                <w:ilvl w:val="0"/>
                <w:numId w:val="0"/>
              </w:numPr>
              <w:ind w:left="1193" w:hanging="360"/>
            </w:pPr>
          </w:p>
          <w:p>
            <w:pPr>
              <w:pStyle w:val="Liste2"/>
              <w:rPr>
                <w:rStyle w:val="TagMiZchn"/>
                <w:b w:val="0"/>
                <w:bCs/>
                <w:lang w:val="de-DE"/>
              </w:rPr>
            </w:pPr>
            <w:r>
              <w:rPr>
                <w:b/>
                <w:lang w:val="de-DE"/>
              </w:rPr>
              <w:t xml:space="preserve">Zahlen zum DIVI-Intensivregister </w:t>
            </w:r>
            <w:r>
              <w:rPr>
                <w:lang w:val="de-DE"/>
              </w:rPr>
              <w:t xml:space="preserve">(Folien </w:t>
            </w:r>
            <w:hyperlink r:id="rId13" w:history="1">
              <w:r>
                <w:rPr>
                  <w:rStyle w:val="Hyperlink"/>
                  <w:lang w:val="de-DE"/>
                </w:rPr>
                <w:t>hier</w:t>
              </w:r>
            </w:hyperlink>
            <w:r>
              <w:rPr>
                <w:lang w:val="de-DE"/>
              </w:rPr>
              <w:t>)</w:t>
            </w:r>
          </w:p>
          <w:p>
            <w:pPr>
              <w:pStyle w:val="Liste2"/>
              <w:numPr>
                <w:ilvl w:val="1"/>
                <w:numId w:val="7"/>
              </w:numPr>
              <w:rPr>
                <w:lang w:val="de-DE"/>
              </w:rPr>
            </w:pPr>
            <w:r>
              <w:rPr>
                <w:lang w:val="de-DE"/>
              </w:rPr>
              <w:t xml:space="preserve"> Mit Stand 31.08.2022 werden 797 COVID-19-Patient: innen auf Intensivstationen (der ca. 1.300 Akutkrankenhäuser) behandelt</w:t>
            </w:r>
          </w:p>
          <w:p>
            <w:pPr>
              <w:pStyle w:val="Liste2"/>
              <w:numPr>
                <w:ilvl w:val="1"/>
                <w:numId w:val="7"/>
              </w:numPr>
              <w:rPr>
                <w:lang w:val="de-DE"/>
              </w:rPr>
            </w:pPr>
            <w:r>
              <w:rPr>
                <w:lang w:val="de-DE"/>
              </w:rPr>
              <w:t>Weiterhin stetige Reduktion der COVID-ITS-Belegung</w:t>
            </w:r>
          </w:p>
          <w:p>
            <w:pPr>
              <w:pStyle w:val="Liste2"/>
              <w:numPr>
                <w:ilvl w:val="1"/>
                <w:numId w:val="7"/>
              </w:numPr>
              <w:rPr>
                <w:lang w:val="de-DE"/>
              </w:rPr>
            </w:pPr>
            <w:r>
              <w:rPr>
                <w:lang w:val="de-DE"/>
              </w:rPr>
              <w:t>ITS-COVID-Neuaufnahmen mit +695 in den letzten 7 Tagen im Rückgang</w:t>
            </w:r>
          </w:p>
          <w:p>
            <w:pPr>
              <w:pStyle w:val="Liste2"/>
              <w:numPr>
                <w:ilvl w:val="1"/>
                <w:numId w:val="7"/>
              </w:numPr>
              <w:rPr>
                <w:lang w:val="de-DE"/>
              </w:rPr>
            </w:pPr>
            <w:r>
              <w:rPr>
                <w:lang w:val="de-DE"/>
              </w:rPr>
              <w:t>Anzahl der auf ITS-Verstorbenen fällt</w:t>
            </w:r>
          </w:p>
          <w:p>
            <w:pPr>
              <w:pStyle w:val="Liste2"/>
              <w:numPr>
                <w:ilvl w:val="1"/>
                <w:numId w:val="7"/>
              </w:numPr>
              <w:rPr>
                <w:lang w:val="de-DE"/>
              </w:rPr>
            </w:pPr>
            <w:r>
              <w:rPr>
                <w:lang w:val="de-DE"/>
              </w:rPr>
              <w:t>Anteil der COVID-19-Patient: innen an der Gesamtzahl betreibbarer ITS-Betten</w:t>
            </w:r>
          </w:p>
          <w:p>
            <w:pPr>
              <w:pStyle w:val="Liste2"/>
              <w:numPr>
                <w:ilvl w:val="2"/>
                <w:numId w:val="7"/>
              </w:numPr>
              <w:rPr>
                <w:lang w:val="de-DE"/>
              </w:rPr>
            </w:pPr>
            <w:r>
              <w:rPr>
                <w:lang w:val="de-DE"/>
              </w:rPr>
              <w:t>Schleswig-Holstein und Sachsen-Anhalt mit leichtem Anstieg</w:t>
            </w:r>
          </w:p>
          <w:p>
            <w:pPr>
              <w:pStyle w:val="Liste2"/>
              <w:numPr>
                <w:ilvl w:val="2"/>
                <w:numId w:val="7"/>
              </w:numPr>
              <w:rPr>
                <w:lang w:val="de-DE"/>
              </w:rPr>
            </w:pPr>
            <w:r>
              <w:rPr>
                <w:lang w:val="de-DE"/>
              </w:rPr>
              <w:t>Sonst flächendeckend Rückgang in allen BL</w:t>
            </w:r>
          </w:p>
          <w:p>
            <w:pPr>
              <w:pStyle w:val="Liste2"/>
              <w:numPr>
                <w:ilvl w:val="2"/>
                <w:numId w:val="7"/>
              </w:numPr>
              <w:rPr>
                <w:lang w:val="de-DE"/>
              </w:rPr>
            </w:pPr>
            <w:r>
              <w:rPr>
                <w:lang w:val="de-DE"/>
              </w:rPr>
              <w:t>Rückgang in allen Behandlungsgruppen</w:t>
            </w:r>
          </w:p>
          <w:p>
            <w:pPr>
              <w:pStyle w:val="Liste2"/>
              <w:numPr>
                <w:ilvl w:val="2"/>
                <w:numId w:val="7"/>
              </w:numPr>
              <w:rPr>
                <w:lang w:val="de-DE"/>
              </w:rPr>
            </w:pPr>
            <w:r>
              <w:rPr>
                <w:lang w:val="de-DE"/>
              </w:rPr>
              <w:t xml:space="preserve">Einschätzung der Betriebssituation: </w:t>
            </w:r>
          </w:p>
          <w:p>
            <w:pPr>
              <w:pStyle w:val="Liste2"/>
              <w:numPr>
                <w:ilvl w:val="0"/>
                <w:numId w:val="0"/>
              </w:numPr>
              <w:ind w:left="2273"/>
              <w:rPr>
                <w:lang w:val="de-DE"/>
              </w:rPr>
            </w:pPr>
            <w:r>
              <w:rPr>
                <w:lang w:val="de-DE"/>
              </w:rPr>
              <w:t>Uni-Maximalversorger größerer, ansteigender Prozentsatz mit Einschränkung wohingegen Grund/Regelversorger mit sinkender Einschränkung erkennbar sind, dafür mehr teilweise eingeschränkt.</w:t>
            </w:r>
          </w:p>
          <w:p>
            <w:pPr>
              <w:pStyle w:val="Liste2"/>
              <w:numPr>
                <w:ilvl w:val="2"/>
                <w:numId w:val="7"/>
              </w:numPr>
              <w:rPr>
                <w:lang w:val="de-DE"/>
              </w:rPr>
            </w:pPr>
            <w:r>
              <w:rPr>
                <w:lang w:val="de-DE"/>
              </w:rPr>
              <w:t>Gründe der Betriebssituation Personalmangel-Rückgang auf hohem Niveau</w:t>
            </w:r>
          </w:p>
          <w:p>
            <w:pPr>
              <w:pStyle w:val="Liste2"/>
              <w:numPr>
                <w:ilvl w:val="2"/>
                <w:numId w:val="7"/>
              </w:numPr>
              <w:rPr>
                <w:lang w:val="de-DE"/>
              </w:rPr>
            </w:pPr>
            <w:r>
              <w:rPr>
                <w:lang w:val="de-DE"/>
              </w:rPr>
              <w:lastRenderedPageBreak/>
              <w:t>Rückgang in allen AG mit Ausnahme 30-39-Jährige (Anstieg) und 0-17-Jährige (Plateau)</w:t>
            </w:r>
          </w:p>
          <w:p>
            <w:pPr>
              <w:pStyle w:val="Liste2"/>
              <w:numPr>
                <w:ilvl w:val="2"/>
                <w:numId w:val="7"/>
              </w:numPr>
              <w:rPr>
                <w:lang w:val="de-DE"/>
              </w:rPr>
            </w:pPr>
            <w:r>
              <w:rPr>
                <w:lang w:val="de-DE"/>
              </w:rPr>
              <w:t xml:space="preserve">Über 60-Jährige haben einen Anteil von über 80% an Intensivstationen </w:t>
            </w:r>
          </w:p>
          <w:p>
            <w:pPr>
              <w:pStyle w:val="Liste2"/>
              <w:numPr>
                <w:ilvl w:val="2"/>
                <w:numId w:val="7"/>
              </w:numPr>
              <w:rPr>
                <w:lang w:val="de-DE"/>
              </w:rPr>
            </w:pPr>
            <w:proofErr w:type="spellStart"/>
            <w:r>
              <w:rPr>
                <w:lang w:val="de-DE"/>
              </w:rPr>
              <w:t>SPoCK</w:t>
            </w:r>
            <w:proofErr w:type="spellEnd"/>
            <w:r>
              <w:rPr>
                <w:lang w:val="de-DE"/>
              </w:rPr>
              <w:t>-Prognose: Rückgang in allen Kleeblättern</w:t>
            </w:r>
          </w:p>
          <w:p>
            <w:pPr>
              <w:pStyle w:val="Liste2"/>
              <w:numPr>
                <w:ilvl w:val="0"/>
                <w:numId w:val="0"/>
              </w:numPr>
              <w:ind w:left="2273"/>
              <w:rPr>
                <w:lang w:val="de-DE"/>
              </w:rPr>
            </w:pPr>
          </w:p>
          <w:p>
            <w:pPr>
              <w:pStyle w:val="Liste2"/>
            </w:pPr>
            <w:proofErr w:type="spellStart"/>
            <w:r>
              <w:rPr>
                <w:b/>
              </w:rPr>
              <w:t>Molekulare</w:t>
            </w:r>
            <w:proofErr w:type="spellEnd"/>
            <w:r>
              <w:rPr>
                <w:b/>
              </w:rPr>
              <w:t xml:space="preserve"> Surveillance</w:t>
            </w:r>
            <w:r>
              <w:t xml:space="preserve"> (</w:t>
            </w:r>
            <w:proofErr w:type="spellStart"/>
            <w:r>
              <w:t>Folien</w:t>
            </w:r>
            <w:proofErr w:type="spellEnd"/>
            <w:r>
              <w:t xml:space="preserve"> </w:t>
            </w:r>
            <w:hyperlink r:id="rId14" w:history="1">
              <w:proofErr w:type="spellStart"/>
              <w:r>
                <w:rPr>
                  <w:rStyle w:val="Hyperlink"/>
                </w:rPr>
                <w:t>hier</w:t>
              </w:r>
              <w:proofErr w:type="spellEnd"/>
            </w:hyperlink>
            <w:r>
              <w:t>)</w:t>
            </w:r>
          </w:p>
          <w:p>
            <w:pPr>
              <w:pStyle w:val="Liste2"/>
              <w:numPr>
                <w:ilvl w:val="1"/>
                <w:numId w:val="7"/>
              </w:numPr>
            </w:pPr>
            <w:proofErr w:type="spellStart"/>
            <w:r>
              <w:t>Keinen</w:t>
            </w:r>
            <w:proofErr w:type="spellEnd"/>
            <w:r>
              <w:t xml:space="preserve"> Drop </w:t>
            </w:r>
            <w:proofErr w:type="spellStart"/>
            <w:r>
              <w:t>bei</w:t>
            </w:r>
            <w:proofErr w:type="spellEnd"/>
            <w:r>
              <w:t xml:space="preserve"> </w:t>
            </w:r>
            <w:proofErr w:type="spellStart"/>
            <w:r>
              <w:t>Sequenzierungen</w:t>
            </w:r>
            <w:proofErr w:type="spellEnd"/>
          </w:p>
          <w:p>
            <w:pPr>
              <w:pStyle w:val="Liste2"/>
              <w:numPr>
                <w:ilvl w:val="1"/>
                <w:numId w:val="7"/>
              </w:numPr>
              <w:rPr>
                <w:lang w:val="de-DE"/>
              </w:rPr>
            </w:pPr>
            <w:r>
              <w:rPr>
                <w:lang w:val="de-DE"/>
              </w:rPr>
              <w:t>Dominanz durch BA.5 mit 96,9%, BA.4 leicht gesunken auf 2,5%</w:t>
            </w:r>
          </w:p>
          <w:p>
            <w:pPr>
              <w:pStyle w:val="Liste2"/>
              <w:numPr>
                <w:ilvl w:val="1"/>
                <w:numId w:val="7"/>
              </w:numPr>
              <w:rPr>
                <w:lang w:val="de-DE"/>
              </w:rPr>
            </w:pPr>
            <w:r>
              <w:rPr>
                <w:lang w:val="de-DE"/>
              </w:rPr>
              <w:t>Seit ein paar Wochen Stabilität von BA.4 und BA.5</w:t>
            </w:r>
          </w:p>
          <w:p>
            <w:pPr>
              <w:pStyle w:val="Liste2"/>
              <w:numPr>
                <w:ilvl w:val="1"/>
                <w:numId w:val="7"/>
              </w:numPr>
              <w:rPr>
                <w:lang w:val="de-DE"/>
              </w:rPr>
            </w:pPr>
            <w:r>
              <w:rPr>
                <w:lang w:val="de-DE"/>
              </w:rPr>
              <w:t>Unter Omikron-Sublinien BA.5.1 (25,3%), BA.5.2 (22%) und BA.5.2.1 (17,2%) dominierend</w:t>
            </w:r>
          </w:p>
          <w:p>
            <w:pPr>
              <w:pStyle w:val="Liste2"/>
              <w:numPr>
                <w:ilvl w:val="1"/>
                <w:numId w:val="7"/>
              </w:numPr>
              <w:rPr>
                <w:lang w:val="de-DE"/>
              </w:rPr>
            </w:pPr>
            <w:r>
              <w:rPr>
                <w:lang w:val="de-DE"/>
              </w:rPr>
              <w:t>Hinweis: Aktuell genaue Beobachtung von BA.4/BA.5 Fällen mit R346X Mutation, da insbesondere bei BA.5 Linien Anstieg zu verzeichnen.</w:t>
            </w:r>
          </w:p>
          <w:p>
            <w:pPr>
              <w:pStyle w:val="Liste2"/>
              <w:numPr>
                <w:ilvl w:val="0"/>
                <w:numId w:val="0"/>
              </w:numPr>
              <w:ind w:left="1193"/>
              <w:rPr>
                <w:lang w:val="de-DE"/>
              </w:rPr>
            </w:pPr>
          </w:p>
          <w:p>
            <w:pPr>
              <w:pStyle w:val="Liste2"/>
              <w:numPr>
                <w:ilvl w:val="0"/>
                <w:numId w:val="0"/>
              </w:numPr>
              <w:rPr>
                <w:i/>
                <w:lang w:val="de-DE"/>
              </w:rPr>
            </w:pPr>
            <w:r>
              <w:rPr>
                <w:i/>
                <w:lang w:val="de-DE"/>
              </w:rPr>
              <w:t>Diskussion</w:t>
            </w:r>
          </w:p>
          <w:p>
            <w:pPr>
              <w:pStyle w:val="Liste2"/>
              <w:numPr>
                <w:ilvl w:val="0"/>
                <w:numId w:val="29"/>
              </w:numPr>
              <w:rPr>
                <w:lang w:val="de-DE"/>
              </w:rPr>
            </w:pPr>
            <w:r>
              <w:rPr>
                <w:lang w:val="de-DE"/>
              </w:rPr>
              <w:t>Anteil Sequenzierter Proben ist konstant - aber unter 5 % - widerspricht das der Verordnung?</w:t>
            </w:r>
          </w:p>
          <w:p>
            <w:pPr>
              <w:pStyle w:val="Liste2"/>
              <w:numPr>
                <w:ilvl w:val="0"/>
                <w:numId w:val="28"/>
              </w:numPr>
              <w:rPr>
                <w:lang w:val="de-DE"/>
              </w:rPr>
            </w:pPr>
            <w:r>
              <w:rPr>
                <w:lang w:val="de-DE"/>
              </w:rPr>
              <w:t>Wird derzeit nicht als Problem angesehen</w:t>
            </w:r>
          </w:p>
          <w:p>
            <w:pPr>
              <w:pStyle w:val="Liste2"/>
              <w:numPr>
                <w:ilvl w:val="0"/>
                <w:numId w:val="27"/>
              </w:numPr>
              <w:rPr>
                <w:lang w:val="de-DE"/>
              </w:rPr>
            </w:pPr>
            <w:r>
              <w:rPr>
                <w:lang w:val="de-DE"/>
              </w:rPr>
              <w:t>Martin Mielke bringt das nochmal in die AG Labor (BMG) mit ein</w:t>
            </w:r>
          </w:p>
          <w:p>
            <w:pPr>
              <w:pStyle w:val="Liste2"/>
              <w:numPr>
                <w:ilvl w:val="0"/>
                <w:numId w:val="0"/>
              </w:numPr>
              <w:rPr>
                <w:lang w:val="de-DE"/>
              </w:rPr>
            </w:pPr>
          </w:p>
          <w:p>
            <w:pPr>
              <w:pStyle w:val="Liste2"/>
              <w:numPr>
                <w:ilvl w:val="0"/>
                <w:numId w:val="0"/>
              </w:numPr>
              <w:ind w:left="1553"/>
              <w:rPr>
                <w:lang w:val="de-DE"/>
              </w:rPr>
            </w:pPr>
          </w:p>
          <w:p>
            <w:pPr>
              <w:pStyle w:val="Liste2"/>
            </w:pPr>
            <w:proofErr w:type="spellStart"/>
            <w:r>
              <w:rPr>
                <w:b/>
              </w:rPr>
              <w:t>Syndromische</w:t>
            </w:r>
            <w:proofErr w:type="spellEnd"/>
            <w:r>
              <w:rPr>
                <w:b/>
              </w:rPr>
              <w:t xml:space="preserve"> Surveillance</w:t>
            </w:r>
            <w:r>
              <w:rPr>
                <w:rStyle w:val="TagMiZchn"/>
              </w:rPr>
              <w:t xml:space="preserve"> </w:t>
            </w:r>
            <w:r>
              <w:rPr>
                <w:rStyle w:val="TagMiZchn"/>
                <w:b w:val="0"/>
                <w:i w:val="0"/>
                <w:color w:val="000000" w:themeColor="text1"/>
              </w:rPr>
              <w:t>(</w:t>
            </w:r>
            <w:proofErr w:type="spellStart"/>
            <w:r>
              <w:rPr>
                <w:rStyle w:val="TagMiZchn"/>
                <w:b w:val="0"/>
                <w:i w:val="0"/>
                <w:color w:val="000000" w:themeColor="text1"/>
              </w:rPr>
              <w:t>Folien</w:t>
            </w:r>
            <w:proofErr w:type="spellEnd"/>
            <w:r>
              <w:rPr>
                <w:rStyle w:val="TagMiZchn"/>
                <w:b w:val="0"/>
                <w:i w:val="0"/>
                <w:color w:val="000000" w:themeColor="text1"/>
              </w:rPr>
              <w:t xml:space="preserve"> </w:t>
            </w:r>
            <w:hyperlink r:id="rId15" w:history="1">
              <w:proofErr w:type="spellStart"/>
              <w:r>
                <w:rPr>
                  <w:rStyle w:val="Hyperlink"/>
                </w:rPr>
                <w:t>hier</w:t>
              </w:r>
              <w:proofErr w:type="spellEnd"/>
            </w:hyperlink>
            <w:r>
              <w:rPr>
                <w:rStyle w:val="TagMiZchn"/>
                <w:b w:val="0"/>
                <w:i w:val="0"/>
                <w:color w:val="000000" w:themeColor="text1"/>
              </w:rPr>
              <w:t>)</w:t>
            </w:r>
          </w:p>
          <w:p>
            <w:pPr>
              <w:pStyle w:val="Liste2"/>
              <w:numPr>
                <w:ilvl w:val="1"/>
                <w:numId w:val="7"/>
              </w:numPr>
              <w:rPr>
                <w:lang w:val="de-DE"/>
              </w:rPr>
            </w:pPr>
            <w:r>
              <w:rPr>
                <w:lang w:val="de-DE"/>
              </w:rPr>
              <w:t xml:space="preserve">ARE gesamt: </w:t>
            </w:r>
            <w:proofErr w:type="spellStart"/>
            <w:r>
              <w:rPr>
                <w:lang w:val="de-DE"/>
              </w:rPr>
              <w:t>liecht</w:t>
            </w:r>
            <w:proofErr w:type="spellEnd"/>
            <w:r>
              <w:rPr>
                <w:lang w:val="de-DE"/>
              </w:rPr>
              <w:t xml:space="preserve"> gestiegen 3,3 % (Vorwoche: 3,0 %)</w:t>
            </w:r>
          </w:p>
          <w:p>
            <w:pPr>
              <w:pStyle w:val="Liste2"/>
              <w:numPr>
                <w:ilvl w:val="1"/>
                <w:numId w:val="7"/>
              </w:numPr>
              <w:rPr>
                <w:lang w:val="de-DE"/>
              </w:rPr>
            </w:pPr>
            <w:r>
              <w:rPr>
                <w:lang w:val="de-DE"/>
              </w:rPr>
              <w:t xml:space="preserve">Trend: in den letzten Wochen (seit 28. KW) bis 31. KW ein rückläufiger Trend, seitdem schwanken die Werte </w:t>
            </w:r>
          </w:p>
          <w:p>
            <w:pPr>
              <w:pStyle w:val="Liste2"/>
              <w:numPr>
                <w:ilvl w:val="1"/>
                <w:numId w:val="7"/>
              </w:numPr>
              <w:rPr>
                <w:lang w:val="de-DE"/>
              </w:rPr>
            </w:pPr>
            <w:r>
              <w:rPr>
                <w:lang w:val="de-DE"/>
              </w:rPr>
              <w:t>liegt mit 3,3 % im Bereich der Vorjahre zur 34. KW</w:t>
            </w:r>
          </w:p>
          <w:p>
            <w:pPr>
              <w:pStyle w:val="Liste2"/>
              <w:numPr>
                <w:ilvl w:val="1"/>
                <w:numId w:val="7"/>
              </w:numPr>
              <w:rPr>
                <w:lang w:val="de-DE"/>
              </w:rPr>
            </w:pPr>
            <w:r>
              <w:rPr>
                <w:lang w:val="de-DE"/>
              </w:rPr>
              <w:t>Leichter Anstieg bei den Kindern: 6,5 % (Vorwoche: 6,1 %); relativ stabil bei den Erwachsenen: (2,8 %; Vorwoche: 2,6 %)</w:t>
            </w:r>
          </w:p>
          <w:p>
            <w:pPr>
              <w:pStyle w:val="Liste2"/>
              <w:numPr>
                <w:ilvl w:val="1"/>
                <w:numId w:val="7"/>
              </w:numPr>
              <w:rPr>
                <w:lang w:val="de-DE"/>
              </w:rPr>
            </w:pPr>
            <w:r>
              <w:rPr>
                <w:lang w:val="de-DE"/>
              </w:rPr>
              <w:t>ARE 5 AGs: deutlicher Anstieg bei den 5- bis 14-Jährigen in allen anderen AGs gesunken oder nur leicht gestiegen</w:t>
            </w:r>
          </w:p>
          <w:p>
            <w:pPr>
              <w:pStyle w:val="Liste2"/>
              <w:numPr>
                <w:ilvl w:val="1"/>
                <w:numId w:val="7"/>
              </w:numPr>
              <w:rPr>
                <w:lang w:val="de-DE"/>
              </w:rPr>
            </w:pPr>
            <w:r>
              <w:rPr>
                <w:lang w:val="de-DE"/>
              </w:rPr>
              <w:t xml:space="preserve">Ambulanter Bereich entspannt sich </w:t>
            </w:r>
          </w:p>
          <w:p>
            <w:pPr>
              <w:pStyle w:val="Liste2"/>
              <w:numPr>
                <w:ilvl w:val="1"/>
                <w:numId w:val="7"/>
              </w:numPr>
              <w:rPr>
                <w:lang w:val="de-DE"/>
              </w:rPr>
            </w:pPr>
            <w:r>
              <w:rPr>
                <w:lang w:val="de-DE"/>
              </w:rPr>
              <w:t>In der 34. KW wurden bundesweit etwas weniger Arztbesuche wegen ARE registriert als in der Vorwoche</w:t>
            </w:r>
          </w:p>
          <w:p>
            <w:pPr>
              <w:pStyle w:val="Liste2"/>
              <w:numPr>
                <w:ilvl w:val="1"/>
                <w:numId w:val="7"/>
              </w:numPr>
              <w:rPr>
                <w:lang w:val="de-DE"/>
              </w:rPr>
            </w:pPr>
            <w:r>
              <w:rPr>
                <w:lang w:val="de-DE"/>
              </w:rPr>
              <w:t>KI im Vergleich zur Vorwoche insgesamt: weiter leicht rückläufig in KW 334 insgesamt mit 782 (Vorwoche: 857)</w:t>
            </w:r>
          </w:p>
          <w:p>
            <w:pPr>
              <w:pStyle w:val="Liste2"/>
              <w:numPr>
                <w:ilvl w:val="0"/>
                <w:numId w:val="0"/>
              </w:numPr>
              <w:ind w:left="1553"/>
              <w:rPr>
                <w:lang w:val="de-DE"/>
              </w:rPr>
            </w:pPr>
            <w:r>
              <w:rPr>
                <w:lang w:val="de-DE"/>
              </w:rPr>
              <w:t>liegt bei ca.800; seit KW 28 rückläufig</w:t>
            </w:r>
          </w:p>
          <w:p>
            <w:pPr>
              <w:pStyle w:val="Liste2"/>
              <w:numPr>
                <w:ilvl w:val="1"/>
                <w:numId w:val="7"/>
              </w:numPr>
              <w:rPr>
                <w:lang w:val="de-DE"/>
              </w:rPr>
            </w:pPr>
            <w:r>
              <w:rPr>
                <w:lang w:val="de-DE"/>
              </w:rPr>
              <w:t>Insgesamt über dem Bereich der Vorjahre zur 34. KW, bei den 0-14-Jährigen ähnlich der vorpandemischen Werte, nur bei den Erwachsenen noch teilweise doppelt so hohe Werte; nähert sich den Vorjahren langsam an</w:t>
            </w:r>
          </w:p>
          <w:p>
            <w:pPr>
              <w:pStyle w:val="Liste2"/>
              <w:numPr>
                <w:ilvl w:val="1"/>
                <w:numId w:val="7"/>
              </w:numPr>
              <w:rPr>
                <w:lang w:val="de-DE"/>
              </w:rPr>
            </w:pPr>
            <w:r>
              <w:rPr>
                <w:lang w:val="de-DE"/>
              </w:rPr>
              <w:lastRenderedPageBreak/>
              <w:t>Rückgang zur Vorwoche bei den ab 15-Jährigen (zwischen 11% und 25%); Anstieg bei den Kindern: 0-4J: 6%; bei Schulkindern (5-14J.) deutlicher: um 21% gestiegen</w:t>
            </w:r>
          </w:p>
          <w:p>
            <w:pPr>
              <w:pStyle w:val="Liste2"/>
              <w:numPr>
                <w:ilvl w:val="1"/>
                <w:numId w:val="7"/>
              </w:numPr>
              <w:rPr>
                <w:lang w:val="de-DE"/>
              </w:rPr>
            </w:pPr>
            <w:r>
              <w:rPr>
                <w:lang w:val="de-DE"/>
              </w:rPr>
              <w:t>Noch 50-60 % der BL noch in den Sommerferien in KW34</w:t>
            </w:r>
          </w:p>
          <w:p>
            <w:pPr>
              <w:pStyle w:val="Liste2"/>
              <w:numPr>
                <w:ilvl w:val="1"/>
                <w:numId w:val="7"/>
              </w:numPr>
              <w:rPr>
                <w:lang w:val="de-DE"/>
              </w:rPr>
            </w:pPr>
            <w:r>
              <w:rPr>
                <w:lang w:val="de-DE"/>
              </w:rPr>
              <w:t>nachdem die Anzahl der Arztkonsultationen wegen COVID-ARE ab KW 22/2022 deutlich angestiegen war, wird seit KW 29/2022 insgesamt ein Rückgang der Werte beobachtet</w:t>
            </w:r>
          </w:p>
          <w:p>
            <w:pPr>
              <w:pStyle w:val="Liste2"/>
              <w:numPr>
                <w:ilvl w:val="1"/>
                <w:numId w:val="7"/>
              </w:numPr>
              <w:rPr>
                <w:lang w:val="de-DE"/>
              </w:rPr>
            </w:pPr>
            <w:r>
              <w:rPr>
                <w:lang w:val="de-DE"/>
              </w:rPr>
              <w:t>SEED (Are) mit COVID-19 Konsultationen in AG bis zur 34. KW 2022 sind die Werte in allen AG gesunken, seit KW 29/2022 setzt sich der rückläufige Trend fort</w:t>
            </w:r>
          </w:p>
          <w:p>
            <w:pPr>
              <w:pStyle w:val="Liste2"/>
              <w:numPr>
                <w:ilvl w:val="1"/>
                <w:numId w:val="7"/>
              </w:numPr>
              <w:rPr>
                <w:lang w:val="de-DE"/>
              </w:rPr>
            </w:pPr>
            <w:r>
              <w:rPr>
                <w:lang w:val="de-DE"/>
              </w:rPr>
              <w:t xml:space="preserve">SARI-Fallzahlen sind in der 34. KW 2022 insgesamt nur leicht gesunken, SARI-Fälle mit Intensivbehandlung stabil geblieben im Vergleich zur Vorwoche, Weiterhin auf üblichem Sommerniveau </w:t>
            </w:r>
          </w:p>
          <w:p>
            <w:pPr>
              <w:pStyle w:val="Liste2"/>
              <w:numPr>
                <w:ilvl w:val="1"/>
                <w:numId w:val="7"/>
              </w:numPr>
              <w:rPr>
                <w:lang w:val="de-DE"/>
              </w:rPr>
            </w:pPr>
            <w:r>
              <w:rPr>
                <w:lang w:val="de-DE"/>
              </w:rPr>
              <w:t xml:space="preserve"> Anteil COVID-19 an SARI ist im Vgl. zur Vorwoche in KW 34 leicht gesunken: 24 % (Vorwoche: 32 %)  </w:t>
            </w:r>
          </w:p>
          <w:p>
            <w:pPr>
              <w:pStyle w:val="Liste2"/>
              <w:numPr>
                <w:ilvl w:val="1"/>
                <w:numId w:val="7"/>
              </w:numPr>
              <w:rPr>
                <w:lang w:val="de-DE"/>
              </w:rPr>
            </w:pPr>
            <w:r>
              <w:rPr>
                <w:lang w:val="de-DE"/>
              </w:rPr>
              <w:t xml:space="preserve">Anteil COVID-19 an SARI </w:t>
            </w:r>
            <w:r>
              <w:rPr>
                <w:bCs/>
                <w:lang w:val="de-DE"/>
              </w:rPr>
              <w:t>mit Intensivbehandlung</w:t>
            </w:r>
            <w:r>
              <w:rPr>
                <w:b/>
                <w:bCs/>
                <w:lang w:val="de-DE"/>
              </w:rPr>
              <w:t xml:space="preserve"> </w:t>
            </w:r>
            <w:r>
              <w:rPr>
                <w:lang w:val="de-DE"/>
              </w:rPr>
              <w:t xml:space="preserve">ebenfalls gesunken: 18 % (Vorwoche: 26 %), </w:t>
            </w:r>
          </w:p>
          <w:p>
            <w:pPr>
              <w:pStyle w:val="Liste2"/>
              <w:numPr>
                <w:ilvl w:val="1"/>
                <w:numId w:val="7"/>
              </w:numPr>
              <w:rPr>
                <w:lang w:val="de-DE"/>
              </w:rPr>
            </w:pPr>
            <w:r>
              <w:rPr>
                <w:lang w:val="de-DE"/>
              </w:rPr>
              <w:t>Anteil Influenza seit KW 25 unter 1%</w:t>
            </w:r>
          </w:p>
          <w:p>
            <w:pPr>
              <w:pStyle w:val="Liste2"/>
              <w:numPr>
                <w:ilvl w:val="1"/>
                <w:numId w:val="7"/>
              </w:numPr>
              <w:rPr>
                <w:lang w:val="de-DE"/>
              </w:rPr>
            </w:pPr>
            <w:r>
              <w:rPr>
                <w:lang w:val="de-DE"/>
              </w:rPr>
              <w:t>SARI-Fallzahlen in fast allen Altersgruppen auf Sommerniveau; leichter Anstieg in den AG unter 15 Jahren</w:t>
            </w:r>
          </w:p>
          <w:p>
            <w:pPr>
              <w:pStyle w:val="Liste2"/>
              <w:numPr>
                <w:ilvl w:val="1"/>
                <w:numId w:val="7"/>
              </w:numPr>
              <w:rPr>
                <w:lang w:val="de-DE"/>
              </w:rPr>
            </w:pPr>
            <w:r>
              <w:rPr>
                <w:lang w:val="de-DE"/>
              </w:rPr>
              <w:t>AG ab 80 Jahre bleibt weiterhin etwas über den Werten der Vorjahre</w:t>
            </w:r>
          </w:p>
          <w:p>
            <w:pPr>
              <w:pStyle w:val="Liste2"/>
              <w:numPr>
                <w:ilvl w:val="1"/>
                <w:numId w:val="7"/>
              </w:numPr>
              <w:rPr>
                <w:lang w:val="de-DE"/>
              </w:rPr>
            </w:pPr>
            <w:r>
              <w:rPr>
                <w:lang w:val="de-DE"/>
              </w:rPr>
              <w:t>Anteil COVID-19-Diagnosen in den AG 35+ ist leicht gesunken im Vgl. zur Vorwoche</w:t>
            </w:r>
          </w:p>
          <w:p>
            <w:pPr>
              <w:pStyle w:val="Liste2"/>
              <w:numPr>
                <w:ilvl w:val="1"/>
                <w:numId w:val="7"/>
              </w:numPr>
              <w:rPr>
                <w:lang w:val="de-DE"/>
              </w:rPr>
            </w:pPr>
            <w:r>
              <w:rPr>
                <w:lang w:val="de-DE"/>
              </w:rPr>
              <w:t>Hospitalisierungsinzidenz COVID-SARI bis zur 34. KW 2022: Gesamt: 2,3 COVID-SARI pro 100.000 (entspricht ca. 1.900 neuen Krankenhausaufnahmen wegen COVID-SARI in Deutschland)</w:t>
            </w:r>
          </w:p>
          <w:p>
            <w:pPr>
              <w:pStyle w:val="Liste2"/>
              <w:numPr>
                <w:ilvl w:val="0"/>
                <w:numId w:val="0"/>
              </w:numPr>
              <w:ind w:left="1193"/>
              <w:rPr>
                <w:lang w:val="de-DE"/>
              </w:rPr>
            </w:pPr>
          </w:p>
          <w:p>
            <w:pPr>
              <w:pStyle w:val="Liste2"/>
              <w:rPr>
                <w:rStyle w:val="TagMiZchn"/>
                <w:b w:val="0"/>
                <w:lang w:val="de-DE"/>
              </w:rPr>
            </w:pPr>
            <w:r>
              <w:rPr>
                <w:b/>
                <w:lang w:val="de-DE"/>
              </w:rPr>
              <w:t xml:space="preserve">Virologische Surveillance, NRZ Influenza-Daten </w:t>
            </w:r>
          </w:p>
          <w:p>
            <w:pPr>
              <w:pStyle w:val="Liste2"/>
              <w:numPr>
                <w:ilvl w:val="1"/>
                <w:numId w:val="7"/>
              </w:numPr>
              <w:rPr>
                <w:lang w:val="de-DE"/>
              </w:rPr>
            </w:pPr>
            <w:r>
              <w:rPr>
                <w:lang w:val="de-DE"/>
              </w:rPr>
              <w:t>Keine Änderungen zur Vorwoche bei SARS-CoV-2 (16%)</w:t>
            </w:r>
          </w:p>
          <w:p>
            <w:pPr>
              <w:pStyle w:val="Liste2"/>
              <w:numPr>
                <w:ilvl w:val="1"/>
                <w:numId w:val="7"/>
              </w:numPr>
              <w:rPr>
                <w:lang w:val="de-DE"/>
              </w:rPr>
            </w:pPr>
            <w:r>
              <w:rPr>
                <w:lang w:val="de-DE"/>
              </w:rPr>
              <w:t>Anstieg von AH3N2-Nachweisen auf 7%</w:t>
            </w:r>
          </w:p>
          <w:p>
            <w:pPr>
              <w:pStyle w:val="Liste2"/>
              <w:numPr>
                <w:ilvl w:val="1"/>
                <w:numId w:val="7"/>
              </w:numPr>
              <w:rPr>
                <w:lang w:val="de-DE"/>
              </w:rPr>
            </w:pPr>
            <w:r>
              <w:rPr>
                <w:lang w:val="de-DE"/>
              </w:rPr>
              <w:t>Andere Coronaviren oder Influenzaviren waren nicht nachweisbar</w:t>
            </w:r>
          </w:p>
          <w:p>
            <w:pPr>
              <w:pStyle w:val="Liste2"/>
              <w:numPr>
                <w:ilvl w:val="1"/>
                <w:numId w:val="7"/>
              </w:numPr>
              <w:rPr>
                <w:lang w:val="de-DE"/>
              </w:rPr>
            </w:pPr>
            <w:r>
              <w:rPr>
                <w:lang w:val="de-DE"/>
              </w:rPr>
              <w:t>Anstieg RSV auf 5%, PIV und HRV auf gleichem Niveau (18%), kein Nachweis von HMPV</w:t>
            </w:r>
          </w:p>
          <w:p>
            <w:pPr>
              <w:pStyle w:val="Liste2"/>
              <w:numPr>
                <w:ilvl w:val="0"/>
                <w:numId w:val="0"/>
              </w:numPr>
              <w:ind w:left="833" w:hanging="360"/>
              <w:rPr>
                <w:lang w:val="de-DE"/>
              </w:rPr>
            </w:pPr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ZIG1 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(Kerber)</w:t>
            </w:r>
            <w:r>
              <w:rPr>
                <w:sz w:val="22"/>
                <w:szCs w:val="22"/>
              </w:rPr>
              <w:br/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FG32 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(Diercke)</w:t>
            </w:r>
            <w:r>
              <w:rPr>
                <w:sz w:val="22"/>
                <w:szCs w:val="22"/>
              </w:rPr>
              <w:br/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MF4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(Fischer)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FG36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(Kröger) 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FG36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(Tolksdorf)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FG17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(Biere)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lastRenderedPageBreak/>
              <w:t>2</w:t>
            </w:r>
          </w:p>
        </w:tc>
        <w:tc>
          <w:tcPr>
            <w:tcW w:w="6824" w:type="dxa"/>
          </w:tcPr>
          <w:p>
            <w:pPr>
              <w:spacing w:line="276" w:lineRule="auto"/>
              <w:rPr>
                <w:rStyle w:val="TagFrZchn"/>
              </w:rPr>
            </w:pPr>
            <w:r>
              <w:rPr>
                <w:rStyle w:val="1Zchn"/>
              </w:rPr>
              <w:t>Update Impfen</w:t>
            </w:r>
            <w:r>
              <w:rPr>
                <w:b/>
                <w:sz w:val="28"/>
              </w:rPr>
              <w:t xml:space="preserve"> </w:t>
            </w:r>
          </w:p>
          <w:p>
            <w:pPr>
              <w:pStyle w:val="Liste1"/>
            </w:pPr>
            <w:r>
              <w:t>(nicht berichtet)</w:t>
            </w:r>
          </w:p>
          <w:p>
            <w:pPr>
              <w:pStyle w:val="Liste1"/>
              <w:numPr>
                <w:ilvl w:val="0"/>
                <w:numId w:val="0"/>
              </w:numPr>
              <w:ind w:left="473"/>
              <w:rPr>
                <w:rStyle w:val="1Zchn"/>
                <w:b w:val="0"/>
                <w:sz w:val="22"/>
              </w:rPr>
            </w:pPr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FG 33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(Wichmann)</w:t>
            </w: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6824" w:type="dxa"/>
          </w:tcPr>
          <w:p>
            <w:pPr>
              <w:spacing w:line="276" w:lineRule="auto"/>
              <w:rPr>
                <w:rStyle w:val="TagFrZchn"/>
              </w:rPr>
            </w:pPr>
            <w:r>
              <w:rPr>
                <w:rStyle w:val="1Zchn"/>
              </w:rPr>
              <w:t>Internationales</w:t>
            </w:r>
            <w:r>
              <w:rPr>
                <w:b/>
                <w:color w:val="FF0000"/>
              </w:rPr>
              <w:t xml:space="preserve"> </w:t>
            </w:r>
          </w:p>
          <w:p>
            <w:pPr>
              <w:pStyle w:val="Liste1"/>
            </w:pPr>
            <w:r>
              <w:t>(nicht berichtet)</w:t>
            </w:r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ZIG</w:t>
            </w: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6824" w:type="dxa"/>
          </w:tcPr>
          <w:p>
            <w:pPr>
              <w:spacing w:line="276" w:lineRule="auto"/>
              <w:rPr>
                <w:b/>
                <w:sz w:val="28"/>
              </w:rPr>
            </w:pPr>
            <w:r>
              <w:rPr>
                <w:rStyle w:val="1Zchn"/>
              </w:rPr>
              <w:t>Update digitale Projekte</w:t>
            </w:r>
            <w:r>
              <w:rPr>
                <w:b/>
                <w:sz w:val="28"/>
              </w:rPr>
              <w:t xml:space="preserve"> </w:t>
            </w:r>
          </w:p>
          <w:p>
            <w:pPr>
              <w:pStyle w:val="Liste1"/>
            </w:pPr>
            <w:r>
              <w:t>(nicht berichtet)</w:t>
            </w:r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FG21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(Schmich)</w:t>
            </w:r>
            <w:r>
              <w:rPr>
                <w:sz w:val="22"/>
                <w:szCs w:val="22"/>
              </w:rPr>
              <w:br/>
            </w: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lastRenderedPageBreak/>
              <w:t>5</w:t>
            </w:r>
          </w:p>
        </w:tc>
        <w:tc>
          <w:tcPr>
            <w:tcW w:w="6824" w:type="dxa"/>
          </w:tcPr>
          <w:p>
            <w:pPr>
              <w:pStyle w:val="1"/>
            </w:pPr>
            <w:r>
              <w:t xml:space="preserve">Daten aus der Gesundheitsberichterstattung 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(nicht berichtet)</w:t>
            </w:r>
          </w:p>
          <w:p>
            <w:pPr>
              <w:pStyle w:val="Liste2"/>
              <w:numPr>
                <w:ilvl w:val="0"/>
                <w:numId w:val="0"/>
              </w:numPr>
              <w:ind w:left="473"/>
              <w:rPr>
                <w:lang w:val="de-DE"/>
              </w:rPr>
            </w:pPr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Abt. 2</w:t>
            </w: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6824" w:type="dxa"/>
          </w:tcPr>
          <w:p>
            <w:pPr>
              <w:pStyle w:val="1"/>
            </w:pPr>
            <w:r>
              <w:t>Aktuelle Risikobewertung</w:t>
            </w:r>
          </w:p>
          <w:p>
            <w:pPr>
              <w:pStyle w:val="Liste1"/>
            </w:pPr>
            <w:r>
              <w:t xml:space="preserve">  (nicht berichtet)</w:t>
            </w:r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FG31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(Rexroth)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6824" w:type="dxa"/>
          </w:tcPr>
          <w:p>
            <w:pPr>
              <w:pStyle w:val="1"/>
            </w:pPr>
            <w:r>
              <w:t xml:space="preserve">Expertenbeirat </w:t>
            </w:r>
            <w:r>
              <w:rPr>
                <w:i/>
                <w:color w:val="95B3D7" w:themeColor="accent1" w:themeTint="99"/>
                <w:sz w:val="20"/>
              </w:rPr>
              <w:t>(montags Vorbereitung, mittwochs Nachbereitung)</w:t>
            </w:r>
          </w:p>
          <w:p>
            <w:pPr>
              <w:pStyle w:val="Liste1"/>
            </w:pPr>
            <w:r>
              <w:t xml:space="preserve">  (nicht berichtet)</w:t>
            </w:r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Praes</w:t>
            </w:r>
            <w:proofErr w:type="spellEnd"/>
          </w:p>
        </w:tc>
      </w:tr>
      <w:tr>
        <w:trPr>
          <w:trHeight w:val="518"/>
        </w:trP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6824" w:type="dxa"/>
          </w:tcPr>
          <w:p>
            <w:pPr>
              <w:pStyle w:val="1"/>
            </w:pPr>
            <w:r>
              <w:t>Kommunikation</w:t>
            </w:r>
          </w:p>
          <w:p>
            <w:pPr>
              <w:pStyle w:val="2"/>
            </w:pPr>
            <w:r>
              <w:t>BZgA</w:t>
            </w:r>
          </w:p>
          <w:p>
            <w:pPr>
              <w:pStyle w:val="Liste1"/>
            </w:pPr>
            <w:r>
              <w:t>Aktuelle Merkblätter werden hinsichtlich neuster STIKO-Empfehlungen angepasst</w:t>
            </w:r>
          </w:p>
          <w:p>
            <w:pPr>
              <w:pStyle w:val="Liste1"/>
            </w:pPr>
            <w:r>
              <w:t>BZgA Corona-Impfcheck wird voraussichtlich im Laufe des Septembers auf infektionsschutz.de verfügbar sein</w:t>
            </w:r>
          </w:p>
          <w:p>
            <w:pPr>
              <w:pStyle w:val="Liste1"/>
              <w:numPr>
                <w:ilvl w:val="0"/>
                <w:numId w:val="0"/>
              </w:numPr>
              <w:ind w:left="473"/>
            </w:pPr>
          </w:p>
          <w:p>
            <w:pPr>
              <w:pStyle w:val="2"/>
            </w:pPr>
            <w:r>
              <w:t>Presse</w:t>
            </w:r>
          </w:p>
          <w:p>
            <w:pPr>
              <w:pStyle w:val="Liste1"/>
            </w:pPr>
            <w:r>
              <w:t>(nicht berichtet)</w:t>
            </w:r>
          </w:p>
          <w:p>
            <w:pPr>
              <w:pStyle w:val="2"/>
            </w:pPr>
            <w:r>
              <w:t>P1</w:t>
            </w:r>
          </w:p>
          <w:p>
            <w:pPr>
              <w:pStyle w:val="Liste1"/>
              <w:rPr>
                <w:i/>
              </w:rPr>
            </w:pPr>
            <w:r>
              <w:t xml:space="preserve">Flyer zu Herbst/Winter ist in Arbeit. Frau Leuker ist mit </w:t>
            </w:r>
            <w:proofErr w:type="spellStart"/>
            <w:r>
              <w:t>allenBeteiligten</w:t>
            </w:r>
            <w:proofErr w:type="spellEnd"/>
            <w:r>
              <w:t xml:space="preserve"> in Austausch.</w:t>
            </w:r>
          </w:p>
          <w:p>
            <w:pPr>
              <w:pStyle w:val="Liste1"/>
              <w:numPr>
                <w:ilvl w:val="0"/>
                <w:numId w:val="0"/>
              </w:numPr>
              <w:rPr>
                <w:i/>
              </w:rPr>
            </w:pPr>
          </w:p>
          <w:p>
            <w:pPr>
              <w:pStyle w:val="Liste1"/>
              <w:numPr>
                <w:ilvl w:val="0"/>
                <w:numId w:val="0"/>
              </w:numPr>
              <w:ind w:left="473" w:hanging="360"/>
              <w:rPr>
                <w:i/>
              </w:rPr>
            </w:pPr>
            <w:r>
              <w:rPr>
                <w:i/>
              </w:rPr>
              <w:t>Diskussion</w:t>
            </w:r>
          </w:p>
          <w:p>
            <w:pPr>
              <w:pStyle w:val="Liste1"/>
            </w:pPr>
            <w:r>
              <w:t xml:space="preserve">Sind in Deutschland Kampagnen zur Behandlung mit </w:t>
            </w:r>
            <w:proofErr w:type="spellStart"/>
            <w:r>
              <w:t>Coronamedikamenten</w:t>
            </w:r>
            <w:proofErr w:type="spellEnd"/>
            <w:r>
              <w:t xml:space="preserve"> wie </w:t>
            </w:r>
            <w:proofErr w:type="spellStart"/>
            <w:r>
              <w:t>Paxlovid</w:t>
            </w:r>
            <w:proofErr w:type="spellEnd"/>
            <w:r>
              <w:t xml:space="preserve"> angedacht?</w:t>
            </w:r>
          </w:p>
          <w:p>
            <w:pPr>
              <w:pStyle w:val="Liste3"/>
            </w:pPr>
            <w:r>
              <w:t>Dokumente befinden sich in Überarbeitung. Letzte Woche gab es Publikationen, die Vorteile der Behandlung an Geimpften aufzeigen. Zudem ist eine Fortbildung für Hausärzte in Zusammenarbeit mit dem Hausärzteverband angedacht.</w:t>
            </w:r>
          </w:p>
          <w:p>
            <w:pPr>
              <w:pStyle w:val="Liste1"/>
            </w:pPr>
            <w:r>
              <w:t>Wie ist die Interaktion mit anderen Medikamenten und wie sind die Nebenwirkungen zu bewerten?</w:t>
            </w:r>
          </w:p>
          <w:p>
            <w:pPr>
              <w:pStyle w:val="Liste3"/>
            </w:pPr>
            <w:r>
              <w:t>Präzisierung der Risikofaktoren ist komplex. Ergebnisse der Publikationen deuten eher auf eine Empfehlung für die ältere Bevölkerung ab 65 Jahren hin. Zu Neben/-wechselwirkungen bietet Liverpool Interaction Checker eine gute Orientierung.</w:t>
            </w:r>
          </w:p>
          <w:p>
            <w:pPr>
              <w:pStyle w:val="Liste1"/>
            </w:pPr>
            <w:r>
              <w:t>Der Minister hat neuen Impfstoffen eine bessere Wirkung zugeschrieben und zeitgleiche eine neue, große Informationskampagne angekündigt. Ist die Kampagne in Zusammenarbeit mit der BZgA?</w:t>
            </w:r>
          </w:p>
          <w:p>
            <w:pPr>
              <w:pStyle w:val="Liste3"/>
            </w:pPr>
            <w:r>
              <w:t>Das RKI ist hier mit eingebunden. Ein Termin dazu findet am Freitag mit dem BMG statt.</w:t>
            </w:r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BZgA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(Steffens)</w:t>
            </w:r>
            <w:r>
              <w:rPr>
                <w:sz w:val="22"/>
                <w:szCs w:val="22"/>
              </w:rPr>
              <w:br/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Presse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(Degen)</w:t>
            </w:r>
            <w:r>
              <w:rPr>
                <w:sz w:val="22"/>
                <w:szCs w:val="22"/>
              </w:rPr>
              <w:br/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P1</w:t>
            </w:r>
            <w:r>
              <w:rPr>
                <w:sz w:val="22"/>
                <w:szCs w:val="22"/>
              </w:rPr>
              <w:br/>
              <w:t>(Lein)</w:t>
            </w: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6824" w:type="dxa"/>
          </w:tcPr>
          <w:p>
            <w:pPr>
              <w:pStyle w:val="1"/>
            </w:pPr>
            <w:r>
              <w:t>RKI-Strategie Fragen</w:t>
            </w:r>
          </w:p>
          <w:p>
            <w:pPr>
              <w:pStyle w:val="2"/>
            </w:pPr>
            <w:r>
              <w:lastRenderedPageBreak/>
              <w:t>Allgemein</w:t>
            </w:r>
          </w:p>
          <w:p>
            <w:pPr>
              <w:pStyle w:val="Liste1"/>
            </w:pPr>
            <w:r>
              <w:t>Stellungnahme Bundesregierung zum IfSG-Evaluationsbericht</w:t>
            </w:r>
          </w:p>
          <w:p>
            <w:pPr>
              <w:pStyle w:val="Liste3"/>
            </w:pPr>
            <w:r>
              <w:t>In einer 40-seitigen Stellungnahme der Bundesregierung wird das RKI mehrfach erwähnt. Einige Stellen könnten für das RKI nachteilig sein und sollten kommentiert und Anmerkungen eingebracht werden.</w:t>
            </w:r>
          </w:p>
          <w:p>
            <w:pPr>
              <w:pStyle w:val="Liste3"/>
            </w:pPr>
            <w:r>
              <w:t>Datengrundlage in Deutschland wird schlechter dargestellt als sie ist.</w:t>
            </w:r>
          </w:p>
          <w:p>
            <w:pPr>
              <w:pStyle w:val="Liste3"/>
            </w:pPr>
            <w:r>
              <w:t>Im Punkt Kommunikation könnte hineininterpretiert werden, dass das RKI keinen relevanten Anteil beigesteuert hat.</w:t>
            </w:r>
          </w:p>
          <w:p>
            <w:pPr>
              <w:pStyle w:val="Liste3"/>
            </w:pPr>
            <w:r>
              <w:t>Fokus sollte auf inhaltliche Falschaussagen mit konkreten Formulierungsvorschlägen liegen</w:t>
            </w:r>
          </w:p>
          <w:p>
            <w:pPr>
              <w:pStyle w:val="Liste3"/>
            </w:pPr>
            <w:r>
              <w:t>Eigene Stellungnahme ungünstig, da Angriffsflächen entstehen. Gefahr ist größer als der Nutzen.</w:t>
            </w:r>
          </w:p>
          <w:p>
            <w:pPr>
              <w:pStyle w:val="Liste3"/>
            </w:pPr>
            <w:r>
              <w:t>Anmerkungen und Kommentare zu dieser Stellungnahme können bis Freitag 02.09. DS beim BMG eingereicht werden. Herr Schaade möchte es gerne bis 16:00 Uhr erhalten. Abteilungsleiter sollten es vorher durchschauen. Beteiligt sind insbesondere FG32 und FG36.</w:t>
            </w:r>
            <w:bookmarkStart w:id="1" w:name="_GoBack"/>
            <w:bookmarkEnd w:id="1"/>
          </w:p>
          <w:p>
            <w:pPr>
              <w:pStyle w:val="Liste3"/>
            </w:pPr>
            <w:r>
              <w:t>Es wird eine Aufgabe für die Koordinierungsstelle erstellt.</w:t>
            </w:r>
          </w:p>
          <w:p>
            <w:pPr>
              <w:pStyle w:val="2"/>
              <w:rPr>
                <w:i/>
              </w:rPr>
            </w:pPr>
            <w:r>
              <w:t>RKI-intern</w:t>
            </w:r>
          </w:p>
          <w:p>
            <w:pPr>
              <w:pStyle w:val="Liste1"/>
            </w:pPr>
            <w:r>
              <w:t>(nicht berichtet)</w:t>
            </w:r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FG31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(Rexroth)</w:t>
            </w:r>
          </w:p>
          <w:p>
            <w:pPr>
              <w:rPr>
                <w:sz w:val="22"/>
                <w:szCs w:val="22"/>
                <w:lang w:val="en-GB"/>
              </w:rPr>
            </w:pPr>
          </w:p>
          <w:p>
            <w:pPr>
              <w:rPr>
                <w:sz w:val="22"/>
                <w:szCs w:val="22"/>
                <w:lang w:val="en-GB"/>
              </w:rPr>
            </w:pPr>
          </w:p>
          <w:p>
            <w:pPr>
              <w:rPr>
                <w:sz w:val="22"/>
                <w:szCs w:val="22"/>
                <w:lang w:val="en-GB"/>
              </w:rPr>
            </w:pPr>
          </w:p>
          <w:p>
            <w:pPr>
              <w:rPr>
                <w:sz w:val="22"/>
                <w:szCs w:val="22"/>
                <w:lang w:val="en-GB"/>
              </w:rPr>
            </w:pPr>
          </w:p>
          <w:p>
            <w:pPr>
              <w:rPr>
                <w:sz w:val="22"/>
                <w:szCs w:val="22"/>
                <w:lang w:val="en-GB"/>
              </w:rPr>
            </w:pPr>
          </w:p>
          <w:p>
            <w:pPr>
              <w:rPr>
                <w:sz w:val="22"/>
                <w:szCs w:val="22"/>
                <w:lang w:val="en-GB"/>
              </w:rPr>
            </w:pPr>
          </w:p>
          <w:p>
            <w:pPr>
              <w:rPr>
                <w:sz w:val="22"/>
                <w:szCs w:val="22"/>
                <w:lang w:val="en-GB"/>
              </w:rPr>
            </w:pPr>
          </w:p>
          <w:p>
            <w:pPr>
              <w:rPr>
                <w:sz w:val="22"/>
                <w:szCs w:val="22"/>
                <w:lang w:val="en-GB"/>
              </w:rPr>
            </w:pPr>
            <w:proofErr w:type="spellStart"/>
            <w:r>
              <w:rPr>
                <w:sz w:val="22"/>
                <w:szCs w:val="22"/>
                <w:lang w:val="en-GB"/>
              </w:rPr>
              <w:t>Alle</w:t>
            </w:r>
            <w:proofErr w:type="spellEnd"/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lastRenderedPageBreak/>
              <w:t>10</w:t>
            </w:r>
          </w:p>
        </w:tc>
        <w:tc>
          <w:tcPr>
            <w:tcW w:w="6824" w:type="dxa"/>
          </w:tcPr>
          <w:p>
            <w:pPr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Dokumente</w:t>
            </w:r>
          </w:p>
          <w:p>
            <w:pPr>
              <w:pStyle w:val="Liste1"/>
            </w:pPr>
            <w:r>
              <w:t xml:space="preserve">FAQ zu Todesfällen (Anteile an/mit verstorben) Entwurf </w:t>
            </w:r>
            <w:hyperlink r:id="rId16" w:history="1">
              <w:r>
                <w:rPr>
                  <w:rStyle w:val="Hyperlink"/>
                </w:rPr>
                <w:t>hier</w:t>
              </w:r>
            </w:hyperlink>
          </w:p>
          <w:p>
            <w:pPr>
              <w:pStyle w:val="Liste3"/>
            </w:pPr>
            <w:r>
              <w:t>Vorschlag bereits vorhandenes FAQ: „Wie werden COVID-19-Todesfälle am RKI erhoben“ um folgenden Zusatz zu ergänzen: In den Jahren 2020 und 2021 wurden bei 95% der COVID-19 Todesfälle eine Angabe zur Todesursache an das RKI übermittelt und von diesen verstarben etwa 90% an COVID, etwa 10% verstarben mit COVID-19. Seit die Omikron-Variante in Deutschland dominiert (seit KW 02/2022) wurden in 94% der COVID-19 Todesfälle eine Angabe zur Todesursache übermittelt und etwa 80% dieser Todesfälle verstarben an COVID-19, etwa 20% verstarben mit COVID-19.</w:t>
            </w:r>
          </w:p>
          <w:p>
            <w:pPr>
              <w:pStyle w:val="Liste3"/>
              <w:numPr>
                <w:ilvl w:val="0"/>
                <w:numId w:val="0"/>
              </w:numPr>
            </w:pPr>
          </w:p>
          <w:p>
            <w:pPr>
              <w:pStyle w:val="Liste3"/>
              <w:numPr>
                <w:ilvl w:val="0"/>
                <w:numId w:val="0"/>
              </w:numPr>
              <w:rPr>
                <w:i/>
              </w:rPr>
            </w:pPr>
            <w:r>
              <w:rPr>
                <w:i/>
              </w:rPr>
              <w:t>Diskussion</w:t>
            </w:r>
          </w:p>
          <w:p>
            <w:pPr>
              <w:pStyle w:val="Liste3"/>
            </w:pPr>
            <w:r>
              <w:t>In Hamburg besteht Angabe, dass 49% aller COVID-19 Todesfälle auch an COVID-19 verstorben sind.</w:t>
            </w:r>
          </w:p>
          <w:p>
            <w:pPr>
              <w:pStyle w:val="Liste3"/>
              <w:numPr>
                <w:ilvl w:val="2"/>
                <w:numId w:val="6"/>
              </w:numPr>
            </w:pPr>
            <w:r>
              <w:t>Genaue Ermittlung dieser Zahl unklar.</w:t>
            </w:r>
          </w:p>
          <w:p>
            <w:pPr>
              <w:pStyle w:val="Liste3"/>
            </w:pPr>
            <w:r>
              <w:t>Wie erklären wir diese Aktualisierung?</w:t>
            </w:r>
          </w:p>
          <w:p>
            <w:pPr>
              <w:pStyle w:val="Liste3"/>
              <w:numPr>
                <w:ilvl w:val="2"/>
                <w:numId w:val="6"/>
              </w:numPr>
            </w:pPr>
            <w:r>
              <w:t>In der aktuellen Diskussion in Zusammenhang mit Omikron. Zur Darstellung des geringen Unterschieds durch die Omikron-Variante.</w:t>
            </w:r>
          </w:p>
          <w:p>
            <w:pPr>
              <w:pStyle w:val="Liste3"/>
            </w:pPr>
            <w:r>
              <w:t>Unsicherheit einer genauen Ermittlung „an und/oder mit COVID-19“ sollte im Text deutlicher dargestellt und stärker relativiert werden.</w:t>
            </w:r>
          </w:p>
          <w:p>
            <w:pPr>
              <w:pStyle w:val="Liste3"/>
            </w:pPr>
            <w:r>
              <w:lastRenderedPageBreak/>
              <w:t>Anmerkung, dass FAQs eher allgemein gehalten werden sollten. Spezifische Ergebnisse mit Verweis z.B. auf Wochenbericht.</w:t>
            </w:r>
          </w:p>
          <w:p>
            <w:pPr>
              <w:pStyle w:val="Liste3"/>
            </w:pPr>
            <w:r>
              <w:t>Redaktionelle Änderungen werden für den Wochenbericht nächste Woche vorbereitet, im nächsten JF am Freitag angesprochen und aus den FAQs darauf verwiesen.</w:t>
            </w:r>
          </w:p>
          <w:p>
            <w:pPr>
              <w:pStyle w:val="Liste1"/>
              <w:numPr>
                <w:ilvl w:val="0"/>
                <w:numId w:val="0"/>
              </w:numPr>
            </w:pPr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FG34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</w:t>
            </w:r>
            <w:proofErr w:type="gramStart"/>
            <w:r>
              <w:rPr>
                <w:sz w:val="22"/>
                <w:szCs w:val="22"/>
              </w:rPr>
              <w:t>an der Heiden</w:t>
            </w:r>
            <w:proofErr w:type="gramEnd"/>
            <w:r>
              <w:rPr>
                <w:sz w:val="22"/>
                <w:szCs w:val="22"/>
              </w:rPr>
              <w:t>)</w:t>
            </w:r>
          </w:p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6824" w:type="dxa"/>
          </w:tcPr>
          <w:p>
            <w:pPr>
              <w:pStyle w:val="1"/>
            </w:pPr>
            <w:r>
              <w:t>Klinisches Management/Entlassungsmanagement</w:t>
            </w:r>
          </w:p>
          <w:p>
            <w:pPr>
              <w:pStyle w:val="Liste1"/>
            </w:pPr>
            <w:r>
              <w:t>(nicht berichtet)</w:t>
            </w:r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ZBS7</w:t>
            </w:r>
          </w:p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6824" w:type="dxa"/>
          </w:tcPr>
          <w:p>
            <w:pPr>
              <w:pStyle w:val="1"/>
            </w:pPr>
            <w:r>
              <w:t>Maßnahmen zum Infektionsschutz</w:t>
            </w:r>
          </w:p>
          <w:p>
            <w:pPr>
              <w:pStyle w:val="Liste1"/>
            </w:pPr>
            <w:r>
              <w:t>(nicht berichtet)</w:t>
            </w:r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FG37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(Eckmanns)</w:t>
            </w: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6824" w:type="dxa"/>
          </w:tcPr>
          <w:p>
            <w:pPr>
              <w:pStyle w:val="1"/>
              <w:rPr>
                <w:sz w:val="22"/>
              </w:rPr>
            </w:pPr>
            <w:r>
              <w:t>Surveillance</w:t>
            </w:r>
          </w:p>
          <w:p>
            <w:pPr>
              <w:pStyle w:val="Liste1"/>
            </w:pPr>
            <w:r>
              <w:t xml:space="preserve">Vorschlag Kürzen von Erfassungsentitäten (Intensivregister) und Anpassung </w:t>
            </w:r>
            <w:proofErr w:type="spellStart"/>
            <w:r>
              <w:t>DIVIReg</w:t>
            </w:r>
            <w:proofErr w:type="spellEnd"/>
            <w:r>
              <w:t xml:space="preserve">-VO, Folien </w:t>
            </w:r>
            <w:hyperlink r:id="rId17" w:history="1">
              <w:r>
                <w:rPr>
                  <w:rStyle w:val="Hyperlink"/>
                </w:rPr>
                <w:t>hier</w:t>
              </w:r>
            </w:hyperlink>
          </w:p>
          <w:p>
            <w:pPr>
              <w:pStyle w:val="Liste3"/>
            </w:pPr>
            <w:r>
              <w:t>Im Kern geht es darum das Intensivregister zu verschlanken und Erfassungsentitäten zu pausieren/streichen.</w:t>
            </w:r>
          </w:p>
          <w:p>
            <w:pPr>
              <w:pStyle w:val="Liste3"/>
            </w:pPr>
            <w:r>
              <w:t>Vorschlagskandidaten zum Pausieren in der Erfassung: ICU-Reserve, Schwangere und frisch Entbundene mit COVID-19, Aktuelle COVID-19-Patient*innen nach Virusvarianten, SARS-CoV2-Impfstatus der COVID-19 IST-Erstaufnahmen und Verfügbarkeit Nierenersatz-Behandlung</w:t>
            </w:r>
          </w:p>
          <w:p>
            <w:pPr>
              <w:pStyle w:val="Liste3"/>
            </w:pPr>
            <w:r>
              <w:t>Vorschlag Belegungs-Anzahl der SARS-CoV-2 Patient*innen differenzieren nach: A. Primäre Lungen- und/oder Systembeteiligung der COVID Infektion, B. COVID-19 Infektion als Nebendiagnose mit Einfluss auf die Grunderkrankung und C. SARS-CoV-2 Infektion mit keinem Einfluss auf die Grunderkrankung</w:t>
            </w:r>
          </w:p>
          <w:p>
            <w:pPr>
              <w:pStyle w:val="Liste3"/>
            </w:pPr>
            <w:r>
              <w:t>Umsetzung des Vorschlags führt laut Frau Diercke zu keinen Problemen.</w:t>
            </w:r>
          </w:p>
          <w:p>
            <w:pPr>
              <w:pStyle w:val="Liste3"/>
            </w:pPr>
            <w:r>
              <w:t>Es sollte vermieden werden, gleiche Informationen in verschiedenen Systemen erfassen zu müssen.</w:t>
            </w:r>
          </w:p>
          <w:p>
            <w:pPr>
              <w:pStyle w:val="Liste3"/>
            </w:pPr>
            <w:r>
              <w:t xml:space="preserve">Unterer Vorschlag wird in unserer Rückmeldung nicht mit aufgenommen, für die oberen Punkte wird eine </w:t>
            </w:r>
            <w:proofErr w:type="spellStart"/>
            <w:r>
              <w:t>Pausierung</w:t>
            </w:r>
            <w:proofErr w:type="spellEnd"/>
            <w:r>
              <w:t xml:space="preserve"> angestrebt. Falls eine Äußerung gewünscht ist, werden wir favorisieren es in DEMIS zu erfassen.</w:t>
            </w:r>
          </w:p>
          <w:p>
            <w:pPr>
              <w:pStyle w:val="Liste1"/>
              <w:numPr>
                <w:ilvl w:val="0"/>
                <w:numId w:val="0"/>
              </w:numPr>
              <w:ind w:left="473"/>
            </w:pPr>
          </w:p>
          <w:p>
            <w:pPr>
              <w:pStyle w:val="Liste1"/>
            </w:pPr>
            <w:r>
              <w:t>Information aus IT4: Künftig erfolgt Mo-Fr nach 18.00 Uhr oder am Wochenende kein Einlesen mehr von Zahlen aus dem Meldewesen</w:t>
            </w:r>
          </w:p>
          <w:p>
            <w:pPr>
              <w:pStyle w:val="Liste3"/>
            </w:pPr>
            <w:r>
              <w:t>Aufgrund der Überstunden und der Notwendigkeit diese abzubauen kein Einlesen im genannten Zeitraum mehr</w:t>
            </w:r>
          </w:p>
          <w:p>
            <w:pPr>
              <w:pStyle w:val="Liste3"/>
            </w:pPr>
            <w:r>
              <w:t>dpa meldet bereits jeden Montag, dass sie montags nichts mehr melden, weil es keine Daten gibt</w:t>
            </w:r>
          </w:p>
          <w:p>
            <w:pPr>
              <w:pStyle w:val="Liste3"/>
              <w:rPr>
                <w:i/>
              </w:rPr>
            </w:pPr>
            <w:r>
              <w:t>Bericht wird weiter erstellt</w:t>
            </w:r>
          </w:p>
          <w:p>
            <w:pPr>
              <w:pStyle w:val="Liste3"/>
              <w:rPr>
                <w:i/>
              </w:rPr>
            </w:pPr>
            <w:r>
              <w:t xml:space="preserve">Sprachregelung auf Nachfragen: Wir können diesen Sonntag personell nicht besetzen. Das Einlesen am </w:t>
            </w:r>
            <w:r>
              <w:lastRenderedPageBreak/>
              <w:t>Wochenende wird eingestellt, weil es personell nicht besetzt werden kann.</w:t>
            </w:r>
          </w:p>
          <w:p>
            <w:pPr>
              <w:pStyle w:val="Liste1"/>
            </w:pPr>
            <w:r>
              <w:t>Erlass zum Pandemiebericht</w:t>
            </w:r>
          </w:p>
          <w:p>
            <w:pPr>
              <w:pStyle w:val="Liste3"/>
            </w:pPr>
            <w:r>
              <w:t>Aktueller Stand: Trendbericht soll verwendet werden. Zusätzliche Indikatoren sollen mit aufgenommen werden – Ministerentscheidung steht noch aus</w:t>
            </w:r>
          </w:p>
          <w:p>
            <w:pPr>
              <w:pStyle w:val="Liste3"/>
            </w:pPr>
            <w:r>
              <w:t>Ab dem 17.09. Visualisierung des Pandemieradars auf der Trendseite</w:t>
            </w:r>
          </w:p>
          <w:p>
            <w:pPr>
              <w:pStyle w:val="Liste3"/>
            </w:pPr>
            <w:r>
              <w:t>Ab dem 23.09. soll der Pandemieradar mit im Wochenbericht aufgegriffen werden</w:t>
            </w:r>
          </w:p>
          <w:p>
            <w:pPr>
              <w:pStyle w:val="Liste3"/>
            </w:pPr>
            <w:r>
              <w:t>Zwei neue Indikatoren: Abwasser-Surveillance und Bettenbelegung. Neue Erhebungssysteme für die Daten am 17.09. noch nicht verfügbar sein könnten.</w:t>
            </w:r>
          </w:p>
          <w:p>
            <w:pPr>
              <w:pStyle w:val="Liste3"/>
            </w:pPr>
            <w:r>
              <w:t>Abwasser-Surveillance soll mit farblichen Trends (Ampel) nach Standorten dargestellt werden</w:t>
            </w:r>
          </w:p>
          <w:p>
            <w:pPr>
              <w:pStyle w:val="Liste3"/>
            </w:pPr>
            <w:r>
              <w:t>Koordination als Ansprechpartner im RKI übernimmt FG32</w:t>
            </w:r>
          </w:p>
          <w:p>
            <w:pPr>
              <w:pStyle w:val="Liste3"/>
              <w:numPr>
                <w:ilvl w:val="0"/>
                <w:numId w:val="0"/>
              </w:numPr>
              <w:ind w:left="1193"/>
            </w:pPr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MF4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(Fischer)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FG31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(Rexroth)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FG32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(Diercke)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lastRenderedPageBreak/>
              <w:t>14</w:t>
            </w:r>
          </w:p>
        </w:tc>
        <w:tc>
          <w:tcPr>
            <w:tcW w:w="6824" w:type="dxa"/>
          </w:tcPr>
          <w:p>
            <w:pPr>
              <w:spacing w:after="120" w:line="276" w:lineRule="auto"/>
              <w:rPr>
                <w:b/>
                <w:sz w:val="28"/>
              </w:rPr>
            </w:pPr>
            <w:r>
              <w:rPr>
                <w:rStyle w:val="1Zchn"/>
              </w:rPr>
              <w:t>Transport und Grenzübergangsstellen</w:t>
            </w:r>
            <w:r>
              <w:rPr>
                <w:b/>
                <w:sz w:val="28"/>
              </w:rPr>
              <w:t xml:space="preserve"> </w:t>
            </w:r>
          </w:p>
          <w:p>
            <w:pPr>
              <w:pStyle w:val="Liste1"/>
            </w:pPr>
            <w:r>
              <w:t>nicht berichtet</w:t>
            </w:r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FG31 </w:t>
            </w:r>
            <w:r>
              <w:rPr>
                <w:sz w:val="22"/>
                <w:szCs w:val="22"/>
              </w:rPr>
              <w:br/>
            </w: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6824" w:type="dxa"/>
          </w:tcPr>
          <w:p>
            <w:pPr>
              <w:spacing w:line="276" w:lineRule="auto"/>
              <w:rPr>
                <w:rStyle w:val="TagFrZchn"/>
              </w:rPr>
            </w:pPr>
            <w:r>
              <w:rPr>
                <w:rStyle w:val="1Zchn"/>
              </w:rPr>
              <w:t>Information aus der Koordinierungsstelle</w:t>
            </w:r>
            <w:r>
              <w:rPr>
                <w:b/>
                <w:sz w:val="28"/>
              </w:rPr>
              <w:t xml:space="preserve"> </w:t>
            </w:r>
          </w:p>
          <w:p>
            <w:pPr>
              <w:pStyle w:val="Liste1"/>
            </w:pPr>
            <w:r>
              <w:t>(nicht berichtet)</w:t>
            </w:r>
          </w:p>
          <w:p>
            <w:pPr>
              <w:pStyle w:val="Liste1"/>
              <w:numPr>
                <w:ilvl w:val="0"/>
                <w:numId w:val="0"/>
              </w:numPr>
              <w:ind w:left="473"/>
            </w:pPr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FG31</w:t>
            </w:r>
            <w:r>
              <w:rPr>
                <w:sz w:val="22"/>
                <w:szCs w:val="22"/>
              </w:rPr>
              <w:br/>
            </w: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6824" w:type="dxa"/>
          </w:tcPr>
          <w:p>
            <w:pPr>
              <w:pStyle w:val="1"/>
            </w:pPr>
            <w:r>
              <w:t>Wichtige Termine</w:t>
            </w:r>
          </w:p>
          <w:p>
            <w:pPr>
              <w:pStyle w:val="Liste1"/>
            </w:pPr>
            <w:r>
              <w:t>keine</w:t>
            </w:r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Alle</w:t>
            </w:r>
          </w:p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17</w:t>
            </w:r>
          </w:p>
        </w:tc>
        <w:tc>
          <w:tcPr>
            <w:tcW w:w="6824" w:type="dxa"/>
          </w:tcPr>
          <w:p>
            <w:pPr>
              <w:pStyle w:val="1"/>
            </w:pPr>
            <w:r>
              <w:t>Andere Themen</w:t>
            </w:r>
          </w:p>
          <w:p>
            <w:pPr>
              <w:pStyle w:val="Liste1"/>
            </w:pPr>
            <w:r>
              <w:t>Nächste Sitzung: Mittwoch, 07.09.2022 11:00 Uhr, via Webex</w:t>
            </w:r>
            <w:r>
              <w:br/>
            </w:r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b/>
        </w:rPr>
        <w:t>Ende: 11:00 Uhr</w:t>
      </w:r>
    </w:p>
    <w:sectPr>
      <w:type w:val="continuous"/>
      <w:pgSz w:w="11900" w:h="16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/>
      </w:pPr>
      <w:r>
        <w:separator/>
      </w:r>
    </w:p>
  </w:endnote>
  <w:endnote w:type="continuationSeparator" w:id="0">
    <w:p>
      <w:pPr>
        <w:spacing w:after="0"/>
      </w:pPr>
      <w:r>
        <w:continuationSeparator/>
      </w:r>
    </w:p>
  </w:endnote>
  <w:endnote w:type="continuationNotice" w:id="1">
    <w:p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cala Sans OT">
    <w:panose1 w:val="020B0504030101020104"/>
    <w:charset w:val="00"/>
    <w:family w:val="swiss"/>
    <w:pitch w:val="variable"/>
    <w:sig w:usb0="A00000EF" w:usb1="5000E05B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uzeile"/>
      <w:ind w:right="360"/>
      <w:rPr>
        <w:i/>
        <w:color w:val="7F7F7F" w:themeColor="text1" w:themeTint="80"/>
      </w:rPr>
    </w:pPr>
    <w:r>
      <w:rPr>
        <w:i/>
        <w:color w:val="7F7F7F" w:themeColor="text1" w:themeTint="80"/>
      </w:rPr>
      <w:tab/>
      <w:t xml:space="preserve">Seite </w:t>
    </w:r>
    <w:r>
      <w:rPr>
        <w:b/>
        <w:bCs/>
        <w:i/>
        <w:color w:val="7F7F7F" w:themeColor="text1" w:themeTint="80"/>
      </w:rPr>
      <w:fldChar w:fldCharType="begin"/>
    </w:r>
    <w:r>
      <w:rPr>
        <w:b/>
        <w:bCs/>
        <w:i/>
        <w:color w:val="7F7F7F" w:themeColor="text1" w:themeTint="80"/>
      </w:rPr>
      <w:instrText>PAGE  \* Arabic  \* MERGEFORMAT</w:instrText>
    </w:r>
    <w:r>
      <w:rPr>
        <w:b/>
        <w:bCs/>
        <w:i/>
        <w:color w:val="7F7F7F" w:themeColor="text1" w:themeTint="80"/>
      </w:rPr>
      <w:fldChar w:fldCharType="separate"/>
    </w:r>
    <w:r>
      <w:rPr>
        <w:b/>
        <w:bCs/>
        <w:i/>
        <w:color w:val="7F7F7F" w:themeColor="text1" w:themeTint="80"/>
      </w:rPr>
      <w:t>1</w:t>
    </w:r>
    <w:r>
      <w:rPr>
        <w:b/>
        <w:bCs/>
        <w:i/>
        <w:color w:val="7F7F7F" w:themeColor="text1" w:themeTint="80"/>
      </w:rPr>
      <w:fldChar w:fldCharType="end"/>
    </w:r>
    <w:r>
      <w:rPr>
        <w:i/>
        <w:color w:val="7F7F7F" w:themeColor="text1" w:themeTint="80"/>
      </w:rPr>
      <w:t xml:space="preserve"> von </w:t>
    </w:r>
    <w:r>
      <w:rPr>
        <w:b/>
        <w:bCs/>
        <w:i/>
        <w:color w:val="7F7F7F" w:themeColor="text1" w:themeTint="80"/>
      </w:rPr>
      <w:fldChar w:fldCharType="begin"/>
    </w:r>
    <w:r>
      <w:rPr>
        <w:b/>
        <w:bCs/>
        <w:i/>
        <w:color w:val="7F7F7F" w:themeColor="text1" w:themeTint="80"/>
      </w:rPr>
      <w:instrText>NUMPAGES  \* Arabic  \* MERGEFORMAT</w:instrText>
    </w:r>
    <w:r>
      <w:rPr>
        <w:b/>
        <w:bCs/>
        <w:i/>
        <w:color w:val="7F7F7F" w:themeColor="text1" w:themeTint="80"/>
      </w:rPr>
      <w:fldChar w:fldCharType="separate"/>
    </w:r>
    <w:r>
      <w:rPr>
        <w:b/>
        <w:bCs/>
        <w:i/>
        <w:color w:val="7F7F7F" w:themeColor="text1" w:themeTint="80"/>
      </w:rPr>
      <w:t>2</w:t>
    </w:r>
    <w:r>
      <w:rPr>
        <w:b/>
        <w:bCs/>
        <w:i/>
        <w:color w:val="7F7F7F" w:themeColor="text1" w:themeTint="80"/>
      </w:rPr>
      <w:fldChar w:fldCharType="end"/>
    </w:r>
    <w:r>
      <w:rPr>
        <w:i/>
        <w:color w:val="7F7F7F" w:themeColor="text1" w:themeTint="80"/>
      </w:rPr>
      <w:tab/>
    </w:r>
    <w:r>
      <w:rPr>
        <w:i/>
        <w:color w:val="7F7F7F" w:themeColor="text1" w:themeTint="8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/>
      </w:pPr>
      <w:r>
        <w:separator/>
      </w:r>
    </w:p>
  </w:footnote>
  <w:footnote w:type="continuationSeparator" w:id="0">
    <w:p>
      <w:pPr>
        <w:spacing w:after="0"/>
      </w:pPr>
      <w:r>
        <w:continuationSeparator/>
      </w:r>
    </w:p>
  </w:footnote>
  <w:footnote w:type="continuationNotice" w:id="1">
    <w:p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Kopfzeile"/>
      <w:pBdr>
        <w:bottom w:val="single" w:sz="6" w:space="1" w:color="auto"/>
      </w:pBdr>
      <w:tabs>
        <w:tab w:val="left" w:pos="1478"/>
        <w:tab w:val="left" w:pos="8565"/>
      </w:tabs>
      <w:rPr>
        <w:color w:val="A6A6A6" w:themeColor="background1" w:themeShade="A6"/>
        <w:sz w:val="28"/>
      </w:rPr>
    </w:pPr>
    <w:r>
      <w:rPr>
        <w:noProof/>
        <w:color w:val="A6A6A6" w:themeColor="background1" w:themeShade="A6"/>
        <w:sz w:val="28"/>
        <w:lang w:eastAsia="de-DE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4635500</wp:posOffset>
          </wp:positionH>
          <wp:positionV relativeFrom="margin">
            <wp:posOffset>-795655</wp:posOffset>
          </wp:positionV>
          <wp:extent cx="1574800" cy="465455"/>
          <wp:effectExtent l="0" t="0" r="6350" b="0"/>
          <wp:wrapSquare wrapText="bothSides"/>
          <wp:docPr id="1" name="P 1" descr="RKI_Logo_Monito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RKI_Logo_Monito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4800" cy="4654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Arial" w:hAnsi="Arial" w:cs="Arial"/>
        <w:i/>
        <w:color w:val="A6A6A6" w:themeColor="background1" w:themeShade="A6"/>
        <w:sz w:val="20"/>
        <w:szCs w:val="22"/>
      </w:rPr>
      <w:t>VS – NUR FÜR DEN DIENSTGEBRAUCH</w:t>
    </w:r>
  </w:p>
  <w:p>
    <w:pPr>
      <w:pStyle w:val="Kopfzeile"/>
      <w:pBdr>
        <w:bottom w:val="single" w:sz="6" w:space="1" w:color="auto"/>
      </w:pBdr>
      <w:rPr>
        <w:color w:val="1F497D" w:themeColor="text2"/>
      </w:rPr>
    </w:pPr>
  </w:p>
  <w:p>
    <w:pPr>
      <w:pStyle w:val="Kopfzeile"/>
      <w:pBdr>
        <w:bottom w:val="single" w:sz="6" w:space="1" w:color="auto"/>
      </w:pBdr>
      <w:rPr>
        <w:color w:val="1F497D" w:themeColor="text2"/>
      </w:rPr>
    </w:pPr>
    <w:r>
      <w:rPr>
        <w:color w:val="1F497D" w:themeColor="text2"/>
      </w:rPr>
      <w:t xml:space="preserve">Koordinierungsstelle des RKI </w:t>
    </w:r>
    <w:r>
      <w:rPr>
        <w:color w:val="1F497D" w:themeColor="text2"/>
      </w:rPr>
      <w:tab/>
    </w:r>
    <w:r>
      <w:rPr>
        <w:color w:val="1F497D" w:themeColor="text2"/>
      </w:rPr>
      <w:tab/>
      <w:t>Protokoll der COVID-19-Lage-AG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C7D84"/>
    <w:multiLevelType w:val="hybridMultilevel"/>
    <w:tmpl w:val="17BCFED6"/>
    <w:lvl w:ilvl="0" w:tplc="24E48A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184DC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FAAD4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B84EB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DCA44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3008D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456E5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58CE3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27ADB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073823D4"/>
    <w:multiLevelType w:val="hybridMultilevel"/>
    <w:tmpl w:val="554479D2"/>
    <w:lvl w:ilvl="0" w:tplc="EE5860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30498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42CED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7E080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5C9F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78008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3003F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2F486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7406E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7877EFC"/>
    <w:multiLevelType w:val="hybridMultilevel"/>
    <w:tmpl w:val="D5189B9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850389"/>
    <w:multiLevelType w:val="hybridMultilevel"/>
    <w:tmpl w:val="7FF20EB0"/>
    <w:lvl w:ilvl="0" w:tplc="04070003">
      <w:start w:val="1"/>
      <w:numFmt w:val="bullet"/>
      <w:lvlText w:val="o"/>
      <w:lvlJc w:val="left"/>
      <w:pPr>
        <w:ind w:left="1193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91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63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35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07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79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51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23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953" w:hanging="360"/>
      </w:pPr>
      <w:rPr>
        <w:rFonts w:ascii="Wingdings" w:hAnsi="Wingdings" w:hint="default"/>
      </w:rPr>
    </w:lvl>
  </w:abstractNum>
  <w:abstractNum w:abstractNumId="4" w15:restartNumberingAfterBreak="0">
    <w:nsid w:val="0CE3156F"/>
    <w:multiLevelType w:val="hybridMultilevel"/>
    <w:tmpl w:val="E0A828DE"/>
    <w:lvl w:ilvl="0" w:tplc="3E301C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C38BABC">
      <w:start w:val="206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E28D2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AC81C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052B6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2382A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5BC24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B6FD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C9E63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0780C93"/>
    <w:multiLevelType w:val="hybridMultilevel"/>
    <w:tmpl w:val="31C262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0812AE"/>
    <w:multiLevelType w:val="hybridMultilevel"/>
    <w:tmpl w:val="E9564C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000DBE">
      <w:start w:val="2"/>
      <w:numFmt w:val="bullet"/>
      <w:lvlText w:val="-"/>
      <w:lvlJc w:val="left"/>
      <w:pPr>
        <w:ind w:left="3600" w:hanging="360"/>
      </w:pPr>
      <w:rPr>
        <w:rFonts w:ascii="Cambria" w:eastAsiaTheme="minorHAnsi" w:hAnsi="Cambria" w:cstheme="minorBidi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870E38"/>
    <w:multiLevelType w:val="hybridMultilevel"/>
    <w:tmpl w:val="7996E38E"/>
    <w:lvl w:ilvl="0" w:tplc="04070003">
      <w:start w:val="1"/>
      <w:numFmt w:val="bullet"/>
      <w:lvlText w:val="o"/>
      <w:lvlJc w:val="left"/>
      <w:pPr>
        <w:ind w:left="1193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91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63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35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07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79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51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23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953" w:hanging="360"/>
      </w:pPr>
      <w:rPr>
        <w:rFonts w:ascii="Wingdings" w:hAnsi="Wingdings" w:hint="default"/>
      </w:rPr>
    </w:lvl>
  </w:abstractNum>
  <w:abstractNum w:abstractNumId="8" w15:restartNumberingAfterBreak="0">
    <w:nsid w:val="22AC5A26"/>
    <w:multiLevelType w:val="hybridMultilevel"/>
    <w:tmpl w:val="9858F654"/>
    <w:lvl w:ilvl="0" w:tplc="EB4451E8">
      <w:start w:val="1"/>
      <w:numFmt w:val="bullet"/>
      <w:pStyle w:val="Liste1"/>
      <w:lvlText w:val=""/>
      <w:lvlJc w:val="left"/>
      <w:pPr>
        <w:ind w:left="473" w:hanging="360"/>
      </w:pPr>
      <w:rPr>
        <w:rFonts w:ascii="Symbol" w:hAnsi="Symbol" w:hint="default"/>
      </w:rPr>
    </w:lvl>
    <w:lvl w:ilvl="1" w:tplc="7A4C4BB4">
      <w:start w:val="1"/>
      <w:numFmt w:val="bullet"/>
      <w:pStyle w:val="Liste3"/>
      <w:lvlText w:val=""/>
      <w:lvlJc w:val="left"/>
      <w:pPr>
        <w:ind w:left="1193" w:hanging="360"/>
      </w:pPr>
      <w:rPr>
        <w:rFonts w:ascii="Wingdings" w:hAnsi="Wingdings" w:hint="default"/>
      </w:rPr>
    </w:lvl>
    <w:lvl w:ilvl="2" w:tplc="04070005">
      <w:start w:val="1"/>
      <w:numFmt w:val="bullet"/>
      <w:lvlText w:val=""/>
      <w:lvlJc w:val="left"/>
      <w:pPr>
        <w:ind w:left="1913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63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5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7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9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1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233" w:hanging="360"/>
      </w:pPr>
      <w:rPr>
        <w:rFonts w:ascii="Wingdings" w:hAnsi="Wingdings" w:hint="default"/>
      </w:rPr>
    </w:lvl>
  </w:abstractNum>
  <w:abstractNum w:abstractNumId="9" w15:restartNumberingAfterBreak="0">
    <w:nsid w:val="23CA452B"/>
    <w:multiLevelType w:val="hybridMultilevel"/>
    <w:tmpl w:val="6896A03E"/>
    <w:lvl w:ilvl="0" w:tplc="12521D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9768D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10C23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FB88E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2863D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8A087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DFCFC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0048C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55067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28A62D63"/>
    <w:multiLevelType w:val="hybridMultilevel"/>
    <w:tmpl w:val="DF347DC0"/>
    <w:lvl w:ilvl="0" w:tplc="A5D0D0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53AD9E0">
      <w:start w:val="206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1CDF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7C55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02865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77CF3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3D08B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C0ADF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EE6A4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291B27CE"/>
    <w:multiLevelType w:val="hybridMultilevel"/>
    <w:tmpl w:val="92683C2C"/>
    <w:lvl w:ilvl="0" w:tplc="04070005">
      <w:start w:val="1"/>
      <w:numFmt w:val="bullet"/>
      <w:lvlText w:val=""/>
      <w:lvlJc w:val="left"/>
      <w:pPr>
        <w:ind w:left="1553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227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99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71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43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15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87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59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313" w:hanging="360"/>
      </w:pPr>
      <w:rPr>
        <w:rFonts w:ascii="Wingdings" w:hAnsi="Wingdings" w:hint="default"/>
      </w:rPr>
    </w:lvl>
  </w:abstractNum>
  <w:abstractNum w:abstractNumId="12" w15:restartNumberingAfterBreak="0">
    <w:nsid w:val="2B397807"/>
    <w:multiLevelType w:val="hybridMultilevel"/>
    <w:tmpl w:val="4DC03620"/>
    <w:lvl w:ilvl="0" w:tplc="D49CFACC">
      <w:start w:val="1"/>
      <w:numFmt w:val="bullet"/>
      <w:pStyle w:val="3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E8C6729E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DAD0B20"/>
    <w:multiLevelType w:val="hybridMultilevel"/>
    <w:tmpl w:val="ED56B5D2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7D1E4D"/>
    <w:multiLevelType w:val="hybridMultilevel"/>
    <w:tmpl w:val="4E3254CC"/>
    <w:lvl w:ilvl="0" w:tplc="65BEC3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994BC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18A40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A50B1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51C06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8F8C8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90ACD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0BE5E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18E56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 w15:restartNumberingAfterBreak="0">
    <w:nsid w:val="3CDA482B"/>
    <w:multiLevelType w:val="hybridMultilevel"/>
    <w:tmpl w:val="DFD458E0"/>
    <w:lvl w:ilvl="0" w:tplc="15E087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1CFAE2">
      <w:start w:val="206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29C8E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62C6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A43C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3B0E6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77E8A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7EAA5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4C859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3CE02685"/>
    <w:multiLevelType w:val="hybridMultilevel"/>
    <w:tmpl w:val="D1F8CFA4"/>
    <w:lvl w:ilvl="0" w:tplc="57EEC79A">
      <w:start w:val="1"/>
      <w:numFmt w:val="bullet"/>
      <w:pStyle w:val="Style1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4007861"/>
    <w:multiLevelType w:val="hybridMultilevel"/>
    <w:tmpl w:val="D2046BAC"/>
    <w:lvl w:ilvl="0" w:tplc="04070003">
      <w:start w:val="1"/>
      <w:numFmt w:val="bullet"/>
      <w:lvlText w:val="o"/>
      <w:lvlJc w:val="left"/>
      <w:pPr>
        <w:ind w:left="833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18" w15:restartNumberingAfterBreak="0">
    <w:nsid w:val="44BA5A2B"/>
    <w:multiLevelType w:val="hybridMultilevel"/>
    <w:tmpl w:val="BD0CF130"/>
    <w:lvl w:ilvl="0" w:tplc="69CA077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B4B4DEC2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46FC9860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1FE4E1AA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E5523DE4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BF2ED62A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9E940860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A95492C6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61E60FC2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6822C9B"/>
    <w:multiLevelType w:val="hybridMultilevel"/>
    <w:tmpl w:val="2B3AC868"/>
    <w:lvl w:ilvl="0" w:tplc="04070001">
      <w:start w:val="1"/>
      <w:numFmt w:val="bullet"/>
      <w:lvlText w:val=""/>
      <w:lvlJc w:val="left"/>
      <w:pPr>
        <w:ind w:left="155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27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99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71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43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15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87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59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313" w:hanging="360"/>
      </w:pPr>
      <w:rPr>
        <w:rFonts w:ascii="Wingdings" w:hAnsi="Wingdings" w:hint="default"/>
      </w:rPr>
    </w:lvl>
  </w:abstractNum>
  <w:abstractNum w:abstractNumId="20" w15:restartNumberingAfterBreak="0">
    <w:nsid w:val="48AB08AF"/>
    <w:multiLevelType w:val="hybridMultilevel"/>
    <w:tmpl w:val="8176039C"/>
    <w:lvl w:ilvl="0" w:tplc="71F40AC2">
      <w:start w:val="1"/>
      <w:numFmt w:val="bullet"/>
      <w:pStyle w:val="Liste2"/>
      <w:lvlText w:val="o"/>
      <w:lvlJc w:val="left"/>
      <w:pPr>
        <w:ind w:left="833" w:hanging="360"/>
      </w:pPr>
      <w:rPr>
        <w:rFonts w:ascii="Courier New" w:hAnsi="Courier New" w:cs="Courier New" w:hint="default"/>
        <w:color w:val="auto"/>
      </w:rPr>
    </w:lvl>
    <w:lvl w:ilvl="1" w:tplc="04070005">
      <w:start w:val="1"/>
      <w:numFmt w:val="bullet"/>
      <w:lvlText w:val=""/>
      <w:lvlJc w:val="left"/>
      <w:pPr>
        <w:ind w:left="1553" w:hanging="360"/>
      </w:pPr>
      <w:rPr>
        <w:rFonts w:ascii="Wingdings" w:hAnsi="Wingdings" w:hint="default"/>
      </w:rPr>
    </w:lvl>
    <w:lvl w:ilvl="2" w:tplc="04070005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21" w15:restartNumberingAfterBreak="0">
    <w:nsid w:val="4B095C62"/>
    <w:multiLevelType w:val="hybridMultilevel"/>
    <w:tmpl w:val="D916A5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502913"/>
    <w:multiLevelType w:val="hybridMultilevel"/>
    <w:tmpl w:val="087A8F7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6B271E"/>
    <w:multiLevelType w:val="hybridMultilevel"/>
    <w:tmpl w:val="E99217CE"/>
    <w:lvl w:ilvl="0" w:tplc="7A765F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BAAB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4E0C4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4F4D7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B987C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F144B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04E10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260D3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210EC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59C24151"/>
    <w:multiLevelType w:val="hybridMultilevel"/>
    <w:tmpl w:val="03122FBA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0D224D5"/>
    <w:multiLevelType w:val="hybridMultilevel"/>
    <w:tmpl w:val="755A97A0"/>
    <w:lvl w:ilvl="0" w:tplc="76B0A7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8A7D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15AC2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1B4F8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160BC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6B20A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FC898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4B21B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FEB1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68B251CA"/>
    <w:multiLevelType w:val="hybridMultilevel"/>
    <w:tmpl w:val="68A8524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4204D96"/>
    <w:multiLevelType w:val="hybridMultilevel"/>
    <w:tmpl w:val="66589BB4"/>
    <w:lvl w:ilvl="0" w:tplc="D00C00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3DC02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EC26A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ECC6C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97AB3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2B4B8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7A059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CD8CA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75637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8" w15:restartNumberingAfterBreak="0">
    <w:nsid w:val="74A24260"/>
    <w:multiLevelType w:val="hybridMultilevel"/>
    <w:tmpl w:val="43940EF6"/>
    <w:lvl w:ilvl="0" w:tplc="04070003">
      <w:start w:val="1"/>
      <w:numFmt w:val="bullet"/>
      <w:lvlText w:val="o"/>
      <w:lvlJc w:val="left"/>
      <w:pPr>
        <w:ind w:left="1193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91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63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35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07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79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51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23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953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6"/>
  </w:num>
  <w:num w:numId="3">
    <w:abstractNumId w:val="5"/>
  </w:num>
  <w:num w:numId="4">
    <w:abstractNumId w:val="21"/>
  </w:num>
  <w:num w:numId="5">
    <w:abstractNumId w:val="12"/>
  </w:num>
  <w:num w:numId="6">
    <w:abstractNumId w:val="8"/>
  </w:num>
  <w:num w:numId="7">
    <w:abstractNumId w:val="20"/>
  </w:num>
  <w:num w:numId="8">
    <w:abstractNumId w:val="26"/>
  </w:num>
  <w:num w:numId="9">
    <w:abstractNumId w:val="2"/>
  </w:num>
  <w:num w:numId="10">
    <w:abstractNumId w:val="13"/>
  </w:num>
  <w:num w:numId="11">
    <w:abstractNumId w:val="27"/>
  </w:num>
  <w:num w:numId="12">
    <w:abstractNumId w:val="9"/>
  </w:num>
  <w:num w:numId="13">
    <w:abstractNumId w:val="0"/>
  </w:num>
  <w:num w:numId="14">
    <w:abstractNumId w:val="14"/>
  </w:num>
  <w:num w:numId="15">
    <w:abstractNumId w:val="18"/>
  </w:num>
  <w:num w:numId="16">
    <w:abstractNumId w:val="4"/>
  </w:num>
  <w:num w:numId="17">
    <w:abstractNumId w:val="25"/>
  </w:num>
  <w:num w:numId="18">
    <w:abstractNumId w:val="23"/>
  </w:num>
  <w:num w:numId="19">
    <w:abstractNumId w:val="1"/>
  </w:num>
  <w:num w:numId="20">
    <w:abstractNumId w:val="15"/>
  </w:num>
  <w:num w:numId="21">
    <w:abstractNumId w:val="10"/>
  </w:num>
  <w:num w:numId="22">
    <w:abstractNumId w:val="28"/>
  </w:num>
  <w:num w:numId="23">
    <w:abstractNumId w:val="7"/>
  </w:num>
  <w:num w:numId="24">
    <w:abstractNumId w:val="17"/>
  </w:num>
  <w:num w:numId="25">
    <w:abstractNumId w:val="3"/>
  </w:num>
  <w:num w:numId="26">
    <w:abstractNumId w:val="22"/>
  </w:num>
  <w:num w:numId="27">
    <w:abstractNumId w:val="19"/>
  </w:num>
  <w:num w:numId="28">
    <w:abstractNumId w:val="11"/>
  </w:num>
  <w:num w:numId="29">
    <w:abstractNumId w:val="2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5:docId w15:val="{C649FD13-83AA-4C86-A9F1-550F242CE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153"/>
        <w:tab w:val="right" w:pos="8306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styleId="Fuzeile">
    <w:name w:val="footer"/>
    <w:basedOn w:val="Standard"/>
    <w:link w:val="FuzeileZchn"/>
    <w:uiPriority w:val="99"/>
    <w:unhideWhenUsed/>
    <w:pPr>
      <w:tabs>
        <w:tab w:val="center" w:pos="4153"/>
        <w:tab w:val="right" w:pos="8306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</w:style>
  <w:style w:type="paragraph" w:styleId="Listenabsatz">
    <w:name w:val="List Paragraph"/>
    <w:basedOn w:val="Standard"/>
    <w:link w:val="ListenabsatzZchn"/>
    <w:uiPriority w:val="34"/>
    <w:qFormat/>
    <w:pPr>
      <w:ind w:left="720"/>
      <w:contextualSpacing/>
    </w:pPr>
  </w:style>
  <w:style w:type="paragraph" w:customStyle="1" w:styleId="Style1">
    <w:name w:val="Style1"/>
    <w:basedOn w:val="Listenabsatz"/>
    <w:qFormat/>
    <w:pPr>
      <w:numPr>
        <w:numId w:val="1"/>
      </w:numPr>
      <w:spacing w:before="120" w:after="320"/>
    </w:pPr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eitenzahl">
    <w:name w:val="page number"/>
    <w:basedOn w:val="Absatz-Standardschriftart"/>
    <w:uiPriority w:val="99"/>
    <w:semiHidden/>
    <w:unhideWhenUsed/>
  </w:style>
  <w:style w:type="table" w:styleId="Tabellenraster">
    <w:name w:val="Table Grid"/>
    <w:basedOn w:val="NormaleTabelle"/>
    <w:uiPriority w:val="59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Pr>
      <w:rFonts w:ascii="Tahoma" w:hAnsi="Tahoma" w:cs="Tahoma"/>
      <w:sz w:val="16"/>
      <w:szCs w:val="16"/>
    </w:rPr>
  </w:style>
  <w:style w:type="paragraph" w:styleId="NurText">
    <w:name w:val="Plain Text"/>
    <w:basedOn w:val="Standard"/>
    <w:link w:val="NurTextZchn"/>
    <w:uiPriority w:val="99"/>
    <w:unhideWhenUsed/>
    <w:pPr>
      <w:spacing w:after="0"/>
    </w:pPr>
    <w:rPr>
      <w:rFonts w:ascii="Calibri" w:hAnsi="Calibri"/>
      <w:sz w:val="22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rPr>
      <w:rFonts w:ascii="Calibri" w:hAnsi="Calibri"/>
      <w:sz w:val="22"/>
      <w:szCs w:val="21"/>
    </w:rPr>
  </w:style>
  <w:style w:type="character" w:styleId="Hyperlink">
    <w:name w:val="Hyperlink"/>
    <w:basedOn w:val="Absatz-Standardschriftart"/>
    <w:uiPriority w:val="99"/>
    <w:unhideWhenUsed/>
    <w:rPr>
      <w:color w:val="0000FF" w:themeColor="hyperlink"/>
      <w:u w:val="single"/>
    </w:rPr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character" w:styleId="Kommentarzeichen">
    <w:name w:val="annotation reference"/>
    <w:basedOn w:val="Absatz-Standardschriftart"/>
    <w:uiPriority w:val="99"/>
    <w:semiHidden/>
    <w:unhideWhenUsed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pPr>
      <w:spacing w:after="120"/>
    </w:pPr>
    <w:rPr>
      <w:rFonts w:ascii="Scala Sans OT" w:hAnsi="Scala Sans OT"/>
      <w:sz w:val="20"/>
      <w:szCs w:val="20"/>
      <w:lang w:eastAsia="de-DE"/>
    </w:rPr>
  </w:style>
  <w:style w:type="character" w:customStyle="1" w:styleId="KommentartextZchn">
    <w:name w:val="Kommentartext Zchn"/>
    <w:basedOn w:val="Absatz-Standardschriftart"/>
    <w:link w:val="Kommentartext"/>
    <w:uiPriority w:val="99"/>
    <w:rPr>
      <w:rFonts w:ascii="Scala Sans OT" w:hAnsi="Scala Sans OT"/>
      <w:sz w:val="20"/>
      <w:szCs w:val="20"/>
      <w:lang w:eastAsia="de-DE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pPr>
      <w:spacing w:after="200"/>
    </w:pPr>
    <w:rPr>
      <w:rFonts w:asciiTheme="minorHAnsi" w:hAnsiTheme="minorHAnsi"/>
      <w:b/>
      <w:bCs/>
      <w:lang w:eastAsia="en-US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Pr>
      <w:rFonts w:ascii="Scala Sans OT" w:hAnsi="Scala Sans OT"/>
      <w:b/>
      <w:bCs/>
      <w:sz w:val="20"/>
      <w:szCs w:val="20"/>
      <w:lang w:eastAsia="de-DE"/>
    </w:rPr>
  </w:style>
  <w:style w:type="paragraph" w:styleId="berarbeitung">
    <w:name w:val="Revision"/>
    <w:hidden/>
    <w:uiPriority w:val="99"/>
    <w:semiHidden/>
    <w:pPr>
      <w:spacing w:after="0"/>
    </w:pPr>
  </w:style>
  <w:style w:type="character" w:styleId="BesuchterLink">
    <w:name w:val="FollowedHyperlink"/>
    <w:basedOn w:val="Absatz-Standardschriftart"/>
    <w:uiPriority w:val="99"/>
    <w:semiHidden/>
    <w:unhideWhenUsed/>
    <w:rPr>
      <w:color w:val="800080" w:themeColor="followedHyperlink"/>
      <w:u w:val="single"/>
    </w:rPr>
  </w:style>
  <w:style w:type="character" w:styleId="Hervorhebung">
    <w:name w:val="Emphasis"/>
    <w:basedOn w:val="Absatz-Standardschriftart"/>
    <w:uiPriority w:val="20"/>
    <w:qFormat/>
    <w:rPr>
      <w:i/>
      <w:iCs/>
    </w:rPr>
  </w:style>
  <w:style w:type="character" w:customStyle="1" w:styleId="st">
    <w:name w:val="st"/>
    <w:basedOn w:val="Absatz-Standardschriftart"/>
  </w:style>
  <w:style w:type="character" w:customStyle="1" w:styleId="ListenabsatzZchn">
    <w:name w:val="Listenabsatz Zchn"/>
    <w:basedOn w:val="Absatz-Standardschriftart"/>
    <w:link w:val="Listenabsatz"/>
    <w:uiPriority w:val="34"/>
  </w:style>
  <w:style w:type="character" w:customStyle="1" w:styleId="highlight">
    <w:name w:val="highlight"/>
    <w:basedOn w:val="Absatz-Standardschriftart"/>
  </w:style>
  <w:style w:type="character" w:styleId="NichtaufgelsteErwhnung">
    <w:name w:val="Unresolved Mention"/>
    <w:basedOn w:val="Absatz-Standardschriftart"/>
    <w:uiPriority w:val="99"/>
    <w:semiHidden/>
    <w:unhideWhenUsed/>
    <w:rPr>
      <w:color w:val="605E5C"/>
      <w:shd w:val="clear" w:color="auto" w:fill="E1DFDD"/>
    </w:rPr>
  </w:style>
  <w:style w:type="paragraph" w:customStyle="1" w:styleId="1">
    <w:name w:val="Ü1"/>
    <w:basedOn w:val="Standard"/>
    <w:link w:val="1Zchn"/>
    <w:qFormat/>
    <w:pPr>
      <w:spacing w:after="120" w:line="276" w:lineRule="auto"/>
    </w:pPr>
    <w:rPr>
      <w:b/>
      <w:sz w:val="28"/>
    </w:rPr>
  </w:style>
  <w:style w:type="paragraph" w:customStyle="1" w:styleId="2">
    <w:name w:val="Ü2"/>
    <w:basedOn w:val="Standard"/>
    <w:link w:val="2Zchn"/>
    <w:qFormat/>
    <w:pPr>
      <w:spacing w:before="120" w:after="120" w:line="276" w:lineRule="auto"/>
    </w:pPr>
    <w:rPr>
      <w:b/>
    </w:rPr>
  </w:style>
  <w:style w:type="character" w:customStyle="1" w:styleId="1Zchn">
    <w:name w:val="Ü1 Zchn"/>
    <w:basedOn w:val="Absatz-Standardschriftart"/>
    <w:link w:val="1"/>
    <w:rPr>
      <w:b/>
      <w:sz w:val="28"/>
    </w:rPr>
  </w:style>
  <w:style w:type="paragraph" w:customStyle="1" w:styleId="3">
    <w:name w:val="Ü3"/>
    <w:basedOn w:val="Listenabsatz"/>
    <w:link w:val="3Zchn"/>
    <w:qFormat/>
    <w:pPr>
      <w:numPr>
        <w:numId w:val="5"/>
      </w:numPr>
      <w:spacing w:before="120" w:after="0"/>
    </w:pPr>
    <w:rPr>
      <w:b/>
      <w:sz w:val="22"/>
      <w:szCs w:val="22"/>
    </w:rPr>
  </w:style>
  <w:style w:type="character" w:customStyle="1" w:styleId="2Zchn">
    <w:name w:val="Ü2 Zchn"/>
    <w:basedOn w:val="Absatz-Standardschriftart"/>
    <w:link w:val="2"/>
    <w:rPr>
      <w:b/>
    </w:rPr>
  </w:style>
  <w:style w:type="paragraph" w:customStyle="1" w:styleId="Liste1">
    <w:name w:val="Liste1"/>
    <w:basedOn w:val="Listenabsatz"/>
    <w:link w:val="Liste1Zchn"/>
    <w:qFormat/>
    <w:pPr>
      <w:numPr>
        <w:numId w:val="6"/>
      </w:numPr>
      <w:spacing w:after="0"/>
    </w:pPr>
    <w:rPr>
      <w:sz w:val="22"/>
      <w:szCs w:val="22"/>
    </w:rPr>
  </w:style>
  <w:style w:type="character" w:customStyle="1" w:styleId="3Zchn">
    <w:name w:val="Ü3 Zchn"/>
    <w:basedOn w:val="Absatz-Standardschriftart"/>
    <w:link w:val="3"/>
    <w:rPr>
      <w:b/>
      <w:sz w:val="22"/>
      <w:szCs w:val="22"/>
    </w:rPr>
  </w:style>
  <w:style w:type="paragraph" w:customStyle="1" w:styleId="Liste2">
    <w:name w:val="Liste2"/>
    <w:basedOn w:val="Listenabsatz"/>
    <w:link w:val="Liste2Zchn"/>
    <w:qFormat/>
    <w:pPr>
      <w:numPr>
        <w:numId w:val="7"/>
      </w:numPr>
      <w:spacing w:after="0"/>
    </w:pPr>
    <w:rPr>
      <w:sz w:val="22"/>
      <w:szCs w:val="22"/>
      <w:lang w:val="en-GB"/>
    </w:rPr>
  </w:style>
  <w:style w:type="character" w:customStyle="1" w:styleId="Liste1Zchn">
    <w:name w:val="Liste1 Zchn"/>
    <w:basedOn w:val="ListenabsatzZchn"/>
    <w:link w:val="Liste1"/>
    <w:rPr>
      <w:sz w:val="22"/>
      <w:szCs w:val="22"/>
    </w:rPr>
  </w:style>
  <w:style w:type="paragraph" w:customStyle="1" w:styleId="Liste3">
    <w:name w:val="Liste3"/>
    <w:basedOn w:val="Listenabsatz"/>
    <w:link w:val="Liste3Zchn"/>
    <w:qFormat/>
    <w:pPr>
      <w:numPr>
        <w:ilvl w:val="1"/>
        <w:numId w:val="6"/>
      </w:numPr>
      <w:spacing w:after="0"/>
    </w:pPr>
    <w:rPr>
      <w:sz w:val="22"/>
      <w:szCs w:val="22"/>
    </w:rPr>
  </w:style>
  <w:style w:type="character" w:customStyle="1" w:styleId="Liste2Zchn">
    <w:name w:val="Liste2 Zchn"/>
    <w:basedOn w:val="ListenabsatzZchn"/>
    <w:link w:val="Liste2"/>
    <w:rPr>
      <w:sz w:val="22"/>
      <w:szCs w:val="22"/>
      <w:lang w:val="en-GB"/>
    </w:rPr>
  </w:style>
  <w:style w:type="paragraph" w:customStyle="1" w:styleId="TagFr">
    <w:name w:val="Tag_Fr"/>
    <w:basedOn w:val="Standard"/>
    <w:link w:val="TagFrZchn"/>
    <w:qFormat/>
    <w:pPr>
      <w:spacing w:after="120" w:line="276" w:lineRule="auto"/>
    </w:pPr>
    <w:rPr>
      <w:b/>
      <w:i/>
      <w:color w:val="8DB3E2" w:themeColor="text2" w:themeTint="66"/>
      <w:sz w:val="22"/>
      <w:szCs w:val="22"/>
    </w:rPr>
  </w:style>
  <w:style w:type="character" w:customStyle="1" w:styleId="Liste3Zchn">
    <w:name w:val="Liste3 Zchn"/>
    <w:basedOn w:val="ListenabsatzZchn"/>
    <w:link w:val="Liste3"/>
    <w:rPr>
      <w:sz w:val="22"/>
      <w:szCs w:val="22"/>
    </w:rPr>
  </w:style>
  <w:style w:type="paragraph" w:customStyle="1" w:styleId="TagMi">
    <w:name w:val="Tag_Mi"/>
    <w:basedOn w:val="Standard"/>
    <w:link w:val="TagMiZchn"/>
    <w:qFormat/>
    <w:pPr>
      <w:spacing w:after="0"/>
      <w:ind w:left="113"/>
    </w:pPr>
    <w:rPr>
      <w:b/>
      <w:i/>
      <w:color w:val="D99594" w:themeColor="accent2" w:themeTint="99"/>
    </w:rPr>
  </w:style>
  <w:style w:type="character" w:customStyle="1" w:styleId="TagFrZchn">
    <w:name w:val="Tag_Fr Zchn"/>
    <w:basedOn w:val="Absatz-Standardschriftart"/>
    <w:link w:val="TagFr"/>
    <w:rPr>
      <w:b/>
      <w:i/>
      <w:color w:val="8DB3E2" w:themeColor="text2" w:themeTint="66"/>
      <w:sz w:val="22"/>
      <w:szCs w:val="22"/>
    </w:rPr>
  </w:style>
  <w:style w:type="paragraph" w:customStyle="1" w:styleId="TagMo">
    <w:name w:val="Tag_Mo"/>
    <w:basedOn w:val="Standard"/>
    <w:link w:val="TagMoZchn"/>
    <w:qFormat/>
    <w:pPr>
      <w:spacing w:after="0" w:line="276" w:lineRule="auto"/>
    </w:pPr>
    <w:rPr>
      <w:b/>
      <w:i/>
      <w:color w:val="C2D69B" w:themeColor="accent3" w:themeTint="99"/>
    </w:rPr>
  </w:style>
  <w:style w:type="character" w:customStyle="1" w:styleId="TagMiZchn">
    <w:name w:val="Tag_Mi Zchn"/>
    <w:basedOn w:val="ListenabsatzZchn"/>
    <w:link w:val="TagMi"/>
    <w:rPr>
      <w:b/>
      <w:i/>
      <w:color w:val="D99594" w:themeColor="accent2" w:themeTint="99"/>
    </w:rPr>
  </w:style>
  <w:style w:type="paragraph" w:customStyle="1" w:styleId="ToDo">
    <w:name w:val="ToDo"/>
    <w:basedOn w:val="Standard"/>
    <w:link w:val="ToDoZchn"/>
    <w:qFormat/>
    <w:pPr>
      <w:spacing w:before="120" w:after="120"/>
    </w:pPr>
    <w:rPr>
      <w:i/>
      <w:sz w:val="22"/>
      <w:szCs w:val="22"/>
    </w:rPr>
  </w:style>
  <w:style w:type="character" w:customStyle="1" w:styleId="TagMoZchn">
    <w:name w:val="Tag_Mo Zchn"/>
    <w:basedOn w:val="Absatz-Standardschriftart"/>
    <w:link w:val="TagMo"/>
    <w:rPr>
      <w:b/>
      <w:i/>
      <w:color w:val="C2D69B" w:themeColor="accent3" w:themeTint="99"/>
    </w:rPr>
  </w:style>
  <w:style w:type="character" w:customStyle="1" w:styleId="ToDoZchn">
    <w:name w:val="ToDo Zchn"/>
    <w:basedOn w:val="Absatz-Standardschriftart"/>
    <w:link w:val="ToDo"/>
    <w:rPr>
      <w:i/>
      <w:sz w:val="22"/>
      <w:szCs w:val="22"/>
    </w:rPr>
  </w:style>
  <w:style w:type="paragraph" w:styleId="StandardWeb">
    <w:name w:val="Normal (Web)"/>
    <w:basedOn w:val="Standard"/>
    <w:uiPriority w:val="99"/>
    <w:semiHidden/>
    <w:unhideWhenUsed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68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4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7721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69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1873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00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745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80503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3694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12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5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0261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6634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8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65923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598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538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16509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6072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38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6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88233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94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9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3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1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2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8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1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7731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74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4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3860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50715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84443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89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991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5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8579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99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635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0020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57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36114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84021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13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file:///S:\Wissdaten\RKI_nCoV-Lage\1.Lagemanagement\1.3.Besprechungen_TKs\1.Lage_AG\2022-09-01-Lage-AG\2022-09-01_Intensivregister_SPoCK.pptx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file:///S:\Wissdaten\RKI_nCoV-Lage\1.Lagemanagement\1.3.Besprechungen_TKs\1.Lage_AG\2022-09-01-Lage-AG\LageNational_2022-08-31.pptx" TargetMode="External"/><Relationship Id="rId17" Type="http://schemas.openxmlformats.org/officeDocument/2006/relationships/hyperlink" Target="file:///S:\Wissdaten\RKI_nCoV-Lage\1.Lagemanagement\1.3.Besprechungen_TKs\1.Lage_AG\2022-09-01-Lage-AG\Intensivregister_Vorschlag_Erfassungsk&#252;rzung_v2.docx" TargetMode="External"/><Relationship Id="rId2" Type="http://schemas.openxmlformats.org/officeDocument/2006/relationships/numbering" Target="numbering.xml"/><Relationship Id="rId16" Type="http://schemas.openxmlformats.org/officeDocument/2006/relationships/hyperlink" Target="file:///S:\Wissdaten\RKI_nCoV-Lage\1.Lagemanagement\1.3.Besprechungen_TKs\1.Lage_AG\2022-09-01-Lage-AG\FAQ_COVID-19_Todesf&#228;lle_Entwurf.docx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S:\Wissdaten\RKI_nCoV-Lage\1.Lagemanagement\1.3.Besprechungen_TKs\1.Lage_AG\2022-09-01-Lage-AG\COVID-19_internat.%20Lage_2022-09-01.ppt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S:\Wissdaten\RKI_nCoV-Lage\1.Lagemanagement\1.3.Besprechungen_TKs\1.Lage_AG\2022-09-01-Lage-AG\syndrom-ARE-SARI-COVID_bis_KW34_2022_f&#252;r-Krisenstab.pptx" TargetMode="External"/><Relationship Id="rId10" Type="http://schemas.openxmlformats.org/officeDocument/2006/relationships/footer" Target="footer2.xml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file:///S:\Wissdaten\RKI_nCoV-Lage\1.Lagemanagement\1.3.Besprechungen_TKs\1.Lage_AG\2022-09-01-Lage-AG\2022-08_31_LageAG-VOC.pptx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206515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B3872FB-C169-451B-9F2C-6CC7AA307AED}"/>
      </w:docPartPr>
      <w:docPartBody>
        <w:p>
          <w:r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0A67EC378ADB4363968F76466F3994E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AC18005-6085-43BD-87F3-461643A0F362}"/>
      </w:docPartPr>
      <w:docPartBody>
        <w:p>
          <w:pPr>
            <w:pStyle w:val="0A67EC378ADB4363968F76466F3994ED"/>
          </w:pPr>
          <w:r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0F773A1FCB61483A80E8B309D8E6A01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806C1AF-B266-437F-B9E9-CF0D892561B9}"/>
      </w:docPartPr>
      <w:docPartBody>
        <w:p>
          <w:pPr>
            <w:pStyle w:val="0F773A1FCB61483A80E8B309D8E6A01A"/>
          </w:pPr>
          <w:r>
            <w:rPr>
              <w:rStyle w:val="Platzhaltertext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cala Sans OT">
    <w:panose1 w:val="020B0504030101020104"/>
    <w:charset w:val="00"/>
    <w:family w:val="swiss"/>
    <w:pitch w:val="variable"/>
    <w:sig w:usb0="A00000EF" w:usb1="5000E05B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0A67EC378ADB4363968F76466F3994ED">
    <w:name w:val="0A67EC378ADB4363968F76466F3994ED"/>
  </w:style>
  <w:style w:type="paragraph" w:customStyle="1" w:styleId="0F773A1FCB61483A80E8B309D8E6A01A">
    <w:name w:val="0F773A1FCB61483A80E8B309D8E6A0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8DA25C-980F-44BB-A58E-117337F8BF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2191</Words>
  <Characters>13806</Characters>
  <Application>Microsoft Office Word</Application>
  <DocSecurity>0</DocSecurity>
  <Lines>115</Lines>
  <Paragraphs>31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Robert Koch-Institut</Company>
  <LinksUpToDate>false</LinksUpToDate>
  <CharactersWithSpaces>15966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Ute Rexroth</dc:creator>
  <cp:lastModifiedBy>Wittke, Christian</cp:lastModifiedBy>
  <cp:revision>388</cp:revision>
  <cp:lastPrinted>2020-05-06T16:43:00Z</cp:lastPrinted>
  <dcterms:created xsi:type="dcterms:W3CDTF">2022-03-03T09:26:00Z</dcterms:created>
  <dcterms:modified xsi:type="dcterms:W3CDTF">2022-09-01T14:55:00Z</dcterms:modified>
</cp:coreProperties>
</file>