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Lage-AG-Sitzung zu COVID-19</w:t>
      </w:r>
    </w:p>
    <w:p>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Mittwoch, 28.09.2022,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sz w:val="22"/>
            </w:rPr>
            <w:t>Webex-Konferenz</w:t>
          </w:r>
        </w:sdtContent>
      </w:sdt>
    </w:p>
    <w:p>
      <w:pPr>
        <w:rPr>
          <w:b/>
          <w:sz w:val="22"/>
        </w:rPr>
      </w:pPr>
      <w:r>
        <w:rPr>
          <w:b/>
          <w:sz w:val="22"/>
        </w:rPr>
        <w:t>Moderation: Osamah Hamouda</w:t>
      </w:r>
    </w:p>
    <w:p>
      <w:pPr>
        <w:spacing w:after="0"/>
        <w:rPr>
          <w:b/>
          <w:sz w:val="22"/>
        </w:rPr>
        <w:sectPr>
          <w:headerReference w:type="default" r:id="rId8"/>
          <w:footerReference w:type="even" r:id="rId9"/>
          <w:footerReference w:type="default" r:id="rId10"/>
          <w:pgSz w:w="11900" w:h="16840"/>
          <w:pgMar w:top="1440" w:right="1800" w:bottom="1440" w:left="1800" w:header="708" w:footer="708" w:gutter="0"/>
          <w:cols w:space="708"/>
        </w:sectPr>
      </w:pPr>
    </w:p>
    <w:p>
      <w:pPr>
        <w:spacing w:after="0"/>
        <w:rPr>
          <w:b/>
          <w:sz w:val="22"/>
        </w:rPr>
      </w:pPr>
      <w:bookmarkStart w:id="0" w:name="_Hlk82005470"/>
      <w:r>
        <w:rPr>
          <w:b/>
          <w:sz w:val="22"/>
        </w:rPr>
        <w:t xml:space="preserve">Teilnehmende: </w:t>
      </w:r>
    </w:p>
    <w:p>
      <w:pPr>
        <w:spacing w:after="0"/>
        <w:rPr>
          <w:b/>
          <w:sz w:val="22"/>
        </w:rPr>
      </w:pPr>
    </w:p>
    <w:p>
      <w:pPr>
        <w:pStyle w:val="Listenabsatz"/>
        <w:numPr>
          <w:ilvl w:val="0"/>
          <w:numId w:val="3"/>
        </w:numPr>
        <w:spacing w:after="0"/>
        <w:contextualSpacing w:val="0"/>
        <w:rPr>
          <w:sz w:val="22"/>
          <w:szCs w:val="22"/>
        </w:rPr>
      </w:pPr>
      <w:r>
        <w:rPr>
          <w:sz w:val="22"/>
          <w:szCs w:val="22"/>
        </w:rPr>
        <w:t>Institutsleitung</w:t>
      </w:r>
    </w:p>
    <w:p>
      <w:pPr>
        <w:pStyle w:val="Listenabsatz"/>
        <w:numPr>
          <w:ilvl w:val="1"/>
          <w:numId w:val="2"/>
        </w:numPr>
        <w:spacing w:after="0"/>
        <w:contextualSpacing w:val="0"/>
        <w:rPr>
          <w:sz w:val="22"/>
          <w:szCs w:val="22"/>
        </w:rPr>
      </w:pPr>
      <w:r>
        <w:rPr>
          <w:sz w:val="22"/>
          <w:szCs w:val="22"/>
        </w:rPr>
        <w:t xml:space="preserve">Lothar Wieler </w:t>
      </w:r>
    </w:p>
    <w:p>
      <w:pPr>
        <w:pStyle w:val="Listenabsatz"/>
        <w:numPr>
          <w:ilvl w:val="1"/>
          <w:numId w:val="2"/>
        </w:numPr>
        <w:spacing w:after="0"/>
        <w:contextualSpacing w:val="0"/>
        <w:rPr>
          <w:sz w:val="22"/>
          <w:szCs w:val="22"/>
        </w:rPr>
      </w:pPr>
      <w:r>
        <w:rPr>
          <w:sz w:val="22"/>
          <w:szCs w:val="22"/>
        </w:rPr>
        <w:t xml:space="preserve">Esther-Maria </w:t>
      </w:r>
      <w:proofErr w:type="spellStart"/>
      <w:r>
        <w:rPr>
          <w:sz w:val="22"/>
          <w:szCs w:val="22"/>
        </w:rPr>
        <w:t>Antão</w:t>
      </w:r>
      <w:proofErr w:type="spellEnd"/>
    </w:p>
    <w:p>
      <w:pPr>
        <w:pStyle w:val="Listenabsatz"/>
        <w:numPr>
          <w:ilvl w:val="0"/>
          <w:numId w:val="2"/>
        </w:numPr>
        <w:spacing w:after="0" w:line="233" w:lineRule="auto"/>
        <w:ind w:hanging="357"/>
        <w:contextualSpacing w:val="0"/>
        <w:rPr>
          <w:sz w:val="22"/>
          <w:szCs w:val="22"/>
        </w:rPr>
      </w:pPr>
      <w:r>
        <w:rPr>
          <w:sz w:val="22"/>
          <w:szCs w:val="22"/>
        </w:rPr>
        <w:t>Abt. 3</w:t>
      </w:r>
    </w:p>
    <w:p>
      <w:pPr>
        <w:pStyle w:val="Listenabsatz"/>
        <w:numPr>
          <w:ilvl w:val="1"/>
          <w:numId w:val="2"/>
        </w:numPr>
        <w:spacing w:after="0" w:line="233" w:lineRule="auto"/>
        <w:contextualSpacing w:val="0"/>
        <w:rPr>
          <w:sz w:val="22"/>
          <w:szCs w:val="22"/>
        </w:rPr>
      </w:pPr>
      <w:r>
        <w:rPr>
          <w:sz w:val="22"/>
          <w:szCs w:val="22"/>
        </w:rPr>
        <w:t>Osamah Hamouda</w:t>
      </w:r>
    </w:p>
    <w:p>
      <w:pPr>
        <w:pStyle w:val="Listenabsatz"/>
        <w:spacing w:after="0"/>
        <w:contextualSpacing w:val="0"/>
        <w:rPr>
          <w:sz w:val="22"/>
          <w:szCs w:val="22"/>
        </w:rPr>
      </w:pPr>
      <w:r>
        <w:rPr>
          <w:sz w:val="22"/>
          <w:szCs w:val="22"/>
        </w:rPr>
        <w:t>FG14</w:t>
      </w:r>
    </w:p>
    <w:p>
      <w:pPr>
        <w:pStyle w:val="Listenabsatz"/>
        <w:numPr>
          <w:ilvl w:val="1"/>
          <w:numId w:val="2"/>
        </w:numPr>
        <w:spacing w:after="0"/>
        <w:ind w:left="1080"/>
        <w:contextualSpacing w:val="0"/>
        <w:rPr>
          <w:sz w:val="22"/>
          <w:szCs w:val="22"/>
        </w:rPr>
      </w:pPr>
      <w:r>
        <w:rPr>
          <w:sz w:val="22"/>
          <w:szCs w:val="22"/>
        </w:rPr>
        <w:t>Marc Thanheiser</w:t>
      </w:r>
    </w:p>
    <w:p>
      <w:pPr>
        <w:pStyle w:val="Listenabsatz"/>
        <w:numPr>
          <w:ilvl w:val="0"/>
          <w:numId w:val="3"/>
        </w:numPr>
        <w:spacing w:after="0"/>
        <w:contextualSpacing w:val="0"/>
        <w:rPr>
          <w:sz w:val="22"/>
          <w:szCs w:val="22"/>
        </w:rPr>
      </w:pPr>
      <w:r>
        <w:rPr>
          <w:sz w:val="22"/>
          <w:szCs w:val="22"/>
        </w:rPr>
        <w:t>FG17</w:t>
      </w:r>
    </w:p>
    <w:p>
      <w:pPr>
        <w:pStyle w:val="Listenabsatz"/>
        <w:numPr>
          <w:ilvl w:val="1"/>
          <w:numId w:val="2"/>
        </w:numPr>
        <w:spacing w:after="0"/>
        <w:contextualSpacing w:val="0"/>
        <w:rPr>
          <w:sz w:val="22"/>
          <w:szCs w:val="22"/>
        </w:rPr>
      </w:pPr>
      <w:r>
        <w:rPr>
          <w:sz w:val="22"/>
          <w:szCs w:val="22"/>
        </w:rPr>
        <w:t>Barbara Biere</w:t>
      </w:r>
    </w:p>
    <w:p>
      <w:pPr>
        <w:pStyle w:val="Listenabsatz"/>
        <w:numPr>
          <w:ilvl w:val="0"/>
          <w:numId w:val="2"/>
        </w:numPr>
        <w:spacing w:after="0"/>
        <w:contextualSpacing w:val="0"/>
        <w:rPr>
          <w:sz w:val="22"/>
          <w:szCs w:val="22"/>
        </w:rPr>
      </w:pPr>
      <w:r>
        <w:rPr>
          <w:sz w:val="22"/>
          <w:szCs w:val="22"/>
        </w:rPr>
        <w:t xml:space="preserve">FG27 </w:t>
      </w:r>
    </w:p>
    <w:p>
      <w:pPr>
        <w:pStyle w:val="Listenabsatz"/>
        <w:numPr>
          <w:ilvl w:val="1"/>
          <w:numId w:val="2"/>
        </w:numPr>
        <w:spacing w:after="0"/>
        <w:contextualSpacing w:val="0"/>
        <w:rPr>
          <w:sz w:val="22"/>
          <w:szCs w:val="22"/>
        </w:rPr>
      </w:pPr>
      <w:r>
        <w:rPr>
          <w:sz w:val="22"/>
          <w:szCs w:val="22"/>
        </w:rPr>
        <w:t>Kristin Manz</w:t>
      </w:r>
    </w:p>
    <w:p>
      <w:pPr>
        <w:pStyle w:val="Listenabsatz"/>
        <w:numPr>
          <w:ilvl w:val="0"/>
          <w:numId w:val="4"/>
        </w:numPr>
        <w:spacing w:after="0"/>
        <w:contextualSpacing w:val="0"/>
        <w:rPr>
          <w:sz w:val="22"/>
          <w:szCs w:val="22"/>
        </w:rPr>
      </w:pPr>
      <w:r>
        <w:rPr>
          <w:sz w:val="22"/>
          <w:szCs w:val="22"/>
        </w:rPr>
        <w:t>FG31</w:t>
      </w:r>
    </w:p>
    <w:p>
      <w:pPr>
        <w:pStyle w:val="Listenabsatz"/>
        <w:numPr>
          <w:ilvl w:val="1"/>
          <w:numId w:val="2"/>
        </w:numPr>
        <w:spacing w:after="0"/>
        <w:contextualSpacing w:val="0"/>
        <w:rPr>
          <w:sz w:val="22"/>
          <w:szCs w:val="22"/>
        </w:rPr>
      </w:pPr>
      <w:r>
        <w:rPr>
          <w:sz w:val="22"/>
          <w:szCs w:val="22"/>
        </w:rPr>
        <w:t>Claudia Siffczyk</w:t>
      </w:r>
    </w:p>
    <w:p>
      <w:pPr>
        <w:pStyle w:val="Listenabsatz"/>
        <w:numPr>
          <w:ilvl w:val="1"/>
          <w:numId w:val="2"/>
        </w:numPr>
        <w:spacing w:after="0"/>
        <w:contextualSpacing w:val="0"/>
        <w:rPr>
          <w:sz w:val="22"/>
          <w:szCs w:val="22"/>
        </w:rPr>
      </w:pPr>
      <w:r>
        <w:rPr>
          <w:sz w:val="22"/>
          <w:szCs w:val="22"/>
        </w:rPr>
        <w:t>Christian Wittke (Protokoll)</w:t>
      </w:r>
    </w:p>
    <w:p>
      <w:pPr>
        <w:pStyle w:val="Listenabsatz"/>
        <w:numPr>
          <w:ilvl w:val="0"/>
          <w:numId w:val="4"/>
        </w:numPr>
        <w:spacing w:after="0"/>
        <w:contextualSpacing w:val="0"/>
        <w:rPr>
          <w:sz w:val="22"/>
          <w:szCs w:val="22"/>
        </w:rPr>
      </w:pPr>
      <w:r>
        <w:rPr>
          <w:sz w:val="22"/>
          <w:szCs w:val="22"/>
        </w:rPr>
        <w:t>FG32</w:t>
      </w:r>
    </w:p>
    <w:p>
      <w:pPr>
        <w:pStyle w:val="Listenabsatz"/>
        <w:numPr>
          <w:ilvl w:val="1"/>
          <w:numId w:val="2"/>
        </w:numPr>
        <w:spacing w:after="0"/>
        <w:contextualSpacing w:val="0"/>
        <w:rPr>
          <w:sz w:val="22"/>
          <w:szCs w:val="22"/>
        </w:rPr>
      </w:pPr>
      <w:r>
        <w:rPr>
          <w:sz w:val="22"/>
          <w:szCs w:val="22"/>
        </w:rPr>
        <w:t xml:space="preserve">Claudia Sievers </w:t>
      </w:r>
    </w:p>
    <w:p>
      <w:pPr>
        <w:pStyle w:val="Listenabsatz"/>
        <w:numPr>
          <w:ilvl w:val="1"/>
          <w:numId w:val="2"/>
        </w:numPr>
        <w:spacing w:after="0"/>
        <w:contextualSpacing w:val="0"/>
        <w:rPr>
          <w:sz w:val="22"/>
          <w:szCs w:val="22"/>
        </w:rPr>
      </w:pPr>
      <w:r>
        <w:rPr>
          <w:sz w:val="22"/>
          <w:szCs w:val="22"/>
        </w:rPr>
        <w:t>Michaela Diercke</w:t>
      </w:r>
    </w:p>
    <w:p>
      <w:pPr>
        <w:pStyle w:val="Listenabsatz"/>
        <w:numPr>
          <w:ilvl w:val="1"/>
          <w:numId w:val="2"/>
        </w:numPr>
        <w:spacing w:after="0"/>
        <w:contextualSpacing w:val="0"/>
        <w:rPr>
          <w:sz w:val="22"/>
          <w:szCs w:val="22"/>
        </w:rPr>
      </w:pPr>
      <w:r>
        <w:rPr>
          <w:sz w:val="22"/>
          <w:szCs w:val="22"/>
        </w:rPr>
        <w:t xml:space="preserve">Jakob Schumacher </w:t>
      </w:r>
    </w:p>
    <w:p>
      <w:pPr>
        <w:pStyle w:val="Listenabsatz"/>
        <w:numPr>
          <w:ilvl w:val="0"/>
          <w:numId w:val="2"/>
        </w:numPr>
        <w:spacing w:after="0"/>
        <w:contextualSpacing w:val="0"/>
        <w:rPr>
          <w:sz w:val="22"/>
          <w:szCs w:val="22"/>
        </w:rPr>
      </w:pPr>
      <w:r>
        <w:rPr>
          <w:sz w:val="22"/>
          <w:szCs w:val="22"/>
        </w:rPr>
        <w:t>FG33</w:t>
      </w:r>
    </w:p>
    <w:p>
      <w:pPr>
        <w:pStyle w:val="Listenabsatz"/>
        <w:numPr>
          <w:ilvl w:val="1"/>
          <w:numId w:val="2"/>
        </w:numPr>
        <w:spacing w:after="0"/>
        <w:contextualSpacing w:val="0"/>
        <w:rPr>
          <w:sz w:val="22"/>
          <w:szCs w:val="22"/>
        </w:rPr>
      </w:pPr>
      <w:r>
        <w:rPr>
          <w:sz w:val="22"/>
          <w:szCs w:val="22"/>
        </w:rPr>
        <w:t>Ole Wichmann</w:t>
      </w:r>
    </w:p>
    <w:p>
      <w:pPr>
        <w:pStyle w:val="Listenabsatz"/>
        <w:numPr>
          <w:ilvl w:val="0"/>
          <w:numId w:val="2"/>
        </w:numPr>
        <w:spacing w:after="0"/>
        <w:contextualSpacing w:val="0"/>
        <w:rPr>
          <w:sz w:val="22"/>
          <w:szCs w:val="22"/>
        </w:rPr>
      </w:pPr>
      <w:r>
        <w:rPr>
          <w:sz w:val="22"/>
          <w:szCs w:val="22"/>
        </w:rPr>
        <w:t>FG34</w:t>
      </w:r>
    </w:p>
    <w:p>
      <w:pPr>
        <w:pStyle w:val="Listenabsatz"/>
        <w:numPr>
          <w:ilvl w:val="1"/>
          <w:numId w:val="2"/>
        </w:numPr>
        <w:spacing w:after="0"/>
        <w:contextualSpacing w:val="0"/>
        <w:rPr>
          <w:sz w:val="22"/>
          <w:szCs w:val="22"/>
        </w:rPr>
      </w:pPr>
      <w:r>
        <w:rPr>
          <w:sz w:val="22"/>
          <w:szCs w:val="22"/>
        </w:rPr>
        <w:t>Alexandra Hofmann</w:t>
      </w:r>
    </w:p>
    <w:p>
      <w:pPr>
        <w:pStyle w:val="Listenabsatz"/>
        <w:numPr>
          <w:ilvl w:val="0"/>
          <w:numId w:val="4"/>
        </w:numPr>
        <w:spacing w:after="0"/>
        <w:contextualSpacing w:val="0"/>
        <w:rPr>
          <w:sz w:val="22"/>
          <w:szCs w:val="22"/>
        </w:rPr>
      </w:pPr>
      <w:r>
        <w:rPr>
          <w:sz w:val="22"/>
          <w:szCs w:val="22"/>
        </w:rPr>
        <w:t>FG36</w:t>
      </w:r>
    </w:p>
    <w:p>
      <w:pPr>
        <w:pStyle w:val="Listenabsatz"/>
        <w:numPr>
          <w:ilvl w:val="1"/>
          <w:numId w:val="2"/>
        </w:numPr>
        <w:spacing w:after="0"/>
        <w:contextualSpacing w:val="0"/>
        <w:rPr>
          <w:sz w:val="22"/>
          <w:szCs w:val="22"/>
        </w:rPr>
      </w:pPr>
      <w:r>
        <w:rPr>
          <w:sz w:val="22"/>
          <w:szCs w:val="22"/>
        </w:rPr>
        <w:t>Walter Haas</w:t>
      </w:r>
    </w:p>
    <w:p>
      <w:pPr>
        <w:pStyle w:val="Listenabsatz"/>
        <w:numPr>
          <w:ilvl w:val="1"/>
          <w:numId w:val="2"/>
        </w:numPr>
        <w:spacing w:after="0"/>
        <w:contextualSpacing w:val="0"/>
        <w:rPr>
          <w:sz w:val="22"/>
          <w:szCs w:val="22"/>
        </w:rPr>
      </w:pPr>
      <w:r>
        <w:rPr>
          <w:sz w:val="22"/>
          <w:szCs w:val="22"/>
        </w:rPr>
        <w:t>Silke Buda</w:t>
      </w:r>
    </w:p>
    <w:p>
      <w:pPr>
        <w:pStyle w:val="Listenabsatz"/>
        <w:numPr>
          <w:ilvl w:val="0"/>
          <w:numId w:val="2"/>
        </w:numPr>
        <w:spacing w:after="0"/>
        <w:contextualSpacing w:val="0"/>
        <w:rPr>
          <w:sz w:val="22"/>
          <w:szCs w:val="22"/>
        </w:rPr>
      </w:pPr>
      <w:r>
        <w:rPr>
          <w:sz w:val="22"/>
          <w:szCs w:val="22"/>
        </w:rPr>
        <w:t>FG37</w:t>
      </w:r>
    </w:p>
    <w:p>
      <w:pPr>
        <w:pStyle w:val="Listenabsatz"/>
        <w:numPr>
          <w:ilvl w:val="1"/>
          <w:numId w:val="3"/>
        </w:numPr>
        <w:spacing w:after="0"/>
        <w:contextualSpacing w:val="0"/>
        <w:rPr>
          <w:sz w:val="22"/>
          <w:szCs w:val="22"/>
        </w:rPr>
      </w:pPr>
      <w:r>
        <w:rPr>
          <w:sz w:val="22"/>
          <w:szCs w:val="22"/>
        </w:rPr>
        <w:t>Janina Esins</w:t>
      </w:r>
    </w:p>
    <w:p>
      <w:pPr>
        <w:pStyle w:val="Listenabsatz"/>
        <w:numPr>
          <w:ilvl w:val="0"/>
          <w:numId w:val="3"/>
        </w:numPr>
        <w:spacing w:after="0"/>
        <w:contextualSpacing w:val="0"/>
        <w:rPr>
          <w:sz w:val="22"/>
          <w:szCs w:val="22"/>
        </w:rPr>
      </w:pPr>
      <w:r>
        <w:rPr>
          <w:sz w:val="22"/>
          <w:szCs w:val="22"/>
        </w:rPr>
        <w:t>P1</w:t>
      </w:r>
    </w:p>
    <w:p>
      <w:pPr>
        <w:pStyle w:val="Listenabsatz"/>
        <w:numPr>
          <w:ilvl w:val="1"/>
          <w:numId w:val="3"/>
        </w:numPr>
        <w:spacing w:after="0"/>
        <w:contextualSpacing w:val="0"/>
        <w:rPr>
          <w:sz w:val="22"/>
          <w:szCs w:val="22"/>
        </w:rPr>
      </w:pPr>
      <w:r>
        <w:rPr>
          <w:sz w:val="22"/>
          <w:szCs w:val="22"/>
        </w:rPr>
        <w:t>Christina Leuker</w:t>
      </w:r>
    </w:p>
    <w:p>
      <w:pPr>
        <w:pStyle w:val="Listenabsatz"/>
        <w:numPr>
          <w:ilvl w:val="0"/>
          <w:numId w:val="3"/>
        </w:numPr>
        <w:spacing w:after="0"/>
        <w:contextualSpacing w:val="0"/>
        <w:rPr>
          <w:sz w:val="22"/>
          <w:szCs w:val="22"/>
        </w:rPr>
      </w:pPr>
      <w:r>
        <w:rPr>
          <w:sz w:val="22"/>
          <w:szCs w:val="22"/>
        </w:rPr>
        <w:t>P4</w:t>
      </w:r>
    </w:p>
    <w:p>
      <w:pPr>
        <w:pStyle w:val="Listenabsatz"/>
        <w:numPr>
          <w:ilvl w:val="1"/>
          <w:numId w:val="3"/>
        </w:numPr>
        <w:spacing w:after="0"/>
        <w:contextualSpacing w:val="0"/>
        <w:rPr>
          <w:sz w:val="22"/>
          <w:szCs w:val="22"/>
        </w:rPr>
      </w:pPr>
      <w:r>
        <w:rPr>
          <w:sz w:val="22"/>
        </w:rPr>
        <w:t xml:space="preserve">Pascal </w:t>
      </w:r>
      <w:proofErr w:type="spellStart"/>
      <w:r>
        <w:rPr>
          <w:sz w:val="22"/>
        </w:rPr>
        <w:t>Klamser</w:t>
      </w:r>
      <w:proofErr w:type="spellEnd"/>
    </w:p>
    <w:p>
      <w:pPr>
        <w:pStyle w:val="Listenabsatz"/>
        <w:numPr>
          <w:ilvl w:val="0"/>
          <w:numId w:val="3"/>
        </w:numPr>
        <w:spacing w:after="0"/>
        <w:contextualSpacing w:val="0"/>
        <w:rPr>
          <w:sz w:val="22"/>
          <w:szCs w:val="22"/>
        </w:rPr>
      </w:pPr>
      <w:r>
        <w:rPr>
          <w:sz w:val="22"/>
          <w:szCs w:val="22"/>
        </w:rPr>
        <w:t>Presse</w:t>
      </w:r>
    </w:p>
    <w:p>
      <w:pPr>
        <w:pStyle w:val="Listenabsatz"/>
        <w:numPr>
          <w:ilvl w:val="1"/>
          <w:numId w:val="3"/>
        </w:numPr>
        <w:spacing w:after="0"/>
        <w:contextualSpacing w:val="0"/>
        <w:rPr>
          <w:sz w:val="22"/>
          <w:szCs w:val="22"/>
        </w:rPr>
      </w:pPr>
      <w:r>
        <w:rPr>
          <w:sz w:val="22"/>
          <w:szCs w:val="22"/>
        </w:rPr>
        <w:t>Susanne Glasmacher</w:t>
      </w:r>
    </w:p>
    <w:p>
      <w:pPr>
        <w:pStyle w:val="Listenabsatz"/>
        <w:numPr>
          <w:ilvl w:val="1"/>
          <w:numId w:val="3"/>
        </w:numPr>
        <w:spacing w:after="0"/>
        <w:contextualSpacing w:val="0"/>
        <w:rPr>
          <w:sz w:val="22"/>
          <w:szCs w:val="22"/>
        </w:rPr>
      </w:pPr>
      <w:r>
        <w:rPr>
          <w:sz w:val="22"/>
          <w:szCs w:val="22"/>
        </w:rPr>
        <w:t>Marieke Degen</w:t>
      </w:r>
    </w:p>
    <w:p>
      <w:pPr>
        <w:pStyle w:val="Listenabsatz"/>
        <w:numPr>
          <w:ilvl w:val="1"/>
          <w:numId w:val="3"/>
        </w:numPr>
        <w:spacing w:after="0"/>
        <w:contextualSpacing w:val="0"/>
        <w:rPr>
          <w:sz w:val="22"/>
          <w:szCs w:val="22"/>
        </w:rPr>
      </w:pPr>
      <w:r>
        <w:rPr>
          <w:sz w:val="22"/>
          <w:szCs w:val="22"/>
        </w:rPr>
        <w:t>Nadin Garbe</w:t>
      </w:r>
    </w:p>
    <w:p>
      <w:pPr>
        <w:pStyle w:val="Listenabsatz"/>
        <w:numPr>
          <w:ilvl w:val="1"/>
          <w:numId w:val="3"/>
        </w:numPr>
        <w:spacing w:after="0"/>
        <w:contextualSpacing w:val="0"/>
        <w:rPr>
          <w:sz w:val="22"/>
          <w:szCs w:val="22"/>
        </w:rPr>
      </w:pPr>
      <w:r>
        <w:rPr>
          <w:sz w:val="22"/>
          <w:szCs w:val="22"/>
        </w:rPr>
        <w:t>Ronja Wenchel</w:t>
      </w:r>
    </w:p>
    <w:p>
      <w:pPr>
        <w:pStyle w:val="Listenabsatz"/>
        <w:numPr>
          <w:ilvl w:val="0"/>
          <w:numId w:val="3"/>
        </w:numPr>
        <w:spacing w:after="0"/>
        <w:contextualSpacing w:val="0"/>
        <w:rPr>
          <w:sz w:val="22"/>
          <w:szCs w:val="22"/>
        </w:rPr>
      </w:pPr>
      <w:r>
        <w:rPr>
          <w:sz w:val="22"/>
          <w:szCs w:val="22"/>
        </w:rPr>
        <w:t>ZBS7</w:t>
      </w:r>
    </w:p>
    <w:p>
      <w:pPr>
        <w:pStyle w:val="Listenabsatz"/>
        <w:numPr>
          <w:ilvl w:val="1"/>
          <w:numId w:val="3"/>
        </w:numPr>
        <w:spacing w:after="0"/>
        <w:contextualSpacing w:val="0"/>
        <w:rPr>
          <w:sz w:val="22"/>
          <w:szCs w:val="22"/>
        </w:rPr>
      </w:pPr>
      <w:r>
        <w:rPr>
          <w:sz w:val="22"/>
          <w:szCs w:val="22"/>
        </w:rPr>
        <w:t>Michaela Niebank</w:t>
      </w:r>
    </w:p>
    <w:p>
      <w:pPr>
        <w:pStyle w:val="Listenabsatz"/>
        <w:numPr>
          <w:ilvl w:val="0"/>
          <w:numId w:val="2"/>
        </w:numPr>
        <w:spacing w:after="0"/>
        <w:contextualSpacing w:val="0"/>
        <w:rPr>
          <w:sz w:val="22"/>
          <w:szCs w:val="22"/>
        </w:rPr>
      </w:pPr>
      <w:r>
        <w:rPr>
          <w:sz w:val="22"/>
          <w:szCs w:val="22"/>
        </w:rPr>
        <w:t>ZIG1</w:t>
      </w:r>
    </w:p>
    <w:p>
      <w:pPr>
        <w:pStyle w:val="Listenabsatz"/>
        <w:numPr>
          <w:ilvl w:val="1"/>
          <w:numId w:val="2"/>
        </w:numPr>
        <w:spacing w:after="0"/>
        <w:contextualSpacing w:val="0"/>
        <w:rPr>
          <w:rStyle w:val="highlight"/>
          <w:sz w:val="22"/>
          <w:szCs w:val="22"/>
        </w:rPr>
      </w:pPr>
      <w:r>
        <w:rPr>
          <w:rStyle w:val="highlight"/>
          <w:sz w:val="22"/>
          <w:szCs w:val="22"/>
        </w:rPr>
        <w:t xml:space="preserve">Sofie </w:t>
      </w:r>
      <w:proofErr w:type="spellStart"/>
      <w:r>
        <w:rPr>
          <w:rStyle w:val="highlight"/>
          <w:sz w:val="22"/>
          <w:szCs w:val="22"/>
        </w:rPr>
        <w:t>Gillesberg</w:t>
      </w:r>
      <w:proofErr w:type="spellEnd"/>
      <w:r>
        <w:rPr>
          <w:rStyle w:val="highlight"/>
          <w:sz w:val="22"/>
          <w:szCs w:val="22"/>
        </w:rPr>
        <w:t>-Raiser</w:t>
      </w:r>
    </w:p>
    <w:p>
      <w:pPr>
        <w:pStyle w:val="Listenabsatz"/>
        <w:numPr>
          <w:ilvl w:val="0"/>
          <w:numId w:val="2"/>
        </w:numPr>
        <w:spacing w:after="0"/>
        <w:contextualSpacing w:val="0"/>
        <w:rPr>
          <w:sz w:val="22"/>
          <w:szCs w:val="22"/>
        </w:rPr>
      </w:pPr>
      <w:r>
        <w:rPr>
          <w:sz w:val="22"/>
          <w:szCs w:val="22"/>
        </w:rPr>
        <w:t xml:space="preserve">BZgA </w:t>
      </w:r>
    </w:p>
    <w:p>
      <w:pPr>
        <w:pStyle w:val="Listenabsatz"/>
        <w:numPr>
          <w:ilvl w:val="1"/>
          <w:numId w:val="2"/>
        </w:numPr>
        <w:spacing w:after="0"/>
        <w:contextualSpacing w:val="0"/>
        <w:rPr>
          <w:sz w:val="22"/>
          <w:szCs w:val="22"/>
        </w:rPr>
      </w:pPr>
      <w:r>
        <w:rPr>
          <w:sz w:val="22"/>
        </w:rPr>
        <w:t xml:space="preserve">Oliver Ommen </w:t>
      </w:r>
      <w:r>
        <w:rPr>
          <w:sz w:val="22"/>
          <w:szCs w:val="22"/>
        </w:rPr>
        <w:br w:type="page"/>
      </w:r>
    </w:p>
    <w:bookmarkEnd w:id="0"/>
    <w:p>
      <w:pPr>
        <w:spacing w:after="0"/>
        <w:rPr>
          <w:sz w:val="22"/>
        </w:rPr>
        <w:sectPr>
          <w:type w:val="continuous"/>
          <w:pgSz w:w="11900" w:h="16840"/>
          <w:pgMar w:top="1440" w:right="1800" w:bottom="1440" w:left="1800" w:header="708" w:footer="708" w:gutter="0"/>
          <w:cols w:num="2" w:space="560"/>
        </w:sectPr>
      </w:pPr>
    </w:p>
    <w:p>
      <w:pPr>
        <w:pStyle w:val="Liste2"/>
        <w:numPr>
          <w:ilvl w:val="0"/>
          <w:numId w:val="0"/>
        </w:numPr>
        <w:rPr>
          <w:lang w:val="de-DE"/>
        </w:rPr>
      </w:pPr>
    </w:p>
    <w:tbl>
      <w:tblPr>
        <w:tblStyle w:val="Tabellenraster"/>
        <w:tblW w:w="8971" w:type="dxa"/>
        <w:tblLayout w:type="fixed"/>
        <w:tblLook w:val="00A0" w:firstRow="1" w:lastRow="0" w:firstColumn="1" w:lastColumn="0" w:noHBand="0" w:noVBand="0"/>
      </w:tblPr>
      <w:tblGrid>
        <w:gridCol w:w="684"/>
        <w:gridCol w:w="6824"/>
        <w:gridCol w:w="1463"/>
      </w:tblGrid>
      <w:tr>
        <w:tc>
          <w:tcPr>
            <w:tcW w:w="684" w:type="dxa"/>
          </w:tcPr>
          <w:p>
            <w:pPr>
              <w:pStyle w:val="1"/>
              <w:rPr>
                <w:sz w:val="24"/>
              </w:rPr>
            </w:pPr>
            <w:r>
              <w:rPr>
                <w:sz w:val="24"/>
              </w:rPr>
              <w:br w:type="page"/>
            </w:r>
            <w:r>
              <w:rPr>
                <w:sz w:val="24"/>
              </w:rPr>
              <w:br w:type="page"/>
              <w:t>TOP</w:t>
            </w:r>
          </w:p>
        </w:tc>
        <w:tc>
          <w:tcPr>
            <w:tcW w:w="6824" w:type="dxa"/>
          </w:tcPr>
          <w:p>
            <w:pPr>
              <w:pStyle w:val="1"/>
              <w:rPr>
                <w:sz w:val="24"/>
              </w:rPr>
            </w:pPr>
            <w:r>
              <w:rPr>
                <w:sz w:val="24"/>
              </w:rPr>
              <w:t>Beitrag/ Thema</w:t>
            </w:r>
          </w:p>
        </w:tc>
        <w:tc>
          <w:tcPr>
            <w:tcW w:w="1463" w:type="dxa"/>
          </w:tcPr>
          <w:p>
            <w:pPr>
              <w:rPr>
                <w:b/>
                <w:sz w:val="22"/>
                <w:szCs w:val="22"/>
              </w:rPr>
            </w:pPr>
            <w:r>
              <w:rPr>
                <w:b/>
                <w:sz w:val="22"/>
                <w:szCs w:val="22"/>
              </w:rPr>
              <w:t>eingebracht von</w:t>
            </w:r>
          </w:p>
        </w:tc>
      </w:tr>
      <w:tr>
        <w:tc>
          <w:tcPr>
            <w:tcW w:w="684" w:type="dxa"/>
          </w:tcPr>
          <w:p>
            <w:pPr>
              <w:rPr>
                <w:b/>
              </w:rPr>
            </w:pPr>
            <w:r>
              <w:rPr>
                <w:b/>
              </w:rPr>
              <w:t>1</w:t>
            </w:r>
          </w:p>
        </w:tc>
        <w:tc>
          <w:tcPr>
            <w:tcW w:w="6824" w:type="dxa"/>
          </w:tcPr>
          <w:p>
            <w:pPr>
              <w:pStyle w:val="1"/>
            </w:pPr>
            <w:r>
              <w:t xml:space="preserve">Aktuelle Lage </w:t>
            </w:r>
          </w:p>
          <w:p>
            <w:pPr>
              <w:spacing w:line="276" w:lineRule="auto"/>
              <w:rPr>
                <w:b/>
                <w:bCs/>
                <w:color w:val="D99594" w:themeColor="accent2" w:themeTint="99"/>
              </w:rPr>
            </w:pPr>
            <w:r>
              <w:rPr>
                <w:rStyle w:val="2Zchn"/>
                <w:sz w:val="22"/>
                <w:szCs w:val="22"/>
              </w:rPr>
              <w:t>International</w:t>
            </w:r>
            <w:r>
              <w:rPr>
                <w:rStyle w:val="TagMiZchn"/>
                <w:bCs/>
                <w:i w:val="0"/>
              </w:rPr>
              <w:t xml:space="preserve"> </w:t>
            </w:r>
          </w:p>
          <w:p>
            <w:pPr>
              <w:pStyle w:val="Liste2"/>
            </w:pPr>
            <w:r>
              <w:rPr>
                <w:lang w:val="de-DE"/>
              </w:rPr>
              <w:t xml:space="preserve">Folien </w:t>
            </w:r>
            <w:hyperlink r:id="rId11" w:history="1">
              <w:r>
                <w:rPr>
                  <w:rStyle w:val="Hyperlink"/>
                  <w:lang w:val="de-DE"/>
                </w:rPr>
                <w:t>hier</w:t>
              </w:r>
            </w:hyperlink>
          </w:p>
          <w:p>
            <w:pPr>
              <w:pStyle w:val="Liste2"/>
            </w:pPr>
            <w:r>
              <w:rPr>
                <w:lang w:val="de-DE"/>
              </w:rPr>
              <w:t>Global stabile Lage</w:t>
            </w:r>
          </w:p>
          <w:p>
            <w:pPr>
              <w:pStyle w:val="Liste2"/>
            </w:pPr>
            <w:proofErr w:type="spellStart"/>
            <w:r>
              <w:t>Weltweit</w:t>
            </w:r>
            <w:proofErr w:type="spellEnd"/>
            <w:r>
              <w:t xml:space="preserve">: </w:t>
            </w:r>
            <w:proofErr w:type="spellStart"/>
            <w:r>
              <w:t>Fälle</w:t>
            </w:r>
            <w:proofErr w:type="spellEnd"/>
            <w:r>
              <w:t xml:space="preserve">, </w:t>
            </w:r>
            <w:proofErr w:type="spellStart"/>
            <w:r>
              <w:t>Todesfälle</w:t>
            </w:r>
            <w:proofErr w:type="spellEnd"/>
          </w:p>
          <w:p>
            <w:pPr>
              <w:pStyle w:val="Liste2"/>
              <w:rPr>
                <w:lang w:val="de-DE"/>
              </w:rPr>
            </w:pPr>
            <w:r>
              <w:rPr>
                <w:lang w:val="de-DE"/>
              </w:rPr>
              <w:t>Anzahl Fälle pro KW und WHO Region, 30.12.2019-27.09.2022</w:t>
            </w:r>
          </w:p>
          <w:p>
            <w:pPr>
              <w:pStyle w:val="Liste2"/>
              <w:numPr>
                <w:ilvl w:val="1"/>
                <w:numId w:val="7"/>
              </w:numPr>
              <w:rPr>
                <w:lang w:val="de-DE"/>
              </w:rPr>
            </w:pPr>
            <w:r>
              <w:rPr>
                <w:lang w:val="de-DE"/>
              </w:rPr>
              <w:t xml:space="preserve">Europe: 252.806.947 </w:t>
            </w:r>
          </w:p>
          <w:p>
            <w:pPr>
              <w:pStyle w:val="Liste2"/>
              <w:numPr>
                <w:ilvl w:val="1"/>
                <w:numId w:val="7"/>
              </w:numPr>
              <w:rPr>
                <w:lang w:val="de-DE"/>
              </w:rPr>
            </w:pPr>
            <w:proofErr w:type="spellStart"/>
            <w:r>
              <w:rPr>
                <w:lang w:val="de-DE"/>
              </w:rPr>
              <w:t>America</w:t>
            </w:r>
            <w:proofErr w:type="spellEnd"/>
            <w:r>
              <w:rPr>
                <w:lang w:val="de-DE"/>
              </w:rPr>
              <w:t>: 178.010.882</w:t>
            </w:r>
          </w:p>
          <w:p>
            <w:pPr>
              <w:pStyle w:val="Liste2"/>
              <w:numPr>
                <w:ilvl w:val="1"/>
                <w:numId w:val="7"/>
              </w:numPr>
              <w:rPr>
                <w:lang w:val="de-DE"/>
              </w:rPr>
            </w:pPr>
            <w:r>
              <w:rPr>
                <w:lang w:val="de-DE"/>
              </w:rPr>
              <w:t xml:space="preserve">Western Pacific: 89.238.528 </w:t>
            </w:r>
          </w:p>
          <w:p>
            <w:pPr>
              <w:pStyle w:val="Liste2"/>
              <w:numPr>
                <w:ilvl w:val="1"/>
                <w:numId w:val="7"/>
              </w:numPr>
              <w:rPr>
                <w:lang w:val="de-DE"/>
              </w:rPr>
            </w:pPr>
            <w:r>
              <w:rPr>
                <w:lang w:val="de-DE"/>
              </w:rPr>
              <w:t>South-East Asia: 60.265.813</w:t>
            </w:r>
          </w:p>
          <w:p>
            <w:pPr>
              <w:pStyle w:val="Liste2"/>
              <w:numPr>
                <w:ilvl w:val="1"/>
                <w:numId w:val="7"/>
              </w:numPr>
              <w:rPr>
                <w:lang w:val="de-DE"/>
              </w:rPr>
            </w:pPr>
            <w:r>
              <w:rPr>
                <w:lang w:val="de-DE"/>
              </w:rPr>
              <w:t xml:space="preserve">Eastern </w:t>
            </w:r>
            <w:proofErr w:type="spellStart"/>
            <w:r>
              <w:rPr>
                <w:lang w:val="de-DE"/>
              </w:rPr>
              <w:t>Mediterranean</w:t>
            </w:r>
            <w:proofErr w:type="spellEnd"/>
            <w:r>
              <w:rPr>
                <w:lang w:val="de-DE"/>
              </w:rPr>
              <w:t>: 23.075.453</w:t>
            </w:r>
          </w:p>
          <w:p>
            <w:pPr>
              <w:pStyle w:val="Liste2"/>
              <w:numPr>
                <w:ilvl w:val="1"/>
                <w:numId w:val="7"/>
              </w:numPr>
              <w:rPr>
                <w:lang w:val="de-DE"/>
              </w:rPr>
            </w:pPr>
            <w:proofErr w:type="spellStart"/>
            <w:r>
              <w:rPr>
                <w:lang w:val="de-DE"/>
              </w:rPr>
              <w:t>Africa</w:t>
            </w:r>
            <w:proofErr w:type="spellEnd"/>
            <w:r>
              <w:rPr>
                <w:lang w:val="de-DE"/>
              </w:rPr>
              <w:t>: 9.325.784</w:t>
            </w:r>
          </w:p>
          <w:p>
            <w:pPr>
              <w:pStyle w:val="Liste2"/>
              <w:rPr>
                <w:lang w:val="de-DE"/>
              </w:rPr>
            </w:pPr>
            <w:r>
              <w:rPr>
                <w:lang w:val="de-DE"/>
              </w:rPr>
              <w:t xml:space="preserve">Insgesamt global abnehmendes Infektionsgeschehen über alle Kontinente hinweg. </w:t>
            </w:r>
          </w:p>
          <w:p>
            <w:pPr>
              <w:pStyle w:val="Liste2"/>
              <w:rPr>
                <w:lang w:val="de-DE"/>
              </w:rPr>
            </w:pPr>
            <w:r>
              <w:rPr>
                <w:lang w:val="de-DE"/>
              </w:rPr>
              <w:t>Globale Fallveränderung 7-Tage</w:t>
            </w:r>
          </w:p>
          <w:p>
            <w:pPr>
              <w:pStyle w:val="Liste3"/>
            </w:pPr>
            <w:r>
              <w:t>-20%</w:t>
            </w:r>
          </w:p>
          <w:p>
            <w:pPr>
              <w:pStyle w:val="Liste2"/>
            </w:pPr>
            <w:proofErr w:type="spellStart"/>
            <w:r>
              <w:t>Todesfallzahlen</w:t>
            </w:r>
            <w:proofErr w:type="spellEnd"/>
            <w:r>
              <w:t xml:space="preserve"> 7-Tage</w:t>
            </w:r>
          </w:p>
          <w:p>
            <w:pPr>
              <w:pStyle w:val="Liste3"/>
            </w:pPr>
            <w:r>
              <w:t>-23%</w:t>
            </w:r>
          </w:p>
          <w:p>
            <w:pPr>
              <w:pStyle w:val="Liste2"/>
              <w:rPr>
                <w:lang w:val="de-DE"/>
              </w:rPr>
            </w:pPr>
            <w:r>
              <w:rPr>
                <w:lang w:val="de-DE"/>
              </w:rPr>
              <w:t>7-Tage-Inzidenz pro 100.000 Einwohner in Europa</w:t>
            </w:r>
          </w:p>
          <w:p>
            <w:pPr>
              <w:pStyle w:val="Liste2"/>
              <w:numPr>
                <w:ilvl w:val="1"/>
                <w:numId w:val="7"/>
              </w:numPr>
              <w:rPr>
                <w:lang w:val="de-DE"/>
              </w:rPr>
            </w:pPr>
            <w:r>
              <w:rPr>
                <w:lang w:val="de-DE"/>
              </w:rPr>
              <w:t>Start der Herbstwelle in vereinzelten Ländern</w:t>
            </w:r>
          </w:p>
          <w:p>
            <w:pPr>
              <w:pStyle w:val="Liste2"/>
              <w:numPr>
                <w:ilvl w:val="1"/>
                <w:numId w:val="7"/>
              </w:numPr>
              <w:rPr>
                <w:lang w:val="de-DE"/>
              </w:rPr>
            </w:pPr>
            <w:r>
              <w:rPr>
                <w:lang w:val="de-DE"/>
              </w:rPr>
              <w:t>Frankreich: keine Meldedaten in den letzten Tagen.</w:t>
            </w:r>
            <w:r>
              <w:rPr>
                <w:sz w:val="24"/>
                <w:szCs w:val="24"/>
                <w:lang w:val="de-DE"/>
              </w:rPr>
              <w:t xml:space="preserve"> </w:t>
            </w:r>
            <w:r>
              <w:rPr>
                <w:lang w:val="de-DE"/>
              </w:rPr>
              <w:t>Inzidenz in KW35 bei 166 (KW34: 182).</w:t>
            </w:r>
          </w:p>
          <w:p>
            <w:pPr>
              <w:pStyle w:val="Liste2"/>
              <w:numPr>
                <w:ilvl w:val="1"/>
                <w:numId w:val="7"/>
              </w:numPr>
              <w:rPr>
                <w:lang w:val="de-DE"/>
              </w:rPr>
            </w:pPr>
            <w:r>
              <w:rPr>
                <w:lang w:val="de-DE"/>
              </w:rPr>
              <w:t>Fallzahlanstiege in Österreich (+43%), Italien (+26%) und Frankreich (+22%).</w:t>
            </w:r>
          </w:p>
          <w:p>
            <w:pPr>
              <w:pStyle w:val="Liste2"/>
            </w:pPr>
            <w:proofErr w:type="spellStart"/>
            <w:r>
              <w:t>Daten</w:t>
            </w:r>
            <w:proofErr w:type="spellEnd"/>
            <w:r>
              <w:t xml:space="preserve"> </w:t>
            </w:r>
            <w:proofErr w:type="spellStart"/>
            <w:r>
              <w:t>aus</w:t>
            </w:r>
            <w:proofErr w:type="spellEnd"/>
            <w:r>
              <w:t xml:space="preserve"> </w:t>
            </w:r>
            <w:proofErr w:type="spellStart"/>
            <w:r>
              <w:t>Österreich</w:t>
            </w:r>
            <w:proofErr w:type="spellEnd"/>
            <w:r>
              <w:t xml:space="preserve"> </w:t>
            </w:r>
          </w:p>
          <w:p>
            <w:pPr>
              <w:pStyle w:val="Liste2"/>
              <w:numPr>
                <w:ilvl w:val="1"/>
                <w:numId w:val="7"/>
              </w:numPr>
              <w:rPr>
                <w:lang w:val="de-DE"/>
              </w:rPr>
            </w:pPr>
            <w:r>
              <w:rPr>
                <w:lang w:val="de-DE"/>
              </w:rPr>
              <w:t>7-T Inzidenz: 584</w:t>
            </w:r>
          </w:p>
          <w:p>
            <w:pPr>
              <w:pStyle w:val="Liste2"/>
              <w:numPr>
                <w:ilvl w:val="1"/>
                <w:numId w:val="7"/>
              </w:numPr>
              <w:rPr>
                <w:lang w:val="de-DE"/>
              </w:rPr>
            </w:pPr>
            <w:r>
              <w:rPr>
                <w:lang w:val="de-DE"/>
              </w:rPr>
              <w:t>Viele Testungen</w:t>
            </w:r>
          </w:p>
          <w:p>
            <w:pPr>
              <w:pStyle w:val="Liste2"/>
              <w:numPr>
                <w:ilvl w:val="1"/>
                <w:numId w:val="7"/>
              </w:numPr>
              <w:rPr>
                <w:lang w:val="de-DE"/>
              </w:rPr>
            </w:pPr>
            <w:r>
              <w:rPr>
                <w:lang w:val="de-DE"/>
              </w:rPr>
              <w:t>Hospitalisierungen abnehmend</w:t>
            </w:r>
          </w:p>
          <w:p>
            <w:pPr>
              <w:pStyle w:val="Liste2"/>
            </w:pPr>
            <w:proofErr w:type="spellStart"/>
            <w:r>
              <w:t>Daten</w:t>
            </w:r>
            <w:proofErr w:type="spellEnd"/>
            <w:r>
              <w:t xml:space="preserve"> </w:t>
            </w:r>
            <w:proofErr w:type="spellStart"/>
            <w:r>
              <w:t>aus</w:t>
            </w:r>
            <w:proofErr w:type="spellEnd"/>
            <w:r>
              <w:t xml:space="preserve"> </w:t>
            </w:r>
            <w:proofErr w:type="spellStart"/>
            <w:r>
              <w:t>Frankreich</w:t>
            </w:r>
            <w:proofErr w:type="spellEnd"/>
          </w:p>
          <w:p>
            <w:pPr>
              <w:pStyle w:val="Liste2"/>
              <w:numPr>
                <w:ilvl w:val="1"/>
                <w:numId w:val="7"/>
              </w:numPr>
            </w:pPr>
            <w:r>
              <w:t xml:space="preserve">7-T </w:t>
            </w:r>
            <w:proofErr w:type="spellStart"/>
            <w:r>
              <w:t>Inzidenz</w:t>
            </w:r>
            <w:proofErr w:type="spellEnd"/>
            <w:r>
              <w:t>: 369</w:t>
            </w:r>
          </w:p>
          <w:p>
            <w:pPr>
              <w:pStyle w:val="Liste2"/>
              <w:numPr>
                <w:ilvl w:val="1"/>
                <w:numId w:val="7"/>
              </w:numPr>
            </w:pPr>
            <w:proofErr w:type="spellStart"/>
            <w:r>
              <w:t>Testrate</w:t>
            </w:r>
            <w:proofErr w:type="spellEnd"/>
            <w:r>
              <w:t xml:space="preserve"> </w:t>
            </w:r>
            <w:proofErr w:type="spellStart"/>
            <w:r>
              <w:t>gestiegen</w:t>
            </w:r>
            <w:proofErr w:type="spellEnd"/>
          </w:p>
          <w:p>
            <w:pPr>
              <w:pStyle w:val="Liste2"/>
              <w:numPr>
                <w:ilvl w:val="1"/>
                <w:numId w:val="7"/>
              </w:numPr>
            </w:pPr>
            <w:proofErr w:type="spellStart"/>
            <w:r>
              <w:t>Plateaubildung</w:t>
            </w:r>
            <w:proofErr w:type="spellEnd"/>
            <w:r>
              <w:t xml:space="preserve"> </w:t>
            </w:r>
            <w:proofErr w:type="spellStart"/>
            <w:r>
              <w:t>bei</w:t>
            </w:r>
            <w:proofErr w:type="spellEnd"/>
            <w:r>
              <w:t xml:space="preserve"> </w:t>
            </w:r>
            <w:proofErr w:type="spellStart"/>
            <w:r>
              <w:t>Hospitalisierungen</w:t>
            </w:r>
            <w:proofErr w:type="spellEnd"/>
          </w:p>
          <w:p>
            <w:pPr>
              <w:pStyle w:val="Liste2"/>
              <w:rPr>
                <w:lang w:val="de-DE"/>
              </w:rPr>
            </w:pPr>
            <w:r>
              <w:rPr>
                <w:lang w:val="de-DE"/>
              </w:rPr>
              <w:t>COVID-19 Varianten, Datenstand 19.09.2022</w:t>
            </w:r>
          </w:p>
          <w:p>
            <w:pPr>
              <w:pStyle w:val="Liste2"/>
              <w:numPr>
                <w:ilvl w:val="1"/>
                <w:numId w:val="7"/>
              </w:numPr>
              <w:rPr>
                <w:lang w:val="de-DE"/>
              </w:rPr>
            </w:pPr>
            <w:r>
              <w:rPr>
                <w:lang w:val="de-DE"/>
              </w:rPr>
              <w:t xml:space="preserve"> Anzahl von Sequenzen reduzieren sich weiterhin</w:t>
            </w:r>
          </w:p>
          <w:p>
            <w:pPr>
              <w:pStyle w:val="Liste2"/>
              <w:numPr>
                <w:ilvl w:val="0"/>
                <w:numId w:val="0"/>
              </w:numPr>
              <w:ind w:left="1553"/>
              <w:rPr>
                <w:lang w:val="de-DE"/>
              </w:rPr>
            </w:pPr>
            <w:r>
              <w:rPr>
                <w:sz w:val="24"/>
                <w:szCs w:val="24"/>
                <w:lang w:val="de-DE"/>
              </w:rPr>
              <w:t>-&gt; Vorsicht beim Aussagen zu Trends</w:t>
            </w:r>
          </w:p>
          <w:p>
            <w:pPr>
              <w:pStyle w:val="Liste2"/>
              <w:numPr>
                <w:ilvl w:val="1"/>
                <w:numId w:val="7"/>
              </w:numPr>
              <w:rPr>
                <w:lang w:val="de-DE"/>
              </w:rPr>
            </w:pPr>
            <w:r>
              <w:rPr>
                <w:lang w:val="de-DE"/>
              </w:rPr>
              <w:t>Letzte 30 Tagen:</w:t>
            </w:r>
          </w:p>
          <w:p>
            <w:pPr>
              <w:pStyle w:val="Liste2"/>
              <w:numPr>
                <w:ilvl w:val="2"/>
                <w:numId w:val="7"/>
              </w:numPr>
              <w:rPr>
                <w:lang w:val="de-DE"/>
              </w:rPr>
            </w:pPr>
            <w:r>
              <w:rPr>
                <w:lang w:val="de-DE"/>
              </w:rPr>
              <w:t>99% Omikron</w:t>
            </w:r>
          </w:p>
          <w:p>
            <w:pPr>
              <w:pStyle w:val="Liste2"/>
              <w:numPr>
                <w:ilvl w:val="2"/>
                <w:numId w:val="7"/>
              </w:numPr>
              <w:rPr>
                <w:lang w:val="de-DE"/>
              </w:rPr>
            </w:pPr>
            <w:r>
              <w:rPr>
                <w:lang w:val="de-DE"/>
              </w:rPr>
              <w:t>Große genetische Diversität:</w:t>
            </w:r>
          </w:p>
          <w:p>
            <w:pPr>
              <w:pStyle w:val="Liste2"/>
              <w:numPr>
                <w:ilvl w:val="2"/>
                <w:numId w:val="7"/>
              </w:numPr>
              <w:rPr>
                <w:lang w:val="de-DE"/>
              </w:rPr>
            </w:pPr>
            <w:r>
              <w:rPr>
                <w:lang w:val="de-DE"/>
              </w:rPr>
              <w:t xml:space="preserve">230 </w:t>
            </w:r>
            <w:proofErr w:type="spellStart"/>
            <w:r>
              <w:rPr>
                <w:lang w:val="de-DE"/>
              </w:rPr>
              <w:t>descendent</w:t>
            </w:r>
            <w:proofErr w:type="spellEnd"/>
          </w:p>
          <w:p>
            <w:pPr>
              <w:pStyle w:val="Liste2"/>
              <w:numPr>
                <w:ilvl w:val="2"/>
                <w:numId w:val="7"/>
              </w:numPr>
              <w:rPr>
                <w:lang w:val="de-DE"/>
              </w:rPr>
            </w:pPr>
            <w:r>
              <w:rPr>
                <w:sz w:val="24"/>
                <w:szCs w:val="24"/>
                <w:lang w:val="de-DE"/>
              </w:rPr>
              <w:t xml:space="preserve">&gt;30 </w:t>
            </w:r>
            <w:proofErr w:type="spellStart"/>
            <w:r>
              <w:rPr>
                <w:sz w:val="24"/>
                <w:szCs w:val="24"/>
                <w:lang w:val="de-DE"/>
              </w:rPr>
              <w:t>recombinants</w:t>
            </w:r>
            <w:proofErr w:type="spellEnd"/>
          </w:p>
          <w:p>
            <w:pPr>
              <w:pStyle w:val="Liste2"/>
              <w:numPr>
                <w:ilvl w:val="1"/>
                <w:numId w:val="7"/>
              </w:numPr>
              <w:rPr>
                <w:lang w:val="de-DE"/>
              </w:rPr>
            </w:pPr>
            <w:r>
              <w:rPr>
                <w:lang w:val="de-DE"/>
              </w:rPr>
              <w:t xml:space="preserve">KW35: </w:t>
            </w:r>
          </w:p>
          <w:p>
            <w:pPr>
              <w:pStyle w:val="Liste2"/>
              <w:numPr>
                <w:ilvl w:val="2"/>
                <w:numId w:val="7"/>
              </w:numPr>
              <w:rPr>
                <w:lang w:val="de-DE"/>
              </w:rPr>
            </w:pPr>
            <w:r>
              <w:rPr>
                <w:lang w:val="de-DE"/>
              </w:rPr>
              <w:t>BA.5.X: 77%</w:t>
            </w:r>
          </w:p>
          <w:p>
            <w:pPr>
              <w:pStyle w:val="Liste2"/>
              <w:numPr>
                <w:ilvl w:val="2"/>
                <w:numId w:val="7"/>
              </w:numPr>
              <w:rPr>
                <w:lang w:val="de-DE"/>
              </w:rPr>
            </w:pPr>
            <w:r>
              <w:rPr>
                <w:lang w:val="de-DE"/>
              </w:rPr>
              <w:t>BA.4.X:7.5%</w:t>
            </w:r>
          </w:p>
          <w:p>
            <w:pPr>
              <w:pStyle w:val="Liste2"/>
              <w:numPr>
                <w:ilvl w:val="2"/>
                <w:numId w:val="7"/>
              </w:numPr>
              <w:rPr>
                <w:lang w:val="de-DE"/>
              </w:rPr>
            </w:pPr>
            <w:r>
              <w:rPr>
                <w:lang w:val="de-DE"/>
              </w:rPr>
              <w:t>BA.3.X, BA.2.X und BA.1.X:&lt;1%</w:t>
            </w:r>
          </w:p>
          <w:p>
            <w:pPr>
              <w:pStyle w:val="Liste2"/>
              <w:numPr>
                <w:ilvl w:val="2"/>
                <w:numId w:val="7"/>
              </w:numPr>
              <w:rPr>
                <w:lang w:val="de-DE"/>
              </w:rPr>
            </w:pPr>
            <w:r>
              <w:rPr>
                <w:sz w:val="24"/>
                <w:szCs w:val="24"/>
                <w:lang w:val="de-DE"/>
              </w:rPr>
              <w:t>BA.2.75:1.26%</w:t>
            </w:r>
          </w:p>
          <w:p>
            <w:pPr>
              <w:pStyle w:val="Liste2"/>
              <w:numPr>
                <w:ilvl w:val="1"/>
                <w:numId w:val="7"/>
              </w:numPr>
              <w:rPr>
                <w:lang w:val="de-DE"/>
              </w:rPr>
            </w:pPr>
            <w:r>
              <w:rPr>
                <w:lang w:val="de-DE"/>
              </w:rPr>
              <w:t>Europa:</w:t>
            </w:r>
          </w:p>
          <w:p>
            <w:pPr>
              <w:pStyle w:val="Liste2"/>
              <w:numPr>
                <w:ilvl w:val="2"/>
                <w:numId w:val="7"/>
              </w:numPr>
              <w:rPr>
                <w:lang w:val="de-DE"/>
              </w:rPr>
            </w:pPr>
            <w:r>
              <w:rPr>
                <w:lang w:val="de-DE"/>
              </w:rPr>
              <w:t>Vereinzelt Delta Nachweise (Abwasser Surveillance)</w:t>
            </w:r>
          </w:p>
          <w:p>
            <w:pPr>
              <w:pStyle w:val="Liste2"/>
              <w:numPr>
                <w:ilvl w:val="2"/>
                <w:numId w:val="7"/>
              </w:numPr>
              <w:rPr>
                <w:lang w:val="en-US"/>
              </w:rPr>
            </w:pPr>
            <w:r>
              <w:rPr>
                <w:lang w:val="en-US"/>
              </w:rPr>
              <w:lastRenderedPageBreak/>
              <w:t>BA.2 + L452X is de-escalated from variants of interest</w:t>
            </w:r>
          </w:p>
          <w:p>
            <w:pPr>
              <w:pStyle w:val="Liste2"/>
              <w:numPr>
                <w:ilvl w:val="2"/>
                <w:numId w:val="7"/>
              </w:numPr>
              <w:rPr>
                <w:lang w:val="en-US"/>
              </w:rPr>
            </w:pPr>
            <w:r>
              <w:rPr>
                <w:sz w:val="24"/>
                <w:szCs w:val="24"/>
                <w:lang w:val="en-US"/>
              </w:rPr>
              <w:t>recombinant XAK is de-escalated from variants under monitoring</w:t>
            </w:r>
          </w:p>
          <w:p>
            <w:pPr>
              <w:pStyle w:val="Liste2"/>
              <w:numPr>
                <w:ilvl w:val="2"/>
                <w:numId w:val="7"/>
              </w:numPr>
              <w:rPr>
                <w:lang w:val="de-DE"/>
              </w:rPr>
            </w:pPr>
            <w:r>
              <w:rPr>
                <w:lang w:val="de-DE"/>
              </w:rPr>
              <w:t>VOC weiterhin BA.2, BA.4 und BA.5</w:t>
            </w:r>
          </w:p>
          <w:p>
            <w:pPr>
              <w:pStyle w:val="2"/>
            </w:pPr>
          </w:p>
          <w:p>
            <w:pPr>
              <w:pStyle w:val="2"/>
            </w:pPr>
            <w:r>
              <w:t xml:space="preserve">National </w:t>
            </w:r>
          </w:p>
          <w:p>
            <w:pPr>
              <w:pStyle w:val="Liste2"/>
              <w:numPr>
                <w:ilvl w:val="0"/>
                <w:numId w:val="0"/>
              </w:numPr>
              <w:ind w:left="833" w:hanging="360"/>
              <w:rPr>
                <w:lang w:val="de-DE"/>
              </w:rPr>
            </w:pPr>
            <w:r>
              <w:rPr>
                <w:lang w:val="de-DE"/>
              </w:rPr>
              <w:t xml:space="preserve">Fallzahlen, Todesfälle, Trend, Folien </w:t>
            </w:r>
            <w:hyperlink r:id="rId12" w:history="1">
              <w:r>
                <w:rPr>
                  <w:rStyle w:val="Hyperlink"/>
                  <w:lang w:val="de-DE"/>
                </w:rPr>
                <w:t>hier</w:t>
              </w:r>
            </w:hyperlink>
          </w:p>
          <w:p>
            <w:pPr>
              <w:pStyle w:val="Liste2"/>
              <w:rPr>
                <w:lang w:val="de-DE"/>
              </w:rPr>
            </w:pPr>
            <w:proofErr w:type="spellStart"/>
            <w:r>
              <w:rPr>
                <w:lang w:val="de-DE"/>
              </w:rPr>
              <w:t>SurvNet</w:t>
            </w:r>
            <w:proofErr w:type="spellEnd"/>
            <w:r>
              <w:rPr>
                <w:lang w:val="de-DE"/>
              </w:rPr>
              <w:t xml:space="preserve"> übermittelt: </w:t>
            </w:r>
            <w:proofErr w:type="spellStart"/>
            <w:r>
              <w:rPr>
                <w:lang w:val="de-DE"/>
              </w:rPr>
              <w:t>SurvNet</w:t>
            </w:r>
            <w:proofErr w:type="spellEnd"/>
            <w:r>
              <w:rPr>
                <w:lang w:val="de-DE"/>
              </w:rPr>
              <w:t xml:space="preserve"> übermittelt: 33.137.143 (+95.811), davon 149.714 (+138) Todesfälle </w:t>
            </w:r>
          </w:p>
          <w:p>
            <w:pPr>
              <w:pStyle w:val="Liste2"/>
            </w:pPr>
            <w:r>
              <w:t xml:space="preserve">7-Tage-Inzidenz:  379,6/100.000 </w:t>
            </w:r>
            <w:proofErr w:type="spellStart"/>
            <w:r>
              <w:t>Einw</w:t>
            </w:r>
            <w:proofErr w:type="spellEnd"/>
            <w:r>
              <w:t>.</w:t>
            </w:r>
          </w:p>
          <w:p>
            <w:pPr>
              <w:pStyle w:val="Liste2"/>
              <w:rPr>
                <w:lang w:val="de-DE"/>
              </w:rPr>
            </w:pPr>
            <w:r>
              <w:rPr>
                <w:lang w:val="de-DE"/>
              </w:rPr>
              <w:t>Impfmonitoring: Geimpfte mit 1. Dosis 77,9%, mit vollständiger Impfung 62,2%</w:t>
            </w:r>
          </w:p>
          <w:p>
            <w:pPr>
              <w:pStyle w:val="Liste3"/>
            </w:pPr>
            <w:r>
              <w:t xml:space="preserve">Leichter Anstieg der Fallzahlen im Vgl. zur Vorwoche </w:t>
            </w:r>
          </w:p>
          <w:p>
            <w:pPr>
              <w:pStyle w:val="Liste2"/>
              <w:rPr>
                <w:lang w:val="de-DE"/>
              </w:rPr>
            </w:pPr>
            <w:r>
              <w:rPr>
                <w:lang w:val="de-DE"/>
              </w:rPr>
              <w:t>Verlauf der 7-Tage-Inzidenz der Bundesländer/LK</w:t>
            </w:r>
          </w:p>
          <w:p>
            <w:pPr>
              <w:pStyle w:val="Liste3"/>
            </w:pPr>
            <w:r>
              <w:t>Anstieg der Fallzahlen in allen BL in den letzten 2 Wochen</w:t>
            </w:r>
          </w:p>
          <w:p>
            <w:pPr>
              <w:pStyle w:val="Liste3"/>
            </w:pPr>
            <w:r>
              <w:t>SL: viele Festivals</w:t>
            </w:r>
          </w:p>
          <w:p>
            <w:pPr>
              <w:pStyle w:val="Liste3"/>
            </w:pPr>
            <w:r>
              <w:t>BY: Oktoberfest</w:t>
            </w:r>
          </w:p>
          <w:p>
            <w:pPr>
              <w:pStyle w:val="Liste3"/>
            </w:pPr>
            <w:r>
              <w:t>Geografische Verteilung der 7-T-Inzidenz nach LK zeigt Rotfärbung um München</w:t>
            </w:r>
          </w:p>
          <w:p>
            <w:pPr>
              <w:pStyle w:val="Liste3"/>
            </w:pPr>
            <w:r>
              <w:t>Zunahme in ganz D</w:t>
            </w:r>
          </w:p>
          <w:p>
            <w:pPr>
              <w:pStyle w:val="Liste2"/>
              <w:rPr>
                <w:lang w:val="de-DE"/>
              </w:rPr>
            </w:pPr>
            <w:proofErr w:type="spellStart"/>
            <w:r>
              <w:rPr>
                <w:lang w:val="de-DE"/>
              </w:rPr>
              <w:t>Heatmap</w:t>
            </w:r>
            <w:proofErr w:type="spellEnd"/>
            <w:r>
              <w:rPr>
                <w:lang w:val="de-DE"/>
              </w:rPr>
              <w:t>: Hohe Inzidenz in AG 30-59-Jährige, Anstieg in allen AG</w:t>
            </w:r>
          </w:p>
          <w:p>
            <w:pPr>
              <w:pStyle w:val="Liste2"/>
              <w:rPr>
                <w:lang w:val="de-DE"/>
              </w:rPr>
            </w:pPr>
            <w:r>
              <w:rPr>
                <w:lang w:val="de-DE"/>
              </w:rPr>
              <w:t>Destatis Übersterblichkeit nicht erkennbar</w:t>
            </w:r>
          </w:p>
          <w:p>
            <w:pPr>
              <w:pStyle w:val="Liste3"/>
              <w:numPr>
                <w:ilvl w:val="0"/>
                <w:numId w:val="0"/>
              </w:numPr>
              <w:ind w:left="1193" w:hanging="360"/>
            </w:pPr>
          </w:p>
          <w:p>
            <w:pPr>
              <w:pStyle w:val="Liste2"/>
              <w:numPr>
                <w:ilvl w:val="0"/>
                <w:numId w:val="0"/>
              </w:numPr>
              <w:ind w:left="833"/>
              <w:rPr>
                <w:rStyle w:val="TagMiZchn"/>
                <w:b w:val="0"/>
                <w:bCs/>
                <w:i w:val="0"/>
                <w:lang w:val="de-DE"/>
              </w:rPr>
            </w:pPr>
            <w:r>
              <w:rPr>
                <w:b/>
                <w:lang w:val="de-DE"/>
              </w:rPr>
              <w:t xml:space="preserve">Zahlen zum DIVI-Intensivregister </w:t>
            </w:r>
            <w:r>
              <w:rPr>
                <w:lang w:val="de-DE"/>
              </w:rPr>
              <w:t xml:space="preserve">(Folien </w:t>
            </w:r>
            <w:hyperlink r:id="rId13" w:history="1">
              <w:r>
                <w:rPr>
                  <w:rStyle w:val="Hyperlink"/>
                  <w:lang w:val="de-DE"/>
                </w:rPr>
                <w:t>hier</w:t>
              </w:r>
            </w:hyperlink>
            <w:r>
              <w:rPr>
                <w:lang w:val="de-DE"/>
              </w:rPr>
              <w:t>)</w:t>
            </w:r>
          </w:p>
          <w:p>
            <w:pPr>
              <w:pStyle w:val="Liste2"/>
              <w:rPr>
                <w:lang w:val="de-DE"/>
              </w:rPr>
            </w:pPr>
            <w:r>
              <w:rPr>
                <w:lang w:val="de-DE"/>
              </w:rPr>
              <w:t>Mit Stand 28.09.2022 werden 847 COVID-19-Patient: innen auf Intensivstationen (der ca. 1.300 Akutkrankenhäuser) behandelt</w:t>
            </w:r>
          </w:p>
          <w:p>
            <w:pPr>
              <w:pStyle w:val="Liste2"/>
              <w:numPr>
                <w:ilvl w:val="1"/>
                <w:numId w:val="7"/>
              </w:numPr>
              <w:rPr>
                <w:lang w:val="de-DE"/>
              </w:rPr>
            </w:pPr>
            <w:r>
              <w:rPr>
                <w:lang w:val="de-DE"/>
              </w:rPr>
              <w:t>Sichtbarer Anstieg der COVID-ITS-Belegung</w:t>
            </w:r>
          </w:p>
          <w:p>
            <w:pPr>
              <w:pStyle w:val="Liste2"/>
              <w:rPr>
                <w:lang w:val="de-DE"/>
              </w:rPr>
            </w:pPr>
            <w:r>
              <w:rPr>
                <w:lang w:val="de-DE"/>
              </w:rPr>
              <w:t>ITS-COVID-Neuaufnahmen mit +777 in den letzten 7 Tagen im Zuwachs</w:t>
            </w:r>
          </w:p>
          <w:p>
            <w:pPr>
              <w:pStyle w:val="Liste2"/>
              <w:rPr>
                <w:lang w:val="de-DE"/>
              </w:rPr>
            </w:pPr>
            <w:r>
              <w:rPr>
                <w:lang w:val="de-DE"/>
              </w:rPr>
              <w:t>Anzahl der auf ITS-Verstorbenen: Abnahme</w:t>
            </w:r>
          </w:p>
          <w:p>
            <w:pPr>
              <w:pStyle w:val="Liste2"/>
              <w:rPr>
                <w:lang w:val="de-DE"/>
              </w:rPr>
            </w:pPr>
            <w:r>
              <w:rPr>
                <w:lang w:val="de-DE"/>
              </w:rPr>
              <w:t>Anteil der COVID-19-Patient: innen an der Gesamtzahl betreibbarer ITS-Betten</w:t>
            </w:r>
          </w:p>
          <w:p>
            <w:pPr>
              <w:pStyle w:val="Liste2"/>
              <w:numPr>
                <w:ilvl w:val="1"/>
                <w:numId w:val="7"/>
              </w:numPr>
              <w:rPr>
                <w:lang w:val="de-DE"/>
              </w:rPr>
            </w:pPr>
            <w:proofErr w:type="spellStart"/>
            <w:r>
              <w:rPr>
                <w:lang w:val="de-DE"/>
              </w:rPr>
              <w:t>Hetereogener</w:t>
            </w:r>
            <w:proofErr w:type="spellEnd"/>
            <w:r>
              <w:rPr>
                <w:lang w:val="de-DE"/>
              </w:rPr>
              <w:t xml:space="preserve"> Anstieg</w:t>
            </w:r>
          </w:p>
          <w:p>
            <w:pPr>
              <w:pStyle w:val="Liste2"/>
              <w:numPr>
                <w:ilvl w:val="1"/>
                <w:numId w:val="7"/>
              </w:numPr>
              <w:rPr>
                <w:lang w:val="de-DE"/>
              </w:rPr>
            </w:pPr>
            <w:r>
              <w:rPr>
                <w:lang w:val="de-DE"/>
              </w:rPr>
              <w:t>Großteil der BL &lt; 5%</w:t>
            </w:r>
          </w:p>
          <w:p>
            <w:pPr>
              <w:pStyle w:val="Liste2"/>
              <w:numPr>
                <w:ilvl w:val="1"/>
                <w:numId w:val="7"/>
              </w:numPr>
              <w:rPr>
                <w:lang w:val="de-DE"/>
              </w:rPr>
            </w:pPr>
            <w:r>
              <w:rPr>
                <w:lang w:val="de-DE"/>
              </w:rPr>
              <w:t>NW: Anstieg mäßig, Bremen: 7%</w:t>
            </w:r>
          </w:p>
          <w:p>
            <w:pPr>
              <w:pStyle w:val="Liste2"/>
              <w:numPr>
                <w:ilvl w:val="1"/>
                <w:numId w:val="7"/>
              </w:numPr>
              <w:rPr>
                <w:lang w:val="de-DE"/>
              </w:rPr>
            </w:pPr>
            <w:r>
              <w:rPr>
                <w:lang w:val="de-DE"/>
              </w:rPr>
              <w:t>NO: Anteile bei knapp 4-5%</w:t>
            </w:r>
          </w:p>
          <w:p>
            <w:pPr>
              <w:pStyle w:val="Liste2"/>
              <w:numPr>
                <w:ilvl w:val="1"/>
                <w:numId w:val="7"/>
              </w:numPr>
              <w:rPr>
                <w:lang w:val="de-DE"/>
              </w:rPr>
            </w:pPr>
            <w:r>
              <w:rPr>
                <w:lang w:val="de-DE"/>
              </w:rPr>
              <w:t>Mitte: 3-4%</w:t>
            </w:r>
          </w:p>
          <w:p>
            <w:pPr>
              <w:pStyle w:val="Liste2"/>
              <w:numPr>
                <w:ilvl w:val="1"/>
                <w:numId w:val="7"/>
              </w:numPr>
              <w:rPr>
                <w:lang w:val="de-DE"/>
              </w:rPr>
            </w:pPr>
            <w:r>
              <w:rPr>
                <w:lang w:val="de-DE"/>
              </w:rPr>
              <w:t>Süden: Anstieg, SL (7%), BY (5%)</w:t>
            </w:r>
          </w:p>
          <w:p>
            <w:pPr>
              <w:pStyle w:val="Liste2"/>
            </w:pPr>
            <w:r>
              <w:t xml:space="preserve">Belegung nach Schweregrad </w:t>
            </w:r>
          </w:p>
          <w:p>
            <w:pPr>
              <w:pStyle w:val="Liste2"/>
              <w:numPr>
                <w:ilvl w:val="1"/>
                <w:numId w:val="7"/>
              </w:numPr>
              <w:rPr>
                <w:lang w:val="de-DE"/>
              </w:rPr>
            </w:pPr>
            <w:r>
              <w:rPr>
                <w:lang w:val="de-DE"/>
              </w:rPr>
              <w:t>Anstieg in allen Gruppen</w:t>
            </w:r>
          </w:p>
          <w:p>
            <w:pPr>
              <w:pStyle w:val="Liste2"/>
              <w:numPr>
                <w:ilvl w:val="1"/>
                <w:numId w:val="7"/>
              </w:numPr>
              <w:rPr>
                <w:lang w:val="de-DE"/>
              </w:rPr>
            </w:pPr>
            <w:r>
              <w:rPr>
                <w:lang w:val="de-DE"/>
              </w:rPr>
              <w:t>%-Anteil bei ECMO-Patienten gesunken</w:t>
            </w:r>
          </w:p>
          <w:p>
            <w:pPr>
              <w:pStyle w:val="Liste2"/>
            </w:pPr>
            <w:r>
              <w:t xml:space="preserve">Einschätzung der Betriebssituation: </w:t>
            </w:r>
          </w:p>
          <w:p>
            <w:pPr>
              <w:pStyle w:val="Liste2"/>
              <w:numPr>
                <w:ilvl w:val="1"/>
                <w:numId w:val="7"/>
              </w:numPr>
              <w:rPr>
                <w:lang w:val="de-DE"/>
              </w:rPr>
            </w:pPr>
            <w:r>
              <w:rPr>
                <w:lang w:val="de-DE"/>
              </w:rPr>
              <w:t xml:space="preserve">Uni-Maximalversorger im Vgl. zu Grund und Regelversorgung größerer Prozentsatz mit Einschränkung wohingegen Grund/Regelversorger mit sinkender Einschränkung erkennbar sind; Heterogenes Bild </w:t>
            </w:r>
          </w:p>
          <w:p>
            <w:pPr>
              <w:pStyle w:val="Liste2"/>
              <w:numPr>
                <w:ilvl w:val="1"/>
                <w:numId w:val="7"/>
              </w:numPr>
              <w:rPr>
                <w:lang w:val="de-DE"/>
              </w:rPr>
            </w:pPr>
            <w:r>
              <w:rPr>
                <w:lang w:val="de-DE"/>
              </w:rPr>
              <w:lastRenderedPageBreak/>
              <w:t xml:space="preserve">Gründe der Betriebssituation Personalmangel, Raummangel </w:t>
            </w:r>
          </w:p>
          <w:p>
            <w:pPr>
              <w:pStyle w:val="Liste2"/>
            </w:pPr>
            <w:r>
              <w:t xml:space="preserve">Nach AG: </w:t>
            </w:r>
          </w:p>
          <w:p>
            <w:pPr>
              <w:pStyle w:val="Liste2"/>
              <w:numPr>
                <w:ilvl w:val="1"/>
                <w:numId w:val="7"/>
              </w:numPr>
              <w:rPr>
                <w:lang w:val="de-DE"/>
              </w:rPr>
            </w:pPr>
            <w:r>
              <w:rPr>
                <w:lang w:val="de-DE"/>
              </w:rPr>
              <w:t>Anstieg vor allem in älterer Generation</w:t>
            </w:r>
          </w:p>
          <w:p>
            <w:pPr>
              <w:pStyle w:val="Liste2"/>
              <w:numPr>
                <w:ilvl w:val="1"/>
                <w:numId w:val="7"/>
              </w:numPr>
              <w:rPr>
                <w:lang w:val="de-DE"/>
              </w:rPr>
            </w:pPr>
            <w:r>
              <w:rPr>
                <w:lang w:val="de-DE"/>
              </w:rPr>
              <w:t xml:space="preserve">81% der </w:t>
            </w:r>
            <w:proofErr w:type="spellStart"/>
            <w:r>
              <w:rPr>
                <w:lang w:val="de-DE"/>
              </w:rPr>
              <w:t>ITS-</w:t>
            </w:r>
            <w:proofErr w:type="gramStart"/>
            <w:r>
              <w:rPr>
                <w:lang w:val="de-DE"/>
              </w:rPr>
              <w:t>Patient:innen</w:t>
            </w:r>
            <w:proofErr w:type="spellEnd"/>
            <w:proofErr w:type="gramEnd"/>
            <w:r>
              <w:rPr>
                <w:lang w:val="de-DE"/>
              </w:rPr>
              <w:t xml:space="preserve"> 60+ Jahre</w:t>
            </w:r>
          </w:p>
          <w:p>
            <w:pPr>
              <w:pStyle w:val="Liste2"/>
              <w:rPr>
                <w:lang w:val="de-DE"/>
              </w:rPr>
            </w:pPr>
            <w:proofErr w:type="spellStart"/>
            <w:r>
              <w:rPr>
                <w:lang w:val="de-DE"/>
              </w:rPr>
              <w:t>SPoCK</w:t>
            </w:r>
            <w:proofErr w:type="spellEnd"/>
            <w:r>
              <w:rPr>
                <w:lang w:val="de-DE"/>
              </w:rPr>
              <w:t>-Prognose: Anstieg in Bayern, Seitwärtsbewegung in allen anderen Kleeblättern</w:t>
            </w:r>
          </w:p>
          <w:p>
            <w:pPr>
              <w:pStyle w:val="Liste2"/>
              <w:rPr>
                <w:lang w:val="de-DE"/>
              </w:rPr>
            </w:pPr>
            <w:r>
              <w:rPr>
                <w:lang w:val="de-DE"/>
              </w:rPr>
              <w:t>Prognose für D insgesamt: Seitwärtsbewegung – leichter Anstieg</w:t>
            </w:r>
          </w:p>
          <w:p>
            <w:pPr>
              <w:pStyle w:val="Liste2"/>
              <w:numPr>
                <w:ilvl w:val="0"/>
                <w:numId w:val="0"/>
              </w:numPr>
              <w:rPr>
                <w:lang w:val="de-DE"/>
              </w:rPr>
            </w:pPr>
          </w:p>
          <w:p>
            <w:pPr>
              <w:pStyle w:val="Liste2"/>
              <w:numPr>
                <w:ilvl w:val="0"/>
                <w:numId w:val="0"/>
              </w:numPr>
              <w:ind w:left="1553"/>
              <w:rPr>
                <w:lang w:val="de-DE"/>
              </w:rPr>
            </w:pPr>
          </w:p>
          <w:p>
            <w:pPr>
              <w:pStyle w:val="Liste2"/>
              <w:numPr>
                <w:ilvl w:val="0"/>
                <w:numId w:val="0"/>
              </w:numPr>
              <w:ind w:left="833"/>
            </w:pPr>
            <w:proofErr w:type="spellStart"/>
            <w:r>
              <w:rPr>
                <w:b/>
              </w:rPr>
              <w:t>Syndromische</w:t>
            </w:r>
            <w:proofErr w:type="spellEnd"/>
            <w:r>
              <w:rPr>
                <w:b/>
              </w:rPr>
              <w:t xml:space="preserve"> Surveillance</w:t>
            </w:r>
            <w:r>
              <w:rPr>
                <w:rStyle w:val="TagMiZchn"/>
                <w:i w:val="0"/>
              </w:rPr>
              <w:t xml:space="preserve"> </w:t>
            </w:r>
            <w:r>
              <w:rPr>
                <w:rStyle w:val="TagMiZchn"/>
                <w:b w:val="0"/>
                <w:i w:val="0"/>
                <w:color w:val="000000" w:themeColor="text1"/>
              </w:rPr>
              <w:t>(</w:t>
            </w:r>
            <w:proofErr w:type="spellStart"/>
            <w:r>
              <w:rPr>
                <w:rStyle w:val="TagMiZchn"/>
                <w:b w:val="0"/>
                <w:i w:val="0"/>
                <w:color w:val="000000" w:themeColor="text1"/>
              </w:rPr>
              <w:t>Folien</w:t>
            </w:r>
            <w:proofErr w:type="spellEnd"/>
            <w:r>
              <w:rPr>
                <w:rStyle w:val="TagMiZchn"/>
                <w:b w:val="0"/>
                <w:i w:val="0"/>
                <w:color w:val="000000" w:themeColor="text1"/>
              </w:rPr>
              <w:t xml:space="preserve"> </w:t>
            </w:r>
            <w:hyperlink r:id="rId14" w:history="1">
              <w:proofErr w:type="spellStart"/>
              <w:r>
                <w:rPr>
                  <w:rStyle w:val="Hyperlink"/>
                </w:rPr>
                <w:t>hier</w:t>
              </w:r>
              <w:proofErr w:type="spellEnd"/>
            </w:hyperlink>
            <w:r>
              <w:rPr>
                <w:rStyle w:val="TagMiZchn"/>
                <w:b w:val="0"/>
                <w:i w:val="0"/>
                <w:color w:val="000000" w:themeColor="text1"/>
              </w:rPr>
              <w:t>)</w:t>
            </w:r>
          </w:p>
          <w:p>
            <w:pPr>
              <w:pStyle w:val="Liste2"/>
              <w:rPr>
                <w:lang w:val="de-DE"/>
              </w:rPr>
            </w:pPr>
            <w:r>
              <w:rPr>
                <w:lang w:val="de-DE"/>
              </w:rPr>
              <w:t>ARE gesamt: gestiegen 9,2 % (Vorwoche: 6,3 %; Vorwochenwert: 5,0 %)</w:t>
            </w:r>
          </w:p>
          <w:p>
            <w:pPr>
              <w:pStyle w:val="Liste2"/>
              <w:numPr>
                <w:ilvl w:val="1"/>
                <w:numId w:val="7"/>
              </w:numPr>
              <w:rPr>
                <w:lang w:val="de-DE"/>
              </w:rPr>
            </w:pPr>
            <w:r>
              <w:rPr>
                <w:lang w:val="de-DE"/>
              </w:rPr>
              <w:t xml:space="preserve">Trend: Seit 34. KW steigend (bisher nicht das übliche zu erwartende Herbstplateau) </w:t>
            </w:r>
          </w:p>
          <w:p>
            <w:pPr>
              <w:pStyle w:val="Liste2"/>
              <w:numPr>
                <w:ilvl w:val="1"/>
                <w:numId w:val="7"/>
              </w:numPr>
              <w:rPr>
                <w:lang w:val="de-DE"/>
              </w:rPr>
            </w:pPr>
            <w:r>
              <w:rPr>
                <w:lang w:val="de-DE"/>
              </w:rPr>
              <w:t>liegt mit 9,2 % über dem Bereich der Vorjahre zur 38. KW</w:t>
            </w:r>
          </w:p>
          <w:p>
            <w:pPr>
              <w:pStyle w:val="Liste2"/>
              <w:numPr>
                <w:ilvl w:val="1"/>
                <w:numId w:val="7"/>
              </w:numPr>
              <w:rPr>
                <w:lang w:val="de-DE"/>
              </w:rPr>
            </w:pPr>
            <w:r>
              <w:rPr>
                <w:lang w:val="de-DE"/>
              </w:rPr>
              <w:t>Der Wert (gesamt) lag in KW 37 bei 9.200 ARE (Vorwoche: 6.300) pro 100.000 Einwohner.</w:t>
            </w:r>
          </w:p>
          <w:p>
            <w:pPr>
              <w:pStyle w:val="Liste2"/>
              <w:numPr>
                <w:ilvl w:val="1"/>
                <w:numId w:val="7"/>
              </w:numPr>
              <w:rPr>
                <w:lang w:val="de-DE"/>
              </w:rPr>
            </w:pPr>
            <w:r>
              <w:rPr>
                <w:lang w:val="de-DE"/>
              </w:rPr>
              <w:t xml:space="preserve">Entspricht einer Gesamtzahl von </w:t>
            </w:r>
          </w:p>
          <w:p>
            <w:pPr>
              <w:pStyle w:val="Liste2"/>
              <w:numPr>
                <w:ilvl w:val="0"/>
                <w:numId w:val="0"/>
              </w:numPr>
              <w:ind w:left="1553"/>
              <w:rPr>
                <w:sz w:val="24"/>
                <w:szCs w:val="24"/>
                <w:lang w:val="de-DE"/>
              </w:rPr>
            </w:pPr>
            <w:r>
              <w:rPr>
                <w:sz w:val="24"/>
                <w:szCs w:val="24"/>
                <w:lang w:val="de-DE"/>
              </w:rPr>
              <w:t>7,7 Mio. ARE in Deutschland, unabhängig von einem Arztbesuch (37. KW: ca. 5,2 Millionen)</w:t>
            </w:r>
          </w:p>
          <w:p>
            <w:pPr>
              <w:pStyle w:val="Liste2"/>
              <w:numPr>
                <w:ilvl w:val="1"/>
                <w:numId w:val="7"/>
              </w:numPr>
              <w:rPr>
                <w:lang w:val="de-DE"/>
              </w:rPr>
            </w:pPr>
            <w:r>
              <w:rPr>
                <w:lang w:val="de-DE"/>
              </w:rPr>
              <w:t>Anstieg in allen AG, allem voran Kinder und junge Erwachsene</w:t>
            </w:r>
          </w:p>
          <w:p>
            <w:pPr>
              <w:pStyle w:val="Liste2"/>
              <w:numPr>
                <w:ilvl w:val="0"/>
                <w:numId w:val="0"/>
              </w:numPr>
              <w:ind w:left="1553"/>
              <w:rPr>
                <w:lang w:val="de-DE"/>
              </w:rPr>
            </w:pPr>
          </w:p>
          <w:p>
            <w:pPr>
              <w:pStyle w:val="Liste2"/>
              <w:rPr>
                <w:lang w:val="de-DE"/>
              </w:rPr>
            </w:pPr>
            <w:r>
              <w:rPr>
                <w:lang w:val="de-DE"/>
              </w:rPr>
              <w:t xml:space="preserve">Arztkonsultation: Insgesamt gestiegen </w:t>
            </w:r>
          </w:p>
          <w:p>
            <w:pPr>
              <w:pStyle w:val="Liste2"/>
              <w:numPr>
                <w:ilvl w:val="0"/>
                <w:numId w:val="8"/>
              </w:numPr>
              <w:rPr>
                <w:lang w:val="de-DE"/>
              </w:rPr>
            </w:pPr>
            <w:r>
              <w:rPr>
                <w:lang w:val="de-DE"/>
              </w:rPr>
              <w:t>Im Vergleich zur 37. KW 2022: Insgesamt gestiegen</w:t>
            </w:r>
          </w:p>
          <w:p>
            <w:pPr>
              <w:pStyle w:val="Liste2"/>
              <w:numPr>
                <w:ilvl w:val="0"/>
                <w:numId w:val="8"/>
              </w:numPr>
              <w:rPr>
                <w:lang w:val="de-DE"/>
              </w:rPr>
            </w:pPr>
            <w:r>
              <w:rPr>
                <w:lang w:val="de-DE"/>
              </w:rPr>
              <w:t xml:space="preserve">ca. 1.400 Arztkonsultationen wegen ARE pro 100.000 EW </w:t>
            </w:r>
          </w:p>
          <w:p>
            <w:pPr>
              <w:pStyle w:val="Liste2"/>
              <w:numPr>
                <w:ilvl w:val="0"/>
                <w:numId w:val="8"/>
              </w:numPr>
              <w:rPr>
                <w:lang w:val="de-DE"/>
              </w:rPr>
            </w:pPr>
            <w:r>
              <w:rPr>
                <w:sz w:val="24"/>
                <w:szCs w:val="24"/>
                <w:lang w:val="de-DE"/>
              </w:rPr>
              <w:t>38. KW 2022: ca. 1,2 Mio. Arztbesuche wegen ARE in Deutschland</w:t>
            </w:r>
          </w:p>
          <w:p>
            <w:pPr>
              <w:pStyle w:val="Liste2"/>
              <w:numPr>
                <w:ilvl w:val="0"/>
                <w:numId w:val="8"/>
              </w:numPr>
              <w:rPr>
                <w:lang w:val="de-DE"/>
              </w:rPr>
            </w:pPr>
            <w:r>
              <w:rPr>
                <w:lang w:val="de-DE"/>
              </w:rPr>
              <w:t>in KW  38: 1.401; KW 37 insgesamt mit 1.170 (Vorwochenwert liegt bei ca. 1.071)</w:t>
            </w:r>
          </w:p>
          <w:p>
            <w:pPr>
              <w:pStyle w:val="Liste2"/>
              <w:numPr>
                <w:ilvl w:val="0"/>
                <w:numId w:val="8"/>
              </w:numPr>
              <w:rPr>
                <w:lang w:val="de-DE"/>
              </w:rPr>
            </w:pPr>
            <w:r>
              <w:rPr>
                <w:lang w:val="de-DE"/>
              </w:rPr>
              <w:t xml:space="preserve">Anstieg Anfang Herbst und Ende der Sommerferien zu erwarten, aber schon sehr deutlich, erhöhte ARE-Rate durch die Zunahme der SARS-CoV-2 Infektionen? </w:t>
            </w:r>
          </w:p>
          <w:p>
            <w:pPr>
              <w:pStyle w:val="Liste2"/>
              <w:numPr>
                <w:ilvl w:val="0"/>
                <w:numId w:val="8"/>
              </w:numPr>
              <w:rPr>
                <w:lang w:val="de-DE"/>
              </w:rPr>
            </w:pPr>
            <w:r>
              <w:rPr>
                <w:lang w:val="de-DE"/>
              </w:rPr>
              <w:t xml:space="preserve">Insgesamt über dem Bereich der Vorjahre zur 38. KW, </w:t>
            </w:r>
          </w:p>
          <w:p>
            <w:pPr>
              <w:pStyle w:val="Liste2"/>
              <w:numPr>
                <w:ilvl w:val="0"/>
                <w:numId w:val="8"/>
              </w:numPr>
              <w:rPr>
                <w:lang w:val="de-DE"/>
              </w:rPr>
            </w:pPr>
            <w:r>
              <w:rPr>
                <w:lang w:val="de-DE"/>
              </w:rPr>
              <w:t xml:space="preserve">Im Vergleich zur Vorwoche: Deutlichster Anstieg bei den 5-14J. (+34 %), </w:t>
            </w:r>
          </w:p>
          <w:p>
            <w:pPr>
              <w:pStyle w:val="Liste2"/>
              <w:numPr>
                <w:ilvl w:val="0"/>
                <w:numId w:val="8"/>
              </w:numPr>
              <w:rPr>
                <w:lang w:val="de-DE"/>
              </w:rPr>
            </w:pPr>
            <w:r>
              <w:rPr>
                <w:lang w:val="de-DE"/>
              </w:rPr>
              <w:t>Keine Sommerferien mehr</w:t>
            </w:r>
          </w:p>
          <w:p>
            <w:pPr>
              <w:pStyle w:val="Liste2"/>
              <w:numPr>
                <w:ilvl w:val="0"/>
                <w:numId w:val="8"/>
              </w:numPr>
              <w:rPr>
                <w:lang w:val="de-DE"/>
              </w:rPr>
            </w:pPr>
            <w:r>
              <w:rPr>
                <w:sz w:val="24"/>
                <w:szCs w:val="24"/>
                <w:lang w:val="de-DE"/>
              </w:rPr>
              <w:t>Wenig gebremstes Transmissionsgeschehen</w:t>
            </w:r>
          </w:p>
          <w:p>
            <w:pPr>
              <w:pStyle w:val="Liste2"/>
              <w:rPr>
                <w:lang w:val="de-DE"/>
              </w:rPr>
            </w:pPr>
            <w:r>
              <w:rPr>
                <w:lang w:val="de-DE"/>
              </w:rPr>
              <w:t>SEED (Are) mit COVID-19 Konsultationen bis zur 38. KW</w:t>
            </w:r>
          </w:p>
          <w:p>
            <w:pPr>
              <w:pStyle w:val="Liste2"/>
              <w:numPr>
                <w:ilvl w:val="1"/>
                <w:numId w:val="7"/>
              </w:numPr>
              <w:rPr>
                <w:lang w:val="de-DE"/>
              </w:rPr>
            </w:pPr>
            <w:r>
              <w:rPr>
                <w:lang w:val="de-DE"/>
              </w:rPr>
              <w:t>In KW 38 ist die Anzahl der Arztkonsultationen wegen COVID-ARE bei den 15-bis 34-Jährigen und 60- bis 79-Jährigen gestiegen, in den anderen Altersgruppen sind die Werte stabil geblieben bzw. leicht gesunken</w:t>
            </w:r>
          </w:p>
          <w:p>
            <w:pPr>
              <w:pStyle w:val="Liste2"/>
              <w:rPr>
                <w:lang w:val="de-DE"/>
              </w:rPr>
            </w:pPr>
            <w:r>
              <w:rPr>
                <w:lang w:val="de-DE"/>
              </w:rPr>
              <w:t>SARI-Fallzahlen sind in der 37. KW 2022 insgesamt stabil geblieben, auf dem üblichen Niveau</w:t>
            </w:r>
          </w:p>
          <w:p>
            <w:pPr>
              <w:pStyle w:val="Liste2"/>
              <w:numPr>
                <w:ilvl w:val="1"/>
                <w:numId w:val="7"/>
              </w:numPr>
              <w:rPr>
                <w:lang w:val="de-DE"/>
              </w:rPr>
            </w:pPr>
            <w:r>
              <w:rPr>
                <w:lang w:val="de-DE"/>
              </w:rPr>
              <w:lastRenderedPageBreak/>
              <w:t xml:space="preserve">SARI-Fälle mit Intensivbehandlung stabil im Vergleich zur Vorwoche; aktuell etwas niedriger als in den Vorjahren </w:t>
            </w:r>
          </w:p>
          <w:p>
            <w:pPr>
              <w:pStyle w:val="Liste2"/>
              <w:numPr>
                <w:ilvl w:val="1"/>
                <w:numId w:val="7"/>
              </w:numPr>
              <w:rPr>
                <w:lang w:val="de-DE"/>
              </w:rPr>
            </w:pPr>
            <w:r>
              <w:rPr>
                <w:lang w:val="de-DE"/>
              </w:rPr>
              <w:t xml:space="preserve">Anteil COVID-19 an SARI ist im Vgl. zur Vorwoche in KW 38 leicht angestiegen: 28 % (Vorwoche: 23 %)  </w:t>
            </w:r>
          </w:p>
          <w:p>
            <w:pPr>
              <w:pStyle w:val="Liste2"/>
              <w:numPr>
                <w:ilvl w:val="1"/>
                <w:numId w:val="7"/>
              </w:numPr>
              <w:rPr>
                <w:lang w:val="de-DE"/>
              </w:rPr>
            </w:pPr>
            <w:r>
              <w:rPr>
                <w:lang w:val="de-DE"/>
              </w:rPr>
              <w:t xml:space="preserve">Anteil COVID-19 an SARI </w:t>
            </w:r>
            <w:r>
              <w:rPr>
                <w:bCs/>
                <w:lang w:val="de-DE"/>
              </w:rPr>
              <w:t>mit Intensivbehandlung</w:t>
            </w:r>
            <w:r>
              <w:rPr>
                <w:b/>
                <w:bCs/>
                <w:lang w:val="de-DE"/>
              </w:rPr>
              <w:t xml:space="preserve"> hat sich in den letzten Wochen stabilisiert</w:t>
            </w:r>
            <w:r>
              <w:rPr>
                <w:lang w:val="de-DE"/>
              </w:rPr>
              <w:t xml:space="preserve">: 33 % (Vorwoche: 27 %), </w:t>
            </w:r>
          </w:p>
          <w:p>
            <w:pPr>
              <w:pStyle w:val="Liste2"/>
              <w:numPr>
                <w:ilvl w:val="1"/>
                <w:numId w:val="7"/>
              </w:numPr>
              <w:rPr>
                <w:lang w:val="de-DE"/>
              </w:rPr>
            </w:pPr>
            <w:r>
              <w:rPr>
                <w:lang w:val="de-DE"/>
              </w:rPr>
              <w:t>Anteil Influenza an SARI unter 1%, kein Influenza-Fall unter SARI mit Intensivbehandlung</w:t>
            </w:r>
          </w:p>
          <w:p>
            <w:pPr>
              <w:pStyle w:val="Liste2"/>
              <w:rPr>
                <w:lang w:val="de-DE"/>
              </w:rPr>
            </w:pPr>
            <w:r>
              <w:rPr>
                <w:lang w:val="de-DE"/>
              </w:rPr>
              <w:t>SARI-Fallzahlen: Anstieg der SARI-Fallzahlen in AG 5-14 in KW 38 bisher nicht fortgesetzt</w:t>
            </w:r>
          </w:p>
          <w:p>
            <w:pPr>
              <w:pStyle w:val="Liste2"/>
              <w:numPr>
                <w:ilvl w:val="1"/>
                <w:numId w:val="7"/>
              </w:numPr>
              <w:rPr>
                <w:lang w:val="de-DE"/>
              </w:rPr>
            </w:pPr>
            <w:r>
              <w:rPr>
                <w:lang w:val="de-DE"/>
              </w:rPr>
              <w:t xml:space="preserve">AG </w:t>
            </w:r>
          </w:p>
          <w:p>
            <w:pPr>
              <w:pStyle w:val="Liste2"/>
              <w:rPr>
                <w:lang w:val="de-DE"/>
              </w:rPr>
            </w:pPr>
            <w:r>
              <w:rPr>
                <w:lang w:val="de-DE"/>
              </w:rPr>
              <w:t>Hospitalisierungsinzidenz COVID-SARI:</w:t>
            </w:r>
          </w:p>
          <w:p>
            <w:pPr>
              <w:pStyle w:val="Liste2"/>
              <w:numPr>
                <w:ilvl w:val="1"/>
                <w:numId w:val="7"/>
              </w:numPr>
              <w:rPr>
                <w:lang w:val="de-DE"/>
              </w:rPr>
            </w:pPr>
            <w:r>
              <w:rPr>
                <w:lang w:val="de-DE"/>
              </w:rPr>
              <w:t xml:space="preserve">insgesamt seit einigen Wochen Stabilisierung, in KW 37/2022: 3,1 je 100T </w:t>
            </w:r>
          </w:p>
          <w:p>
            <w:pPr>
              <w:pStyle w:val="Liste2"/>
              <w:numPr>
                <w:ilvl w:val="1"/>
                <w:numId w:val="7"/>
              </w:numPr>
              <w:rPr>
                <w:lang w:val="de-DE"/>
              </w:rPr>
            </w:pPr>
            <w:r>
              <w:rPr>
                <w:sz w:val="24"/>
                <w:szCs w:val="24"/>
                <w:lang w:val="de-DE"/>
              </w:rPr>
              <w:t>AG 80+ in KW 38/2022: 24 je 100T</w:t>
            </w:r>
          </w:p>
          <w:p>
            <w:pPr>
              <w:pStyle w:val="Liste2"/>
              <w:numPr>
                <w:ilvl w:val="0"/>
                <w:numId w:val="0"/>
              </w:numPr>
              <w:ind w:left="1553"/>
              <w:rPr>
                <w:lang w:val="de-DE"/>
              </w:rPr>
            </w:pPr>
            <w:r>
              <w:rPr>
                <w:lang w:val="de-DE"/>
              </w:rPr>
              <w:t xml:space="preserve"> </w:t>
            </w:r>
          </w:p>
          <w:p>
            <w:pPr>
              <w:pStyle w:val="Liste2"/>
              <w:numPr>
                <w:ilvl w:val="0"/>
                <w:numId w:val="0"/>
              </w:numPr>
              <w:ind w:left="833"/>
              <w:rPr>
                <w:rStyle w:val="TagMiZchn"/>
                <w:b w:val="0"/>
                <w:i w:val="0"/>
                <w:lang w:val="de-DE"/>
              </w:rPr>
            </w:pPr>
            <w:r>
              <w:rPr>
                <w:b/>
                <w:lang w:val="de-DE"/>
              </w:rPr>
              <w:t xml:space="preserve">Virologische Surveillance, NRZ Influenza-Daten </w:t>
            </w:r>
          </w:p>
          <w:p>
            <w:pPr>
              <w:pStyle w:val="Liste2"/>
              <w:numPr>
                <w:ilvl w:val="1"/>
                <w:numId w:val="7"/>
              </w:numPr>
              <w:rPr>
                <w:lang w:val="de-DE"/>
              </w:rPr>
            </w:pPr>
            <w:r>
              <w:rPr>
                <w:lang w:val="de-DE"/>
              </w:rPr>
              <w:t>Anstieg der Nachweise von SARS-CoV-2 auf 15%</w:t>
            </w:r>
          </w:p>
          <w:p>
            <w:pPr>
              <w:pStyle w:val="Liste2"/>
              <w:numPr>
                <w:ilvl w:val="1"/>
                <w:numId w:val="7"/>
              </w:numPr>
              <w:rPr>
                <w:lang w:val="de-DE"/>
              </w:rPr>
            </w:pPr>
            <w:r>
              <w:rPr>
                <w:lang w:val="de-DE"/>
              </w:rPr>
              <w:t xml:space="preserve">Keine Nachweise anderer Coronaviren </w:t>
            </w:r>
          </w:p>
          <w:p>
            <w:pPr>
              <w:pStyle w:val="Liste2"/>
              <w:numPr>
                <w:ilvl w:val="1"/>
                <w:numId w:val="7"/>
              </w:numPr>
              <w:rPr>
                <w:lang w:val="de-DE"/>
              </w:rPr>
            </w:pPr>
            <w:r>
              <w:rPr>
                <w:lang w:val="de-DE"/>
              </w:rPr>
              <w:t>Influenzaviren: H1N1 etabliert sich</w:t>
            </w:r>
          </w:p>
          <w:p>
            <w:pPr>
              <w:pStyle w:val="Liste2"/>
              <w:numPr>
                <w:ilvl w:val="1"/>
                <w:numId w:val="7"/>
              </w:numPr>
              <w:rPr>
                <w:lang w:val="de-DE"/>
              </w:rPr>
            </w:pPr>
            <w:r>
              <w:rPr>
                <w:lang w:val="de-DE"/>
              </w:rPr>
              <w:t>Sonstige Atemwegsviren: HRV bei 30%, PIV rückläufig bei 9%, RSV+HMPV nicht relevant</w:t>
            </w:r>
          </w:p>
          <w:p>
            <w:pPr>
              <w:pStyle w:val="Liste2"/>
              <w:numPr>
                <w:ilvl w:val="0"/>
                <w:numId w:val="0"/>
              </w:numPr>
              <w:ind w:left="2273"/>
              <w:rPr>
                <w:lang w:val="de-DE"/>
              </w:rPr>
            </w:pPr>
          </w:p>
          <w:p>
            <w:pPr>
              <w:pStyle w:val="Liste2"/>
              <w:numPr>
                <w:ilvl w:val="0"/>
                <w:numId w:val="0"/>
              </w:numPr>
              <w:ind w:left="833"/>
            </w:pPr>
            <w:proofErr w:type="spellStart"/>
            <w:r>
              <w:rPr>
                <w:b/>
              </w:rPr>
              <w:t>Molekulare</w:t>
            </w:r>
            <w:proofErr w:type="spellEnd"/>
            <w:r>
              <w:rPr>
                <w:b/>
              </w:rPr>
              <w:t xml:space="preserve"> Surveillance</w:t>
            </w:r>
            <w:r>
              <w:t xml:space="preserve"> </w:t>
            </w:r>
          </w:p>
          <w:p>
            <w:pPr>
              <w:pStyle w:val="Liste2"/>
              <w:numPr>
                <w:ilvl w:val="1"/>
                <w:numId w:val="7"/>
              </w:numPr>
              <w:rPr>
                <w:lang w:val="de-DE"/>
              </w:rPr>
            </w:pPr>
            <w:r>
              <w:rPr>
                <w:lang w:val="de-DE"/>
              </w:rPr>
              <w:t xml:space="preserve">Ca. 4000 Sequenzen; Einsendungszahl ist stabil </w:t>
            </w:r>
          </w:p>
          <w:p>
            <w:pPr>
              <w:pStyle w:val="Liste2"/>
              <w:numPr>
                <w:ilvl w:val="1"/>
                <w:numId w:val="7"/>
              </w:numPr>
              <w:rPr>
                <w:lang w:val="de-DE"/>
              </w:rPr>
            </w:pPr>
            <w:r>
              <w:rPr>
                <w:lang w:val="de-DE"/>
              </w:rPr>
              <w:t>Anteil der Stichprobe bei 1,4%</w:t>
            </w:r>
          </w:p>
          <w:p>
            <w:pPr>
              <w:pStyle w:val="Liste2"/>
              <w:numPr>
                <w:ilvl w:val="1"/>
                <w:numId w:val="7"/>
              </w:numPr>
              <w:rPr>
                <w:lang w:val="de-DE"/>
              </w:rPr>
            </w:pPr>
            <w:r>
              <w:rPr>
                <w:lang w:val="de-DE"/>
              </w:rPr>
              <w:t xml:space="preserve">Dominanz durch BA.5 mit 96% (leicht rückläufig) BA.4 Plateau bei 3%  </w:t>
            </w:r>
          </w:p>
          <w:p>
            <w:pPr>
              <w:pStyle w:val="Liste2"/>
              <w:numPr>
                <w:ilvl w:val="1"/>
                <w:numId w:val="7"/>
              </w:numPr>
              <w:rPr>
                <w:lang w:val="de-DE"/>
              </w:rPr>
            </w:pPr>
            <w:r>
              <w:rPr>
                <w:lang w:val="de-DE"/>
              </w:rPr>
              <w:t>Unter Omikron-Sublinien BA.5.1 (20%), BA.5.2 (26%) und BA.5.2.1 (14%) dominierend</w:t>
            </w:r>
          </w:p>
          <w:p>
            <w:pPr>
              <w:pStyle w:val="Liste2"/>
              <w:numPr>
                <w:ilvl w:val="1"/>
                <w:numId w:val="7"/>
              </w:numPr>
              <w:rPr>
                <w:lang w:val="de-DE"/>
              </w:rPr>
            </w:pPr>
            <w:r>
              <w:rPr>
                <w:lang w:val="de-DE"/>
              </w:rPr>
              <w:t xml:space="preserve">BA.2 (1%) insgesamt zunehmend, langsame Entwicklung </w:t>
            </w:r>
          </w:p>
          <w:p>
            <w:pPr>
              <w:pStyle w:val="Liste2"/>
              <w:numPr>
                <w:ilvl w:val="1"/>
                <w:numId w:val="7"/>
              </w:numPr>
              <w:rPr>
                <w:lang w:val="de-DE"/>
              </w:rPr>
            </w:pPr>
            <w:r>
              <w:rPr>
                <w:lang w:val="de-DE"/>
              </w:rPr>
              <w:t>Mutation R346Xmit stabilen Bild</w:t>
            </w:r>
          </w:p>
          <w:p>
            <w:pPr>
              <w:pStyle w:val="Liste2"/>
              <w:numPr>
                <w:ilvl w:val="1"/>
                <w:numId w:val="7"/>
              </w:numPr>
              <w:rPr>
                <w:lang w:val="de-DE"/>
              </w:rPr>
            </w:pPr>
            <w:r>
              <w:rPr>
                <w:lang w:val="de-DE"/>
              </w:rPr>
              <w:t>Delta gar nicht mehr vorhanden, 100% Omikron</w:t>
            </w:r>
          </w:p>
          <w:p>
            <w:pPr>
              <w:pStyle w:val="Liste2"/>
              <w:numPr>
                <w:ilvl w:val="0"/>
                <w:numId w:val="0"/>
              </w:numPr>
              <w:ind w:left="1553"/>
              <w:rPr>
                <w:lang w:val="de-DE"/>
              </w:rPr>
            </w:pPr>
          </w:p>
          <w:p>
            <w:pPr>
              <w:pStyle w:val="Liste2"/>
              <w:numPr>
                <w:ilvl w:val="0"/>
                <w:numId w:val="0"/>
              </w:numPr>
              <w:rPr>
                <w:i/>
                <w:lang w:val="de-DE"/>
              </w:rPr>
            </w:pPr>
            <w:r>
              <w:rPr>
                <w:i/>
                <w:lang w:val="de-DE"/>
              </w:rPr>
              <w:t>Diskussion</w:t>
            </w:r>
          </w:p>
          <w:p>
            <w:pPr>
              <w:pStyle w:val="Liste2"/>
              <w:numPr>
                <w:ilvl w:val="1"/>
                <w:numId w:val="7"/>
              </w:numPr>
              <w:rPr>
                <w:lang w:val="de-DE"/>
              </w:rPr>
            </w:pPr>
            <w:r>
              <w:rPr>
                <w:lang w:val="de-DE"/>
              </w:rPr>
              <w:t>Sind Änderungen für den Wochenbericht notwendig</w:t>
            </w:r>
          </w:p>
          <w:p>
            <w:pPr>
              <w:pStyle w:val="Liste2"/>
              <w:numPr>
                <w:ilvl w:val="1"/>
                <w:numId w:val="7"/>
              </w:numPr>
              <w:rPr>
                <w:lang w:val="de-DE"/>
              </w:rPr>
            </w:pPr>
            <w:r>
              <w:rPr>
                <w:lang w:val="de-DE"/>
              </w:rPr>
              <w:t>Hinweis: Seit 17.09. sind die elektronischen Meldungen der Hospitalisierungen für die KH verpflichtend. Bisher über 1.000 KH an DEMIS angebunden. Verdacht, dass dadurch viel mehr Hospitalisierungsmeldungen als bisher an die GÄ erfolgen, die davor nicht erfolgt wären.  Hospitalisierungsinzidenzen daher mit Vorsicht zu genießen.</w:t>
            </w:r>
          </w:p>
          <w:p>
            <w:pPr>
              <w:pStyle w:val="Liste2"/>
              <w:numPr>
                <w:ilvl w:val="0"/>
                <w:numId w:val="0"/>
              </w:numPr>
              <w:ind w:left="833" w:hanging="360"/>
              <w:rPr>
                <w:lang w:val="de-DE"/>
              </w:rPr>
            </w:pPr>
          </w:p>
          <w:p>
            <w:pPr>
              <w:pStyle w:val="Liste2"/>
              <w:numPr>
                <w:ilvl w:val="0"/>
                <w:numId w:val="0"/>
              </w:numPr>
              <w:ind w:left="833" w:hanging="360"/>
              <w:rPr>
                <w:lang w:val="de-DE"/>
              </w:rPr>
            </w:pPr>
          </w:p>
          <w:p>
            <w:pPr>
              <w:pStyle w:val="Liste2"/>
              <w:numPr>
                <w:ilvl w:val="0"/>
                <w:numId w:val="0"/>
              </w:numPr>
              <w:ind w:left="833" w:hanging="360"/>
              <w:rPr>
                <w:lang w:val="de-DE"/>
              </w:rPr>
            </w:pPr>
          </w:p>
          <w:p>
            <w:pPr>
              <w:pStyle w:val="Liste2"/>
              <w:numPr>
                <w:ilvl w:val="0"/>
                <w:numId w:val="0"/>
              </w:numPr>
              <w:ind w:left="360" w:hanging="360"/>
              <w:rPr>
                <w:lang w:val="de-DE"/>
              </w:rPr>
            </w:pPr>
          </w:p>
        </w:tc>
        <w:tc>
          <w:tcPr>
            <w:tcW w:w="1463" w:type="dxa"/>
          </w:tcPr>
          <w:p>
            <w:pPr>
              <w:rPr>
                <w:i/>
                <w:sz w:val="22"/>
                <w:szCs w:val="22"/>
              </w:rPr>
            </w:pPr>
          </w:p>
          <w:p>
            <w:pPr>
              <w:rPr>
                <w:i/>
                <w:sz w:val="22"/>
                <w:szCs w:val="22"/>
              </w:rPr>
            </w:pPr>
          </w:p>
          <w:p>
            <w:pPr>
              <w:rPr>
                <w:i/>
                <w:sz w:val="22"/>
                <w:szCs w:val="22"/>
                <w:lang w:val="en-US"/>
              </w:rPr>
            </w:pPr>
            <w:r>
              <w:rPr>
                <w:i/>
                <w:sz w:val="22"/>
                <w:szCs w:val="22"/>
                <w:lang w:val="en-US"/>
              </w:rPr>
              <w:t xml:space="preserve">ZIG1 </w:t>
            </w:r>
          </w:p>
          <w:p>
            <w:pPr>
              <w:rPr>
                <w:i/>
                <w:sz w:val="22"/>
                <w:szCs w:val="22"/>
                <w:lang w:val="en-US"/>
              </w:rPr>
            </w:pPr>
            <w:r>
              <w:rPr>
                <w:i/>
                <w:sz w:val="22"/>
                <w:szCs w:val="22"/>
                <w:lang w:val="en-US"/>
              </w:rPr>
              <w:t>(</w:t>
            </w:r>
            <w:proofErr w:type="spellStart"/>
            <w:r>
              <w:rPr>
                <w:rStyle w:val="highlight"/>
                <w:i/>
                <w:sz w:val="22"/>
                <w:szCs w:val="22"/>
                <w:lang w:val="en-US"/>
              </w:rPr>
              <w:t>Gillesberg</w:t>
            </w:r>
            <w:proofErr w:type="spellEnd"/>
            <w:r>
              <w:rPr>
                <w:rStyle w:val="highlight"/>
                <w:i/>
                <w:sz w:val="22"/>
                <w:szCs w:val="22"/>
                <w:lang w:val="en-US"/>
              </w:rPr>
              <w:t>-Raiser</w:t>
            </w:r>
            <w:r>
              <w:rPr>
                <w:i/>
                <w:sz w:val="22"/>
                <w:szCs w:val="22"/>
                <w:lang w:val="en-US"/>
              </w:rPr>
              <w:t>)</w:t>
            </w:r>
            <w:r>
              <w:rPr>
                <w:i/>
                <w:sz w:val="22"/>
                <w:szCs w:val="22"/>
                <w:lang w:val="en-US"/>
              </w:rPr>
              <w:br/>
            </w: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r>
              <w:rPr>
                <w:i/>
                <w:sz w:val="22"/>
                <w:szCs w:val="22"/>
                <w:lang w:val="en-US"/>
              </w:rPr>
              <w:t xml:space="preserve">FG32 </w:t>
            </w:r>
          </w:p>
          <w:p>
            <w:pPr>
              <w:rPr>
                <w:i/>
                <w:sz w:val="22"/>
                <w:szCs w:val="22"/>
                <w:lang w:val="en-US"/>
              </w:rPr>
            </w:pPr>
            <w:r>
              <w:rPr>
                <w:i/>
                <w:sz w:val="22"/>
                <w:szCs w:val="22"/>
                <w:lang w:val="en-US"/>
              </w:rPr>
              <w:t>(Sievers)</w:t>
            </w:r>
            <w:r>
              <w:rPr>
                <w:i/>
                <w:sz w:val="22"/>
                <w:szCs w:val="22"/>
                <w:lang w:val="en-US"/>
              </w:rPr>
              <w:br/>
            </w: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bookmarkStart w:id="1" w:name="_GoBack"/>
            <w:bookmarkEnd w:id="1"/>
            <w:r>
              <w:rPr>
                <w:i/>
                <w:sz w:val="22"/>
                <w:szCs w:val="22"/>
                <w:lang w:val="en-US"/>
              </w:rPr>
              <w:t>MF4</w:t>
            </w:r>
          </w:p>
          <w:p>
            <w:pPr>
              <w:rPr>
                <w:i/>
                <w:sz w:val="22"/>
                <w:szCs w:val="22"/>
                <w:lang w:val="en-US"/>
              </w:rPr>
            </w:pPr>
            <w:r>
              <w:rPr>
                <w:i/>
                <w:sz w:val="22"/>
                <w:szCs w:val="22"/>
                <w:lang w:val="en-US"/>
              </w:rPr>
              <w:t>(Esins)</w:t>
            </w: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r>
              <w:rPr>
                <w:i/>
                <w:sz w:val="22"/>
                <w:szCs w:val="22"/>
                <w:lang w:val="en-US"/>
              </w:rPr>
              <w:t>FG36</w:t>
            </w:r>
          </w:p>
          <w:p>
            <w:pPr>
              <w:rPr>
                <w:i/>
                <w:sz w:val="22"/>
                <w:szCs w:val="22"/>
                <w:lang w:val="en-US"/>
              </w:rPr>
            </w:pPr>
            <w:r>
              <w:rPr>
                <w:i/>
                <w:sz w:val="22"/>
                <w:szCs w:val="22"/>
                <w:lang w:val="en-US"/>
              </w:rPr>
              <w:t>(Buda)</w:t>
            </w: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rPr>
            </w:pPr>
          </w:p>
          <w:p>
            <w:pPr>
              <w:rPr>
                <w:i/>
                <w:sz w:val="22"/>
                <w:szCs w:val="22"/>
              </w:rPr>
            </w:pPr>
            <w:r>
              <w:rPr>
                <w:i/>
                <w:sz w:val="22"/>
                <w:szCs w:val="22"/>
              </w:rPr>
              <w:t>FG17</w:t>
            </w:r>
          </w:p>
          <w:p>
            <w:pPr>
              <w:rPr>
                <w:i/>
                <w:sz w:val="22"/>
                <w:szCs w:val="22"/>
              </w:rPr>
            </w:pPr>
            <w:r>
              <w:rPr>
                <w:i/>
                <w:sz w:val="22"/>
                <w:szCs w:val="22"/>
              </w:rPr>
              <w:t>(Biere)</w:t>
            </w: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tc>
      </w:tr>
      <w:tr>
        <w:tc>
          <w:tcPr>
            <w:tcW w:w="684" w:type="dxa"/>
          </w:tcPr>
          <w:p>
            <w:pPr>
              <w:rPr>
                <w:b/>
              </w:rPr>
            </w:pPr>
            <w:r>
              <w:rPr>
                <w:b/>
              </w:rPr>
              <w:lastRenderedPageBreak/>
              <w:t>2</w:t>
            </w:r>
          </w:p>
        </w:tc>
        <w:tc>
          <w:tcPr>
            <w:tcW w:w="6824" w:type="dxa"/>
          </w:tcPr>
          <w:p>
            <w:pPr>
              <w:rPr>
                <w:b/>
              </w:rPr>
            </w:pPr>
            <w:r>
              <w:rPr>
                <w:b/>
              </w:rPr>
              <w:t>Wichtige Punkte für den Wochenbericht</w:t>
            </w:r>
          </w:p>
          <w:p>
            <w:pPr>
              <w:rPr>
                <w:b/>
              </w:rPr>
            </w:pPr>
          </w:p>
          <w:p>
            <w:pPr>
              <w:pStyle w:val="Listenabsatz"/>
              <w:numPr>
                <w:ilvl w:val="0"/>
                <w:numId w:val="10"/>
              </w:numPr>
            </w:pPr>
            <w:r>
              <w:lastRenderedPageBreak/>
              <w:t>Eindeutige Anzeichen, dass die Inzidenz zunimmt. Die meisten Infektionsfälle in der mittleren Altersgruppe. Die Zahl der schweren Atemwegserkrankungen auf konstant niedrigem Niveau. Insgesamt: Viele Infektionen, wenige schwere Erkrankungen.</w:t>
            </w:r>
          </w:p>
          <w:p>
            <w:pPr>
              <w:pStyle w:val="Listenabsatz"/>
              <w:numPr>
                <w:ilvl w:val="1"/>
                <w:numId w:val="10"/>
              </w:numPr>
            </w:pPr>
            <w:r>
              <w:t xml:space="preserve">Akute Atemwegserkrankungen werden saisonal (v.a. bei Kindern) ansteigen. Ungebremste Transmission von Atemwegserregern (v.a. </w:t>
            </w:r>
            <w:proofErr w:type="spellStart"/>
            <w:r>
              <w:t>Rhinoviren</w:t>
            </w:r>
            <w:proofErr w:type="spellEnd"/>
            <w:r>
              <w:t xml:space="preserve">) in der Bevölkerung ist möglich. Vorschlag allgemeine Situation von akuten Atemwegsinfektionen im Herbst zu thematisieren – nicht nur ausschließlich Fokus auf SARS CoV-2 </w:t>
            </w:r>
          </w:p>
          <w:p>
            <w:pPr>
              <w:pStyle w:val="Listenabsatz"/>
              <w:numPr>
                <w:ilvl w:val="1"/>
                <w:numId w:val="10"/>
              </w:numPr>
            </w:pPr>
            <w:r>
              <w:t>Darstellung, dass viele Infektionsfälle nicht gleichbedeutend mit vielen schweren Verläufen sind</w:t>
            </w:r>
          </w:p>
          <w:p>
            <w:pPr>
              <w:pStyle w:val="Listenabsatz"/>
              <w:numPr>
                <w:ilvl w:val="1"/>
                <w:numId w:val="10"/>
              </w:numPr>
            </w:pPr>
            <w:r>
              <w:t>Anstieg der akuten Atemwegserkrankungen als Aufhänger für Infektionsdruck bzgl. COVID nutzen</w:t>
            </w:r>
          </w:p>
          <w:p>
            <w:pPr>
              <w:pStyle w:val="Listenabsatz"/>
              <w:numPr>
                <w:ilvl w:val="0"/>
                <w:numId w:val="10"/>
              </w:numPr>
            </w:pPr>
            <w:r>
              <w:t xml:space="preserve">Wie ist der Stand bei der Formulierung „An/mit </w:t>
            </w:r>
            <w:proofErr w:type="spellStart"/>
            <w:r>
              <w:t>Covid</w:t>
            </w:r>
            <w:proofErr w:type="spellEnd"/>
            <w:r>
              <w:t xml:space="preserve"> verstorben“?</w:t>
            </w:r>
          </w:p>
          <w:p>
            <w:pPr>
              <w:pStyle w:val="Listenabsatz"/>
              <w:numPr>
                <w:ilvl w:val="1"/>
                <w:numId w:val="10"/>
              </w:numPr>
            </w:pPr>
            <w:r>
              <w:t>Wording diesbezüglich wird heute an das BMG geschickt. Umsetzung ab nächster Woche mit Umstellung des Pandemieradar.</w:t>
            </w:r>
          </w:p>
          <w:p>
            <w:pPr>
              <w:pStyle w:val="Listenabsatz"/>
              <w:numPr>
                <w:ilvl w:val="0"/>
                <w:numId w:val="10"/>
              </w:numPr>
            </w:pPr>
            <w:r>
              <w:t>Pandemieradar: Herr Wieler benötigt klare Infos für die BPK</w:t>
            </w:r>
          </w:p>
          <w:p>
            <w:pPr>
              <w:pStyle w:val="Listenabsatz"/>
              <w:numPr>
                <w:ilvl w:val="1"/>
                <w:numId w:val="10"/>
              </w:numPr>
            </w:pPr>
            <w:r>
              <w:t xml:space="preserve">Jakob Schumacher stellt Pandemieradar Screenshot zur Verfügung </w:t>
            </w:r>
            <w:hyperlink r:id="rId15" w:history="1">
              <w:r>
                <w:rPr>
                  <w:rStyle w:val="Hyperlink"/>
                </w:rPr>
                <w:t>h</w:t>
              </w:r>
              <w:r>
                <w:rPr>
                  <w:rStyle w:val="Hyperlink"/>
                </w:rPr>
                <w:t>i</w:t>
              </w:r>
              <w:r>
                <w:rPr>
                  <w:rStyle w:val="Hyperlink"/>
                </w:rPr>
                <w:t>er</w:t>
              </w:r>
            </w:hyperlink>
          </w:p>
          <w:p>
            <w:pPr>
              <w:pStyle w:val="Listenabsatz"/>
              <w:numPr>
                <w:ilvl w:val="1"/>
                <w:numId w:val="10"/>
              </w:numPr>
            </w:pPr>
            <w:r>
              <w:t xml:space="preserve">Daten bezüglich </w:t>
            </w:r>
            <w:proofErr w:type="spellStart"/>
            <w:r>
              <w:t>Abwassersurveillance</w:t>
            </w:r>
            <w:proofErr w:type="spellEnd"/>
            <w:r>
              <w:t xml:space="preserve"> stehen noch aus</w:t>
            </w:r>
          </w:p>
          <w:p>
            <w:pPr>
              <w:pStyle w:val="Listenabsatz"/>
              <w:numPr>
                <w:ilvl w:val="1"/>
                <w:numId w:val="10"/>
              </w:numPr>
            </w:pPr>
            <w:r>
              <w:t>Herr Wieler sollte dieselben Infos haben wie BMG. RKI sollte sich zum Thema in der BPK nur auf Nachfrage äußern.</w:t>
            </w:r>
          </w:p>
          <w:p>
            <w:pPr>
              <w:pStyle w:val="Listenabsatz"/>
              <w:numPr>
                <w:ilvl w:val="1"/>
                <w:numId w:val="10"/>
              </w:numPr>
            </w:pPr>
            <w:r>
              <w:t>Es sollte im Pandemieradar in einem Hinweis erwähnt werden, dass die nächste Aktualisierung erst wieder am Dienstag stattfindet</w:t>
            </w:r>
          </w:p>
          <w:p>
            <w:pPr>
              <w:spacing w:line="276" w:lineRule="auto"/>
              <w:rPr>
                <w:rStyle w:val="1Zchn"/>
              </w:rPr>
            </w:pPr>
          </w:p>
        </w:tc>
        <w:tc>
          <w:tcPr>
            <w:tcW w:w="1463" w:type="dxa"/>
          </w:tcPr>
          <w:p>
            <w:pPr>
              <w:rPr>
                <w:sz w:val="22"/>
                <w:szCs w:val="22"/>
              </w:rPr>
            </w:pPr>
          </w:p>
          <w:p>
            <w:pPr>
              <w:rPr>
                <w:sz w:val="22"/>
                <w:szCs w:val="22"/>
              </w:rPr>
            </w:pPr>
            <w:r>
              <w:rPr>
                <w:sz w:val="22"/>
                <w:szCs w:val="22"/>
              </w:rPr>
              <w:t>Alle</w:t>
            </w:r>
          </w:p>
        </w:tc>
      </w:tr>
      <w:tr>
        <w:tc>
          <w:tcPr>
            <w:tcW w:w="684" w:type="dxa"/>
          </w:tcPr>
          <w:p>
            <w:pPr>
              <w:rPr>
                <w:b/>
              </w:rPr>
            </w:pPr>
            <w:r>
              <w:rPr>
                <w:b/>
              </w:rPr>
              <w:t>3</w:t>
            </w:r>
          </w:p>
        </w:tc>
        <w:tc>
          <w:tcPr>
            <w:tcW w:w="6824" w:type="dxa"/>
          </w:tcPr>
          <w:p>
            <w:pPr>
              <w:spacing w:line="276" w:lineRule="auto"/>
              <w:rPr>
                <w:rStyle w:val="TagFrZchn"/>
              </w:rPr>
            </w:pPr>
            <w:r>
              <w:rPr>
                <w:rStyle w:val="1Zchn"/>
              </w:rPr>
              <w:t>Update Impfen</w:t>
            </w:r>
            <w:r>
              <w:rPr>
                <w:b/>
                <w:sz w:val="28"/>
              </w:rPr>
              <w:t xml:space="preserve"> </w:t>
            </w:r>
          </w:p>
          <w:p>
            <w:pPr>
              <w:pStyle w:val="Liste1"/>
            </w:pPr>
            <w:r>
              <w:t xml:space="preserve">STIKO hat sich mehrfach getroffen. Stellungnahme zur Aktualisierung der Impfempfehlungen zu </w:t>
            </w:r>
            <w:proofErr w:type="spellStart"/>
            <w:r>
              <w:t>Valneva</w:t>
            </w:r>
            <w:proofErr w:type="spellEnd"/>
            <w:r>
              <w:t xml:space="preserve"> und Omikron-angepassten </w:t>
            </w:r>
            <w:proofErr w:type="spellStart"/>
            <w:r>
              <w:t>mRNA</w:t>
            </w:r>
            <w:proofErr w:type="spellEnd"/>
            <w:r>
              <w:t>-Impfstoffe. Finalisierung der 22. STIKO-Aktualisierung voraussichtlich nächste Woche.</w:t>
            </w:r>
          </w:p>
          <w:p>
            <w:pPr>
              <w:pStyle w:val="Liste1"/>
            </w:pPr>
            <w:r>
              <w:t>Publikation des nächsten Monatsbericht zum COVID-19 Impfgeschehen am Donnerstag: Analysen zur Wirksamkeit der Impfungen u.a.</w:t>
            </w:r>
          </w:p>
          <w:p>
            <w:pPr>
              <w:pStyle w:val="Liste1"/>
              <w:numPr>
                <w:ilvl w:val="0"/>
                <w:numId w:val="0"/>
              </w:numPr>
              <w:ind w:left="473"/>
              <w:rPr>
                <w:rStyle w:val="1Zchn"/>
                <w:b w:val="0"/>
                <w:sz w:val="22"/>
              </w:rPr>
            </w:pPr>
          </w:p>
        </w:tc>
        <w:tc>
          <w:tcPr>
            <w:tcW w:w="1463" w:type="dxa"/>
          </w:tcPr>
          <w:p>
            <w:pPr>
              <w:rPr>
                <w:sz w:val="22"/>
                <w:szCs w:val="22"/>
              </w:rPr>
            </w:pPr>
            <w:r>
              <w:rPr>
                <w:sz w:val="22"/>
                <w:szCs w:val="22"/>
              </w:rPr>
              <w:t>FG 33</w:t>
            </w:r>
          </w:p>
          <w:p>
            <w:pPr>
              <w:rPr>
                <w:sz w:val="22"/>
                <w:szCs w:val="22"/>
              </w:rPr>
            </w:pPr>
            <w:r>
              <w:rPr>
                <w:sz w:val="22"/>
                <w:szCs w:val="22"/>
              </w:rPr>
              <w:t>(Wichmann)</w:t>
            </w:r>
          </w:p>
        </w:tc>
      </w:tr>
      <w:tr>
        <w:tc>
          <w:tcPr>
            <w:tcW w:w="684" w:type="dxa"/>
          </w:tcPr>
          <w:p>
            <w:pPr>
              <w:rPr>
                <w:b/>
              </w:rPr>
            </w:pPr>
            <w:r>
              <w:rPr>
                <w:b/>
              </w:rPr>
              <w:t>4</w:t>
            </w:r>
          </w:p>
        </w:tc>
        <w:tc>
          <w:tcPr>
            <w:tcW w:w="6824" w:type="dxa"/>
          </w:tcPr>
          <w:p>
            <w:pPr>
              <w:spacing w:line="276" w:lineRule="auto"/>
              <w:rPr>
                <w:rStyle w:val="TagFrZchn"/>
              </w:rPr>
            </w:pPr>
            <w:r>
              <w:rPr>
                <w:rStyle w:val="1Zchn"/>
              </w:rPr>
              <w:t>Internationales</w:t>
            </w:r>
            <w:r>
              <w:rPr>
                <w:b/>
                <w:color w:val="FF0000"/>
              </w:rPr>
              <w:t xml:space="preserve"> </w:t>
            </w:r>
          </w:p>
          <w:p>
            <w:pPr>
              <w:pStyle w:val="Liste1"/>
            </w:pPr>
            <w:r>
              <w:t>(nicht berichtet)</w:t>
            </w:r>
          </w:p>
          <w:p>
            <w:pPr>
              <w:pStyle w:val="Liste1"/>
              <w:numPr>
                <w:ilvl w:val="0"/>
                <w:numId w:val="0"/>
              </w:numPr>
              <w:ind w:left="113"/>
            </w:pPr>
          </w:p>
        </w:tc>
        <w:tc>
          <w:tcPr>
            <w:tcW w:w="1463" w:type="dxa"/>
          </w:tcPr>
          <w:p>
            <w:pPr>
              <w:rPr>
                <w:sz w:val="22"/>
                <w:szCs w:val="22"/>
              </w:rPr>
            </w:pPr>
          </w:p>
          <w:p>
            <w:pPr>
              <w:rPr>
                <w:sz w:val="22"/>
                <w:szCs w:val="22"/>
              </w:rPr>
            </w:pPr>
            <w:r>
              <w:rPr>
                <w:sz w:val="22"/>
                <w:szCs w:val="22"/>
              </w:rPr>
              <w:t>ZIG</w:t>
            </w:r>
          </w:p>
        </w:tc>
      </w:tr>
      <w:tr>
        <w:tc>
          <w:tcPr>
            <w:tcW w:w="684" w:type="dxa"/>
          </w:tcPr>
          <w:p>
            <w:pPr>
              <w:rPr>
                <w:b/>
              </w:rPr>
            </w:pPr>
            <w:r>
              <w:rPr>
                <w:b/>
              </w:rPr>
              <w:t>5</w:t>
            </w:r>
          </w:p>
        </w:tc>
        <w:tc>
          <w:tcPr>
            <w:tcW w:w="6824" w:type="dxa"/>
          </w:tcPr>
          <w:p>
            <w:pPr>
              <w:spacing w:line="276" w:lineRule="auto"/>
              <w:rPr>
                <w:b/>
                <w:sz w:val="28"/>
              </w:rPr>
            </w:pPr>
            <w:r>
              <w:rPr>
                <w:rStyle w:val="1Zchn"/>
              </w:rPr>
              <w:t>Update digitale Projekte</w:t>
            </w:r>
            <w:r>
              <w:rPr>
                <w:b/>
                <w:sz w:val="28"/>
              </w:rPr>
              <w:t xml:space="preserve"> </w:t>
            </w:r>
          </w:p>
          <w:p>
            <w:pPr>
              <w:pStyle w:val="Liste1"/>
            </w:pPr>
            <w:r>
              <w:t>(nicht berichtet)</w:t>
            </w:r>
          </w:p>
        </w:tc>
        <w:tc>
          <w:tcPr>
            <w:tcW w:w="1463" w:type="dxa"/>
          </w:tcPr>
          <w:p>
            <w:pPr>
              <w:rPr>
                <w:sz w:val="22"/>
                <w:szCs w:val="22"/>
              </w:rPr>
            </w:pPr>
          </w:p>
          <w:p>
            <w:pPr>
              <w:rPr>
                <w:sz w:val="22"/>
                <w:szCs w:val="22"/>
              </w:rPr>
            </w:pPr>
            <w:r>
              <w:rPr>
                <w:sz w:val="22"/>
                <w:szCs w:val="22"/>
              </w:rPr>
              <w:t>FG21</w:t>
            </w:r>
          </w:p>
          <w:p>
            <w:pPr>
              <w:rPr>
                <w:sz w:val="22"/>
                <w:szCs w:val="22"/>
              </w:rPr>
            </w:pPr>
            <w:r>
              <w:rPr>
                <w:sz w:val="22"/>
                <w:szCs w:val="22"/>
              </w:rPr>
              <w:lastRenderedPageBreak/>
              <w:t>(Schmich)</w:t>
            </w:r>
            <w:r>
              <w:rPr>
                <w:sz w:val="22"/>
                <w:szCs w:val="22"/>
              </w:rPr>
              <w:br/>
            </w:r>
          </w:p>
        </w:tc>
      </w:tr>
      <w:tr>
        <w:tc>
          <w:tcPr>
            <w:tcW w:w="684" w:type="dxa"/>
          </w:tcPr>
          <w:p>
            <w:pPr>
              <w:rPr>
                <w:b/>
              </w:rPr>
            </w:pPr>
            <w:r>
              <w:rPr>
                <w:b/>
              </w:rPr>
              <w:lastRenderedPageBreak/>
              <w:t>6</w:t>
            </w:r>
          </w:p>
        </w:tc>
        <w:tc>
          <w:tcPr>
            <w:tcW w:w="6824" w:type="dxa"/>
          </w:tcPr>
          <w:p>
            <w:pPr>
              <w:pStyle w:val="1"/>
            </w:pPr>
            <w:r>
              <w:t xml:space="preserve">Daten aus der Gesundheitsberichterstattung </w:t>
            </w:r>
          </w:p>
          <w:p>
            <w:pPr>
              <w:pStyle w:val="Liste2"/>
              <w:numPr>
                <w:ilvl w:val="0"/>
                <w:numId w:val="0"/>
              </w:numPr>
              <w:rPr>
                <w:lang w:val="de-DE"/>
              </w:rPr>
            </w:pPr>
            <w:r>
              <w:rPr>
                <w:lang w:val="de-DE"/>
              </w:rPr>
              <w:t xml:space="preserve">• Veränderungen der körperlichen Aktivität seit Beginn der COVID-19-Pandemie – Ergebnisse einer bundesweiten Studie (Folien </w:t>
            </w:r>
            <w:hyperlink r:id="rId16" w:history="1">
              <w:r>
                <w:rPr>
                  <w:rStyle w:val="Hyperlink"/>
                  <w:lang w:val="de-DE"/>
                </w:rPr>
                <w:t>hier</w:t>
              </w:r>
            </w:hyperlink>
            <w:r>
              <w:rPr>
                <w:lang w:val="de-DE"/>
              </w:rPr>
              <w:t>)</w:t>
            </w:r>
          </w:p>
          <w:p>
            <w:pPr>
              <w:pStyle w:val="Liste2"/>
              <w:numPr>
                <w:ilvl w:val="0"/>
                <w:numId w:val="9"/>
              </w:numPr>
              <w:rPr>
                <w:lang w:val="de-DE"/>
              </w:rPr>
            </w:pPr>
            <w:r>
              <w:rPr>
                <w:lang w:val="de-DE"/>
              </w:rPr>
              <w:t>Hintergrund: Deutliche Einschränkung der Möglichkeiten körperlich aktiv zu sein während der ersten drei COVID-19-Wellen</w:t>
            </w:r>
          </w:p>
          <w:p>
            <w:pPr>
              <w:pStyle w:val="Liste2"/>
              <w:numPr>
                <w:ilvl w:val="0"/>
                <w:numId w:val="9"/>
              </w:numPr>
              <w:rPr>
                <w:lang w:val="de-DE"/>
              </w:rPr>
            </w:pPr>
            <w:r>
              <w:rPr>
                <w:lang w:val="de-DE"/>
              </w:rPr>
              <w:t>Betrachtung aus der Perspektive der Sommer- und Herbstmonate 2021</w:t>
            </w:r>
          </w:p>
          <w:p>
            <w:pPr>
              <w:pStyle w:val="Liste2"/>
              <w:numPr>
                <w:ilvl w:val="0"/>
                <w:numId w:val="9"/>
              </w:numPr>
              <w:rPr>
                <w:lang w:val="de-DE"/>
              </w:rPr>
            </w:pPr>
            <w:r>
              <w:rPr>
                <w:lang w:val="de-DE"/>
              </w:rPr>
              <w:t>Bundesweite telefonische Querschnittserhebung (n=2.985; 52% Frauen); GEDA 2021</w:t>
            </w:r>
          </w:p>
          <w:p>
            <w:pPr>
              <w:pStyle w:val="Liste2"/>
              <w:numPr>
                <w:ilvl w:val="0"/>
                <w:numId w:val="9"/>
              </w:numPr>
              <w:rPr>
                <w:lang w:val="de-DE"/>
              </w:rPr>
            </w:pPr>
            <w:r>
              <w:rPr>
                <w:lang w:val="de-DE"/>
              </w:rPr>
              <w:t>Veränderung des Sporttreibens: Unverändert 38%, Treibt generell keinen Sport 26%, Reduziert 24%, Gesteigert 12%</w:t>
            </w:r>
          </w:p>
          <w:p>
            <w:pPr>
              <w:pStyle w:val="Liste2"/>
              <w:numPr>
                <w:ilvl w:val="0"/>
                <w:numId w:val="9"/>
              </w:numPr>
              <w:rPr>
                <w:lang w:val="de-DE"/>
              </w:rPr>
            </w:pPr>
            <w:r>
              <w:rPr>
                <w:lang w:val="de-DE"/>
              </w:rPr>
              <w:t>Veränderung der aktiven Wegstrecken: Unverändert 55%, Gesteigert 17 %, Reduziert 15%, Generell keine aktiven Wege 13%</w:t>
            </w:r>
          </w:p>
          <w:p>
            <w:pPr>
              <w:pStyle w:val="Liste2"/>
              <w:numPr>
                <w:ilvl w:val="0"/>
                <w:numId w:val="9"/>
              </w:numPr>
              <w:rPr>
                <w:lang w:val="de-DE"/>
              </w:rPr>
            </w:pPr>
            <w:r>
              <w:rPr>
                <w:lang w:val="de-DE"/>
              </w:rPr>
              <w:t>Multivariate Analyse:</w:t>
            </w:r>
          </w:p>
          <w:p>
            <w:pPr>
              <w:pStyle w:val="Liste2"/>
              <w:numPr>
                <w:ilvl w:val="1"/>
                <w:numId w:val="9"/>
              </w:numPr>
              <w:rPr>
                <w:lang w:val="de-DE"/>
              </w:rPr>
            </w:pPr>
            <w:r>
              <w:rPr>
                <w:lang w:val="de-DE"/>
              </w:rPr>
              <w:t>Frauen steigerten das Sporttreiben häufiger</w:t>
            </w:r>
          </w:p>
          <w:p>
            <w:pPr>
              <w:pStyle w:val="Liste2"/>
              <w:numPr>
                <w:ilvl w:val="1"/>
                <w:numId w:val="9"/>
              </w:numPr>
              <w:rPr>
                <w:lang w:val="de-DE"/>
              </w:rPr>
            </w:pPr>
            <w:r>
              <w:rPr>
                <w:lang w:val="de-DE"/>
              </w:rPr>
              <w:t>18-29-Jährige veränderten den Umfang des Sporttreibens häufiger als ältere Personen</w:t>
            </w:r>
          </w:p>
          <w:p>
            <w:pPr>
              <w:pStyle w:val="Liste2"/>
              <w:numPr>
                <w:ilvl w:val="1"/>
                <w:numId w:val="9"/>
              </w:numPr>
              <w:rPr>
                <w:lang w:val="de-DE"/>
              </w:rPr>
            </w:pPr>
            <w:r>
              <w:rPr>
                <w:lang w:val="de-DE"/>
              </w:rPr>
              <w:t>Zwischen den Bildungsgruppen zeigten sich keine Unterschiede</w:t>
            </w:r>
          </w:p>
          <w:p>
            <w:pPr>
              <w:pStyle w:val="Liste2"/>
              <w:numPr>
                <w:ilvl w:val="0"/>
                <w:numId w:val="9"/>
              </w:numPr>
              <w:rPr>
                <w:lang w:val="de-DE"/>
              </w:rPr>
            </w:pPr>
            <w:r>
              <w:rPr>
                <w:lang w:val="de-DE"/>
              </w:rPr>
              <w:t>Fazit:</w:t>
            </w:r>
          </w:p>
          <w:p>
            <w:pPr>
              <w:pStyle w:val="Liste2"/>
              <w:numPr>
                <w:ilvl w:val="1"/>
                <w:numId w:val="9"/>
              </w:numPr>
              <w:rPr>
                <w:lang w:val="de-DE"/>
              </w:rPr>
            </w:pPr>
            <w:r>
              <w:rPr>
                <w:lang w:val="de-DE"/>
              </w:rPr>
              <w:t xml:space="preserve"> 1,5 Jahre nach Beginn der Pandemie hat ein erheblicher Anteil der Bevölkerung </w:t>
            </w:r>
            <w:r>
              <w:rPr>
                <w:b/>
                <w:lang w:val="de-DE"/>
              </w:rPr>
              <w:t>nicht</w:t>
            </w:r>
            <w:r>
              <w:rPr>
                <w:lang w:val="de-DE"/>
              </w:rPr>
              <w:t xml:space="preserve"> zurück zu dem gewohnten Umfang des Sporttreibens gefunden</w:t>
            </w:r>
          </w:p>
          <w:p>
            <w:pPr>
              <w:pStyle w:val="Liste2"/>
              <w:numPr>
                <w:ilvl w:val="1"/>
                <w:numId w:val="9"/>
              </w:numPr>
              <w:rPr>
                <w:lang w:val="de-DE"/>
              </w:rPr>
            </w:pPr>
            <w:r>
              <w:rPr>
                <w:lang w:val="de-DE"/>
              </w:rPr>
              <w:t>Das alleinige Zurücknehmen von Maßnahmen ist nicht ausreichend. Teile der Bevölkerung benötigen vermehrt Unterstützung für das Wiederaufnehmen des Sporttreibens</w:t>
            </w:r>
          </w:p>
          <w:p>
            <w:pPr>
              <w:pStyle w:val="Liste2"/>
              <w:numPr>
                <w:ilvl w:val="0"/>
                <w:numId w:val="0"/>
              </w:numPr>
              <w:ind w:left="1440"/>
              <w:rPr>
                <w:lang w:val="de-DE"/>
              </w:rPr>
            </w:pPr>
          </w:p>
          <w:p>
            <w:pPr>
              <w:pStyle w:val="Liste2"/>
              <w:numPr>
                <w:ilvl w:val="0"/>
                <w:numId w:val="0"/>
              </w:numPr>
              <w:rPr>
                <w:i/>
                <w:lang w:val="de-DE"/>
              </w:rPr>
            </w:pPr>
            <w:r>
              <w:rPr>
                <w:i/>
                <w:lang w:val="de-DE"/>
              </w:rPr>
              <w:t>Diskussion</w:t>
            </w:r>
          </w:p>
          <w:p>
            <w:pPr>
              <w:pStyle w:val="Liste2"/>
              <w:numPr>
                <w:ilvl w:val="0"/>
                <w:numId w:val="9"/>
              </w:numPr>
              <w:rPr>
                <w:lang w:val="de-DE"/>
              </w:rPr>
            </w:pPr>
            <w:r>
              <w:rPr>
                <w:lang w:val="de-DE"/>
              </w:rPr>
              <w:t>Woraus leitet sich das Fazit ab?</w:t>
            </w:r>
          </w:p>
          <w:p>
            <w:pPr>
              <w:pStyle w:val="Liste2"/>
              <w:numPr>
                <w:ilvl w:val="1"/>
                <w:numId w:val="9"/>
              </w:numPr>
              <w:rPr>
                <w:lang w:val="de-DE"/>
              </w:rPr>
            </w:pPr>
            <w:r>
              <w:rPr>
                <w:lang w:val="de-DE"/>
              </w:rPr>
              <w:t>Das Fazit bezieht sich nur auf das Sporttreiben. Auch in Hinblick darauf, dass sich eine relevante Anzahl in der Bevölkerung keinen Sport treibt oder es reduziert hat.</w:t>
            </w:r>
          </w:p>
          <w:p>
            <w:pPr>
              <w:pStyle w:val="Liste2"/>
              <w:numPr>
                <w:ilvl w:val="0"/>
                <w:numId w:val="9"/>
              </w:numPr>
              <w:rPr>
                <w:lang w:val="de-DE"/>
              </w:rPr>
            </w:pPr>
            <w:r>
              <w:rPr>
                <w:lang w:val="de-DE"/>
              </w:rPr>
              <w:t>Wie ist der langfristige Trend? Wie war es in vorpandemischen Zeiten und wo sind die Ergebnisse in der Trendbeobachtung einzuordnen?</w:t>
            </w:r>
          </w:p>
          <w:p>
            <w:pPr>
              <w:pStyle w:val="Liste2"/>
              <w:numPr>
                <w:ilvl w:val="1"/>
                <w:numId w:val="9"/>
              </w:numPr>
              <w:rPr>
                <w:lang w:val="de-DE"/>
              </w:rPr>
            </w:pPr>
            <w:r>
              <w:rPr>
                <w:lang w:val="de-DE"/>
              </w:rPr>
              <w:t>Der langfristige Trend ist gegensätzlich und das Sporttreiben nimmt eher zu über eine längere Zeitspanne</w:t>
            </w:r>
          </w:p>
          <w:p>
            <w:pPr>
              <w:pStyle w:val="Liste2"/>
              <w:numPr>
                <w:ilvl w:val="0"/>
                <w:numId w:val="9"/>
              </w:numPr>
              <w:rPr>
                <w:lang w:val="de-DE"/>
              </w:rPr>
            </w:pPr>
            <w:r>
              <w:rPr>
                <w:lang w:val="de-DE"/>
              </w:rPr>
              <w:t>Wurden die Ergebnisse schon veröffentlicht?</w:t>
            </w:r>
          </w:p>
          <w:p>
            <w:pPr>
              <w:pStyle w:val="Liste2"/>
              <w:numPr>
                <w:ilvl w:val="1"/>
                <w:numId w:val="9"/>
              </w:numPr>
              <w:rPr>
                <w:lang w:val="de-DE"/>
              </w:rPr>
            </w:pPr>
            <w:r>
              <w:rPr>
                <w:lang w:val="de-DE"/>
              </w:rPr>
              <w:t>Bisher noch nicht. Veröffentlichung im Dezember in einem Journal Artikel.</w:t>
            </w:r>
          </w:p>
          <w:p>
            <w:pPr>
              <w:pStyle w:val="Liste2"/>
              <w:numPr>
                <w:ilvl w:val="0"/>
                <w:numId w:val="9"/>
              </w:numPr>
              <w:rPr>
                <w:lang w:val="de-DE"/>
              </w:rPr>
            </w:pPr>
            <w:r>
              <w:rPr>
                <w:lang w:val="de-DE"/>
              </w:rPr>
              <w:t>Wie ist die Altersspanne der Befragten? Wurden auch Hochaltrige mit einbezogen?</w:t>
            </w:r>
          </w:p>
          <w:p>
            <w:pPr>
              <w:pStyle w:val="Liste2"/>
              <w:numPr>
                <w:ilvl w:val="1"/>
                <w:numId w:val="9"/>
              </w:numPr>
              <w:rPr>
                <w:lang w:val="de-DE"/>
              </w:rPr>
            </w:pPr>
            <w:r>
              <w:rPr>
                <w:lang w:val="de-DE"/>
              </w:rPr>
              <w:t>Ja. Alterseffekt vor allem im 1. Lockdown erkennbar. In den weiteren nicht mehr.</w:t>
            </w:r>
          </w:p>
          <w:p>
            <w:pPr>
              <w:pStyle w:val="Liste2"/>
              <w:numPr>
                <w:ilvl w:val="0"/>
                <w:numId w:val="0"/>
              </w:numPr>
              <w:rPr>
                <w:lang w:val="de-DE"/>
              </w:rPr>
            </w:pPr>
          </w:p>
          <w:p>
            <w:pPr>
              <w:pStyle w:val="Liste2"/>
              <w:numPr>
                <w:ilvl w:val="0"/>
                <w:numId w:val="0"/>
              </w:numPr>
              <w:ind w:left="473"/>
              <w:rPr>
                <w:lang w:val="de-DE"/>
              </w:rPr>
            </w:pPr>
          </w:p>
        </w:tc>
        <w:tc>
          <w:tcPr>
            <w:tcW w:w="1463" w:type="dxa"/>
          </w:tcPr>
          <w:p>
            <w:pPr>
              <w:rPr>
                <w:sz w:val="22"/>
                <w:szCs w:val="22"/>
              </w:rPr>
            </w:pPr>
          </w:p>
          <w:p>
            <w:pPr>
              <w:rPr>
                <w:sz w:val="22"/>
                <w:szCs w:val="22"/>
              </w:rPr>
            </w:pPr>
          </w:p>
          <w:p>
            <w:pPr>
              <w:rPr>
                <w:sz w:val="22"/>
                <w:szCs w:val="22"/>
              </w:rPr>
            </w:pPr>
            <w:r>
              <w:rPr>
                <w:sz w:val="22"/>
                <w:szCs w:val="22"/>
              </w:rPr>
              <w:t>Abt. 2</w:t>
            </w:r>
          </w:p>
          <w:p>
            <w:pPr>
              <w:rPr>
                <w:sz w:val="22"/>
                <w:szCs w:val="22"/>
              </w:rPr>
            </w:pPr>
            <w:r>
              <w:rPr>
                <w:sz w:val="22"/>
                <w:szCs w:val="22"/>
              </w:rPr>
              <w:t>FG27</w:t>
            </w:r>
          </w:p>
          <w:p>
            <w:pPr>
              <w:rPr>
                <w:sz w:val="22"/>
                <w:szCs w:val="22"/>
              </w:rPr>
            </w:pPr>
            <w:r>
              <w:rPr>
                <w:sz w:val="22"/>
                <w:szCs w:val="22"/>
              </w:rPr>
              <w:t>(Manz)</w:t>
            </w:r>
          </w:p>
        </w:tc>
      </w:tr>
      <w:tr>
        <w:tc>
          <w:tcPr>
            <w:tcW w:w="684" w:type="dxa"/>
          </w:tcPr>
          <w:p>
            <w:pPr>
              <w:rPr>
                <w:b/>
              </w:rPr>
            </w:pPr>
            <w:r>
              <w:rPr>
                <w:b/>
              </w:rPr>
              <w:t>7</w:t>
            </w:r>
          </w:p>
        </w:tc>
        <w:tc>
          <w:tcPr>
            <w:tcW w:w="6824" w:type="dxa"/>
          </w:tcPr>
          <w:p>
            <w:pPr>
              <w:pStyle w:val="1"/>
            </w:pPr>
            <w:r>
              <w:t>Aktuelle Risikobewertung</w:t>
            </w:r>
          </w:p>
          <w:p>
            <w:pPr>
              <w:pStyle w:val="Liste1"/>
            </w:pPr>
            <w:r>
              <w:t>(nicht berichtet)</w:t>
            </w:r>
          </w:p>
          <w:p>
            <w:pPr>
              <w:pStyle w:val="Liste3"/>
              <w:numPr>
                <w:ilvl w:val="0"/>
                <w:numId w:val="0"/>
              </w:numPr>
              <w:ind w:left="1193"/>
            </w:pPr>
          </w:p>
        </w:tc>
        <w:tc>
          <w:tcPr>
            <w:tcW w:w="1463" w:type="dxa"/>
          </w:tcPr>
          <w:p>
            <w:pPr>
              <w:rPr>
                <w:sz w:val="22"/>
                <w:szCs w:val="22"/>
              </w:rPr>
            </w:pPr>
            <w:r>
              <w:rPr>
                <w:sz w:val="22"/>
                <w:szCs w:val="22"/>
              </w:rPr>
              <w:t xml:space="preserve"> </w:t>
            </w:r>
          </w:p>
          <w:p>
            <w:pPr>
              <w:rPr>
                <w:sz w:val="22"/>
                <w:szCs w:val="22"/>
              </w:rPr>
            </w:pPr>
            <w:r>
              <w:rPr>
                <w:sz w:val="22"/>
                <w:szCs w:val="22"/>
              </w:rPr>
              <w:t>Alle</w:t>
            </w:r>
          </w:p>
        </w:tc>
      </w:tr>
      <w:tr>
        <w:tc>
          <w:tcPr>
            <w:tcW w:w="684" w:type="dxa"/>
          </w:tcPr>
          <w:p>
            <w:pPr>
              <w:rPr>
                <w:b/>
              </w:rPr>
            </w:pPr>
            <w:r>
              <w:rPr>
                <w:b/>
              </w:rPr>
              <w:t>8</w:t>
            </w:r>
          </w:p>
        </w:tc>
        <w:tc>
          <w:tcPr>
            <w:tcW w:w="6824" w:type="dxa"/>
          </w:tcPr>
          <w:p>
            <w:pPr>
              <w:pStyle w:val="1"/>
            </w:pPr>
            <w:r>
              <w:t xml:space="preserve">Expertenbeirat </w:t>
            </w:r>
            <w:r>
              <w:rPr>
                <w:i/>
                <w:color w:val="95B3D7" w:themeColor="accent1" w:themeTint="99"/>
                <w:sz w:val="20"/>
              </w:rPr>
              <w:t>(montags Vorbereitung, mittwochs Nachbereitung)</w:t>
            </w:r>
          </w:p>
          <w:p>
            <w:pPr>
              <w:pStyle w:val="Liste1"/>
            </w:pPr>
            <w:r>
              <w:t xml:space="preserve">(nicht berichtet) </w:t>
            </w:r>
          </w:p>
          <w:p>
            <w:pPr>
              <w:pStyle w:val="Liste1"/>
              <w:numPr>
                <w:ilvl w:val="0"/>
                <w:numId w:val="0"/>
              </w:numPr>
              <w:ind w:left="113"/>
            </w:pPr>
          </w:p>
        </w:tc>
        <w:tc>
          <w:tcPr>
            <w:tcW w:w="1463" w:type="dxa"/>
          </w:tcPr>
          <w:p>
            <w:pPr>
              <w:rPr>
                <w:sz w:val="22"/>
                <w:szCs w:val="22"/>
              </w:rPr>
            </w:pPr>
          </w:p>
          <w:p>
            <w:pPr>
              <w:rPr>
                <w:sz w:val="22"/>
                <w:szCs w:val="22"/>
              </w:rPr>
            </w:pPr>
          </w:p>
          <w:p>
            <w:pPr>
              <w:rPr>
                <w:sz w:val="22"/>
                <w:szCs w:val="22"/>
              </w:rPr>
            </w:pPr>
            <w:proofErr w:type="spellStart"/>
            <w:r>
              <w:rPr>
                <w:sz w:val="22"/>
                <w:szCs w:val="22"/>
              </w:rPr>
              <w:t>Praes</w:t>
            </w:r>
            <w:proofErr w:type="spellEnd"/>
          </w:p>
        </w:tc>
      </w:tr>
      <w:tr>
        <w:trPr>
          <w:trHeight w:val="518"/>
        </w:trPr>
        <w:tc>
          <w:tcPr>
            <w:tcW w:w="684" w:type="dxa"/>
          </w:tcPr>
          <w:p>
            <w:pPr>
              <w:rPr>
                <w:b/>
              </w:rPr>
            </w:pPr>
            <w:r>
              <w:rPr>
                <w:b/>
              </w:rPr>
              <w:t>9</w:t>
            </w:r>
          </w:p>
        </w:tc>
        <w:tc>
          <w:tcPr>
            <w:tcW w:w="6824" w:type="dxa"/>
          </w:tcPr>
          <w:p>
            <w:pPr>
              <w:pStyle w:val="1"/>
            </w:pPr>
            <w:r>
              <w:t>Kommunikation</w:t>
            </w:r>
          </w:p>
          <w:p>
            <w:pPr>
              <w:pStyle w:val="2"/>
            </w:pPr>
            <w:r>
              <w:t>BZgA</w:t>
            </w:r>
          </w:p>
          <w:p>
            <w:pPr>
              <w:pStyle w:val="Liste1"/>
            </w:pPr>
            <w:r>
              <w:t>Die Ergebnisse der Infektionsschutz-Studie werden heute veröffentlicht. Begleitende Pressemitteilung.</w:t>
            </w:r>
          </w:p>
          <w:p>
            <w:pPr>
              <w:pStyle w:val="Liste1"/>
            </w:pPr>
            <w:r>
              <w:t>Es wurde ein neues Tool entwickelt: Impfcheck. Ziel des Tools ist es für die Nutzer überprüfen zu können, inwiefern der jeweilige Impfschutz noch gilt und welche aktuellen STIKO-Empfehlungen für die Person gelten. Voraussichtliche Einbindung Ende September auf der Website infektionsschutz.de</w:t>
            </w:r>
          </w:p>
          <w:p>
            <w:pPr>
              <w:pStyle w:val="Liste1"/>
              <w:numPr>
                <w:ilvl w:val="0"/>
                <w:numId w:val="0"/>
              </w:numPr>
              <w:ind w:left="1553"/>
            </w:pPr>
          </w:p>
          <w:p>
            <w:pPr>
              <w:pStyle w:val="2"/>
            </w:pPr>
            <w:r>
              <w:t>Presse</w:t>
            </w:r>
          </w:p>
          <w:p>
            <w:pPr>
              <w:pStyle w:val="Liste1"/>
            </w:pPr>
            <w:r>
              <w:t>BPK am Freitag um 10 Uhr. Themen: Pandemieradar und Neuregelungen des Infektionsschutzgesetzes</w:t>
            </w:r>
          </w:p>
          <w:p>
            <w:pPr>
              <w:pStyle w:val="Liste1"/>
              <w:numPr>
                <w:ilvl w:val="0"/>
                <w:numId w:val="0"/>
              </w:numPr>
              <w:ind w:left="473"/>
            </w:pPr>
          </w:p>
          <w:p>
            <w:pPr>
              <w:pStyle w:val="2"/>
            </w:pPr>
            <w:r>
              <w:t>P1</w:t>
            </w:r>
          </w:p>
          <w:p>
            <w:pPr>
              <w:pStyle w:val="Liste1"/>
            </w:pPr>
            <w:r>
              <w:t>Bitte um klare Botschaften für die BPK. Bisherige Kenntnisnahme: Einordung der aktuellen Situation im Kontext der gesamten ARE-Situation. Darüber hinaus noch Hinweis auf Verhaltenstipps für den Winter?</w:t>
            </w:r>
          </w:p>
          <w:p>
            <w:pPr>
              <w:pStyle w:val="Liste3"/>
            </w:pPr>
            <w:r>
              <w:t>Unterschiedliche Vorschläge zur Formulierung zum Zuhause bleiben. Einheitsregelung.</w:t>
            </w:r>
          </w:p>
          <w:p>
            <w:pPr>
              <w:pStyle w:val="Liste3"/>
            </w:pPr>
            <w:r>
              <w:t>BPK als Gelegenheit nutzen konkrete Tipps mit an die Hand zu nehmen</w:t>
            </w:r>
          </w:p>
          <w:p>
            <w:pPr>
              <w:pStyle w:val="Liste1"/>
            </w:pPr>
            <w:r>
              <w:t>Konkrete Forderungen einiger Länder an das RKI die Isolationspflicht entfallen zu lassen. Es ist mit Anfragen diesbezüglich aus der Presse und auf der BP zu rechnen. Bitte um Sprachregelung</w:t>
            </w:r>
          </w:p>
          <w:p>
            <w:pPr>
              <w:pStyle w:val="Liste3"/>
            </w:pPr>
            <w:r>
              <w:t>Sprechzettel wird mit aktueller Einordnung vorbereitet.</w:t>
            </w:r>
          </w:p>
          <w:p>
            <w:pPr>
              <w:pStyle w:val="Liste1"/>
              <w:numPr>
                <w:ilvl w:val="0"/>
                <w:numId w:val="0"/>
              </w:numPr>
              <w:ind w:left="473" w:hanging="360"/>
            </w:pPr>
          </w:p>
          <w:p>
            <w:pPr>
              <w:pStyle w:val="Liste3"/>
              <w:numPr>
                <w:ilvl w:val="0"/>
                <w:numId w:val="0"/>
              </w:numPr>
            </w:pPr>
          </w:p>
        </w:tc>
        <w:tc>
          <w:tcPr>
            <w:tcW w:w="1463" w:type="dxa"/>
          </w:tcPr>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BZgA</w:t>
            </w:r>
          </w:p>
          <w:p>
            <w:pPr>
              <w:rPr>
                <w:sz w:val="22"/>
                <w:szCs w:val="22"/>
              </w:rPr>
            </w:pPr>
            <w:r>
              <w:rPr>
                <w:sz w:val="22"/>
                <w:szCs w:val="22"/>
              </w:rPr>
              <w:t>(</w:t>
            </w:r>
            <w:r>
              <w:rPr>
                <w:sz w:val="22"/>
              </w:rPr>
              <w:t>Ommen</w:t>
            </w:r>
            <w:r>
              <w:rPr>
                <w:sz w:val="22"/>
                <w:szCs w:val="22"/>
              </w:rPr>
              <w:t>)</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p>
          <w:p>
            <w:pPr>
              <w:rPr>
                <w:sz w:val="22"/>
                <w:szCs w:val="22"/>
              </w:rPr>
            </w:pPr>
            <w:r>
              <w:rPr>
                <w:sz w:val="22"/>
                <w:szCs w:val="22"/>
              </w:rPr>
              <w:t>(Wenchel)</w:t>
            </w:r>
            <w:r>
              <w:rPr>
                <w:sz w:val="22"/>
                <w:szCs w:val="22"/>
              </w:rPr>
              <w:br/>
            </w:r>
          </w:p>
          <w:p>
            <w:pPr>
              <w:rPr>
                <w:sz w:val="22"/>
                <w:szCs w:val="22"/>
              </w:rPr>
            </w:pPr>
          </w:p>
          <w:p>
            <w:pPr>
              <w:rPr>
                <w:sz w:val="22"/>
                <w:szCs w:val="22"/>
              </w:rPr>
            </w:pPr>
          </w:p>
          <w:p>
            <w:pPr>
              <w:rPr>
                <w:sz w:val="22"/>
                <w:szCs w:val="22"/>
              </w:rPr>
            </w:pPr>
            <w:r>
              <w:rPr>
                <w:sz w:val="22"/>
                <w:szCs w:val="22"/>
              </w:rPr>
              <w:t>P1</w:t>
            </w:r>
            <w:r>
              <w:rPr>
                <w:sz w:val="22"/>
                <w:szCs w:val="22"/>
              </w:rPr>
              <w:br/>
              <w:t>(Degen)</w:t>
            </w:r>
          </w:p>
        </w:tc>
      </w:tr>
      <w:tr>
        <w:tc>
          <w:tcPr>
            <w:tcW w:w="684" w:type="dxa"/>
          </w:tcPr>
          <w:p>
            <w:pPr>
              <w:rPr>
                <w:b/>
              </w:rPr>
            </w:pPr>
            <w:r>
              <w:rPr>
                <w:b/>
              </w:rPr>
              <w:t>10</w:t>
            </w:r>
          </w:p>
        </w:tc>
        <w:tc>
          <w:tcPr>
            <w:tcW w:w="6824" w:type="dxa"/>
          </w:tcPr>
          <w:p>
            <w:pPr>
              <w:pStyle w:val="1"/>
            </w:pPr>
            <w:r>
              <w:t>RKI-Strategie Fragen</w:t>
            </w:r>
          </w:p>
          <w:p>
            <w:pPr>
              <w:pStyle w:val="2"/>
            </w:pPr>
            <w:r>
              <w:t>Allgemein</w:t>
            </w:r>
          </w:p>
          <w:p>
            <w:pPr>
              <w:pStyle w:val="Liste1"/>
            </w:pPr>
            <w:r>
              <w:t>(nicht berichtet)</w:t>
            </w:r>
          </w:p>
          <w:p>
            <w:pPr>
              <w:pStyle w:val="2"/>
              <w:rPr>
                <w:i/>
              </w:rPr>
            </w:pPr>
            <w:r>
              <w:t>RKI-intern</w:t>
            </w:r>
          </w:p>
          <w:p>
            <w:pPr>
              <w:pStyle w:val="Liste1"/>
            </w:pPr>
            <w:r>
              <w:t xml:space="preserve">Wie können wir möglichst wenig komplex die Botschaft mit dem </w:t>
            </w:r>
            <w:proofErr w:type="gramStart"/>
            <w:r>
              <w:t>zuhause</w:t>
            </w:r>
            <w:proofErr w:type="gramEnd"/>
            <w:r>
              <w:t xml:space="preserve"> bleiben formulieren, ohne dass es in allen Empfehlungen </w:t>
            </w:r>
            <w:r>
              <w:lastRenderedPageBreak/>
              <w:t>gleich ist? Es braucht eine pragmatische Lösung und sollte sich zudem mit dem decken, was andere Empfehlungsgeber formulieren. Herr Haas präsentiert Formulierungsvorschläge und zirkuliert diese im Anschluss mit Bitte um kurzfristige Rückmeldung in die Runde.</w:t>
            </w:r>
          </w:p>
          <w:p>
            <w:pPr>
              <w:pStyle w:val="Liste3"/>
            </w:pPr>
            <w:r>
              <w:t>Insgesamt ist das Stimmungsbild von vielen Sonderregelungen langsam und sicher aufgrund mangelnder Umsetzbarkeit wegzukommen. Es braucht einfache, pragmatische und verhältnismäßige Regeln im Einklang damit, Infektionskrankheiten möglichst niedrig zu halten. Minimalempfehlungen geben, wenn Krankheit nicht klar ist.</w:t>
            </w:r>
          </w:p>
          <w:p>
            <w:pPr>
              <w:pStyle w:val="Liste3"/>
            </w:pPr>
            <w:r>
              <w:t>Wenn eine COVID-19 Erkrankung nachgewiesen ist, dann ist weiterhin eine Selbstisolation sinnvoll</w:t>
            </w:r>
          </w:p>
          <w:p>
            <w:pPr>
              <w:pStyle w:val="Liste3"/>
            </w:pPr>
            <w:r>
              <w:t>Allgemeine ARE-Situation adressieren</w:t>
            </w:r>
          </w:p>
          <w:p>
            <w:pPr>
              <w:pStyle w:val="Liste3"/>
            </w:pPr>
            <w:r>
              <w:t>Derzeit sagen wir auf dem Flyer "bis die Symptome vollständig abgeklungen sind"</w:t>
            </w:r>
          </w:p>
          <w:p>
            <w:pPr>
              <w:pStyle w:val="Liste1"/>
              <w:numPr>
                <w:ilvl w:val="0"/>
                <w:numId w:val="0"/>
              </w:numPr>
              <w:ind w:left="473" w:hanging="360"/>
            </w:pPr>
          </w:p>
        </w:tc>
        <w:tc>
          <w:tcPr>
            <w:tcW w:w="1463" w:type="dxa"/>
          </w:tcPr>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lang w:val="en-GB"/>
              </w:rPr>
            </w:pPr>
            <w:r>
              <w:rPr>
                <w:sz w:val="22"/>
                <w:szCs w:val="22"/>
                <w:lang w:val="en-GB"/>
              </w:rPr>
              <w:t>(Haas)</w:t>
            </w:r>
          </w:p>
        </w:tc>
      </w:tr>
      <w:tr>
        <w:tc>
          <w:tcPr>
            <w:tcW w:w="684" w:type="dxa"/>
          </w:tcPr>
          <w:p>
            <w:pPr>
              <w:rPr>
                <w:b/>
              </w:rPr>
            </w:pPr>
            <w:r>
              <w:rPr>
                <w:b/>
              </w:rPr>
              <w:t>11</w:t>
            </w:r>
          </w:p>
        </w:tc>
        <w:tc>
          <w:tcPr>
            <w:tcW w:w="6824" w:type="dxa"/>
          </w:tcPr>
          <w:p>
            <w:pPr>
              <w:spacing w:line="276" w:lineRule="auto"/>
              <w:rPr>
                <w:b/>
                <w:sz w:val="28"/>
              </w:rPr>
            </w:pPr>
            <w:r>
              <w:rPr>
                <w:b/>
                <w:sz w:val="28"/>
              </w:rPr>
              <w:t>Dokumente</w:t>
            </w:r>
          </w:p>
          <w:p>
            <w:pPr>
              <w:pStyle w:val="Liste3"/>
              <w:numPr>
                <w:ilvl w:val="0"/>
                <w:numId w:val="0"/>
              </w:numPr>
            </w:pPr>
            <w:r>
              <w:t>Empfehlungen und LL zur Infektionsprävention bei SARS-CoV-2 in Schulen - Präsentation zeitlicher Abriss</w:t>
            </w:r>
          </w:p>
          <w:p>
            <w:pPr>
              <w:pStyle w:val="Liste1"/>
            </w:pPr>
            <w:r>
              <w:t>RKI-Aktivitäten relativ früh in Hinblick auf Kinder/Jugendliche</w:t>
            </w:r>
          </w:p>
          <w:p>
            <w:pPr>
              <w:pStyle w:val="Liste1"/>
            </w:pPr>
            <w:r>
              <w:t>AWMF S3-Leitliniengruppe; RKI in allen Schritten mit eingebunden</w:t>
            </w:r>
          </w:p>
          <w:p>
            <w:pPr>
              <w:pStyle w:val="Liste1"/>
            </w:pPr>
            <w:r>
              <w:t>RKI-Aktivität 30.09. 2021: Ergänzung und aktuelle Einordnung der RKI-Empfehlungen und Präventionsmaßnahmen in Schulen während der COVID-19 Pandemie (Verweis auf gültige S3-Leitlinien und geänderte Voraussetzungen)</w:t>
            </w:r>
          </w:p>
          <w:p>
            <w:pPr>
              <w:pStyle w:val="Liste1"/>
            </w:pPr>
            <w:r>
              <w:t>AWMF-S3-Leitliniengruppe: Seit Juni 2022 Aktualisierungsprozess Kurzfassung, Veröffentlichung geplant für September</w:t>
            </w:r>
          </w:p>
          <w:p>
            <w:pPr>
              <w:pStyle w:val="Liste1"/>
            </w:pPr>
            <w:r>
              <w:t>BMG (Referat 614): 15.09.2022: Corona-Herbststrategie – Entwurf eines Schutzkonzepts für Kinder und Jugendliche (Bitte an RKI zu einzelnen Formulierungspunkten, zuvor keine Information oder Einbindung, soll im Vorfeld der KMK verfügbar sein)</w:t>
            </w:r>
          </w:p>
          <w:p>
            <w:pPr>
              <w:pStyle w:val="Liste1"/>
              <w:numPr>
                <w:ilvl w:val="0"/>
                <w:numId w:val="0"/>
              </w:numPr>
              <w:ind w:left="473"/>
            </w:pPr>
          </w:p>
          <w:p>
            <w:pPr>
              <w:pStyle w:val="Liste1"/>
              <w:numPr>
                <w:ilvl w:val="0"/>
                <w:numId w:val="0"/>
              </w:numPr>
              <w:ind w:left="473"/>
              <w:rPr>
                <w:i/>
              </w:rPr>
            </w:pPr>
            <w:r>
              <w:rPr>
                <w:i/>
              </w:rPr>
              <w:t>Diskussion</w:t>
            </w:r>
          </w:p>
          <w:p>
            <w:pPr>
              <w:pStyle w:val="Liste1"/>
            </w:pPr>
            <w:r>
              <w:t>Was hat dazu geführt, dass Luftfilter nur noch in Ausnahmefällen verwendet werden?</w:t>
            </w:r>
          </w:p>
          <w:p>
            <w:pPr>
              <w:pStyle w:val="Liste3"/>
            </w:pPr>
            <w:r>
              <w:t>Einer der umstrittensten Punkte bisher. Viele Aspekte (richtige Ausrichtung, Lautstärke etc.) zu berücksichtigen. Daher Durchlüften der Räume kommuniziert.</w:t>
            </w:r>
          </w:p>
          <w:p>
            <w:pPr>
              <w:pStyle w:val="Liste1"/>
              <w:numPr>
                <w:ilvl w:val="0"/>
                <w:numId w:val="0"/>
              </w:numPr>
              <w:ind w:left="113"/>
            </w:pPr>
          </w:p>
        </w:tc>
        <w:tc>
          <w:tcPr>
            <w:tcW w:w="1463" w:type="dxa"/>
          </w:tcPr>
          <w:p>
            <w:pPr>
              <w:rPr>
                <w:sz w:val="22"/>
                <w:szCs w:val="22"/>
              </w:rPr>
            </w:pPr>
          </w:p>
          <w:p>
            <w:pPr>
              <w:rPr>
                <w:sz w:val="22"/>
                <w:szCs w:val="22"/>
              </w:rPr>
            </w:pPr>
          </w:p>
          <w:p>
            <w:pPr>
              <w:rPr>
                <w:sz w:val="22"/>
                <w:szCs w:val="22"/>
              </w:rPr>
            </w:pPr>
            <w:r>
              <w:rPr>
                <w:sz w:val="22"/>
                <w:szCs w:val="22"/>
              </w:rPr>
              <w:t>FG36</w:t>
            </w:r>
          </w:p>
          <w:p>
            <w:pPr>
              <w:rPr>
                <w:sz w:val="22"/>
                <w:szCs w:val="22"/>
              </w:rPr>
            </w:pPr>
            <w:r>
              <w:rPr>
                <w:sz w:val="22"/>
                <w:szCs w:val="22"/>
              </w:rPr>
              <w:t>(Haas)</w:t>
            </w:r>
          </w:p>
          <w:p>
            <w:pPr>
              <w:rPr>
                <w:sz w:val="22"/>
                <w:szCs w:val="22"/>
              </w:rPr>
            </w:pPr>
          </w:p>
          <w:p>
            <w:pPr>
              <w:rPr>
                <w:sz w:val="22"/>
                <w:szCs w:val="22"/>
              </w:rPr>
            </w:pPr>
          </w:p>
        </w:tc>
      </w:tr>
      <w:tr>
        <w:tc>
          <w:tcPr>
            <w:tcW w:w="684" w:type="dxa"/>
          </w:tcPr>
          <w:p>
            <w:pPr>
              <w:rPr>
                <w:b/>
              </w:rPr>
            </w:pPr>
            <w:r>
              <w:rPr>
                <w:b/>
              </w:rPr>
              <w:t>12</w:t>
            </w:r>
          </w:p>
        </w:tc>
        <w:tc>
          <w:tcPr>
            <w:tcW w:w="6824" w:type="dxa"/>
          </w:tcPr>
          <w:p>
            <w:pPr>
              <w:pStyle w:val="1"/>
            </w:pPr>
            <w:r>
              <w:t>Klinisches Management/Entlassungsmanagement</w:t>
            </w:r>
          </w:p>
          <w:p>
            <w:pPr>
              <w:pStyle w:val="Liste1"/>
            </w:pPr>
            <w:r>
              <w:t>(nicht berichtet)</w:t>
            </w:r>
          </w:p>
        </w:tc>
        <w:tc>
          <w:tcPr>
            <w:tcW w:w="1463" w:type="dxa"/>
          </w:tcPr>
          <w:p>
            <w:pPr>
              <w:rPr>
                <w:sz w:val="22"/>
                <w:szCs w:val="22"/>
              </w:rPr>
            </w:pPr>
          </w:p>
          <w:p>
            <w:pPr>
              <w:rPr>
                <w:sz w:val="22"/>
                <w:szCs w:val="22"/>
              </w:rPr>
            </w:pPr>
            <w:r>
              <w:rPr>
                <w:sz w:val="22"/>
                <w:szCs w:val="22"/>
              </w:rPr>
              <w:t>ZBS7</w:t>
            </w:r>
          </w:p>
          <w:p>
            <w:pPr>
              <w:rPr>
                <w:sz w:val="22"/>
                <w:szCs w:val="22"/>
              </w:rPr>
            </w:pPr>
          </w:p>
        </w:tc>
      </w:tr>
      <w:tr>
        <w:tc>
          <w:tcPr>
            <w:tcW w:w="684" w:type="dxa"/>
          </w:tcPr>
          <w:p>
            <w:pPr>
              <w:rPr>
                <w:b/>
              </w:rPr>
            </w:pPr>
            <w:r>
              <w:rPr>
                <w:b/>
              </w:rPr>
              <w:t>13</w:t>
            </w:r>
          </w:p>
        </w:tc>
        <w:tc>
          <w:tcPr>
            <w:tcW w:w="6824" w:type="dxa"/>
          </w:tcPr>
          <w:p>
            <w:pPr>
              <w:pStyle w:val="1"/>
            </w:pPr>
            <w:r>
              <w:t>Maßnahmen zum Infektionsschutz</w:t>
            </w:r>
          </w:p>
          <w:p>
            <w:pPr>
              <w:pStyle w:val="Liste1"/>
            </w:pPr>
            <w:r>
              <w:t>(nicht berichtet)</w:t>
            </w:r>
          </w:p>
        </w:tc>
        <w:tc>
          <w:tcPr>
            <w:tcW w:w="1463" w:type="dxa"/>
          </w:tcPr>
          <w:p>
            <w:pPr>
              <w:rPr>
                <w:sz w:val="22"/>
                <w:szCs w:val="22"/>
              </w:rPr>
            </w:pPr>
          </w:p>
          <w:p>
            <w:pPr>
              <w:rPr>
                <w:sz w:val="22"/>
                <w:szCs w:val="22"/>
              </w:rPr>
            </w:pPr>
            <w:r>
              <w:rPr>
                <w:sz w:val="22"/>
                <w:szCs w:val="22"/>
              </w:rPr>
              <w:t>FG37</w:t>
            </w:r>
          </w:p>
          <w:p>
            <w:pPr>
              <w:rPr>
                <w:sz w:val="22"/>
                <w:szCs w:val="22"/>
              </w:rPr>
            </w:pPr>
          </w:p>
        </w:tc>
      </w:tr>
      <w:tr>
        <w:tc>
          <w:tcPr>
            <w:tcW w:w="684" w:type="dxa"/>
          </w:tcPr>
          <w:p>
            <w:pPr>
              <w:rPr>
                <w:b/>
              </w:rPr>
            </w:pPr>
            <w:r>
              <w:rPr>
                <w:b/>
              </w:rPr>
              <w:lastRenderedPageBreak/>
              <w:t>14</w:t>
            </w:r>
          </w:p>
        </w:tc>
        <w:tc>
          <w:tcPr>
            <w:tcW w:w="6824" w:type="dxa"/>
          </w:tcPr>
          <w:p>
            <w:pPr>
              <w:pStyle w:val="1"/>
              <w:rPr>
                <w:sz w:val="22"/>
              </w:rPr>
            </w:pPr>
            <w:r>
              <w:t>Surveillance</w:t>
            </w:r>
          </w:p>
          <w:p>
            <w:pPr>
              <w:pStyle w:val="Liste1"/>
            </w:pPr>
            <w:r>
              <w:t xml:space="preserve"> (nicht berichtet)</w:t>
            </w:r>
          </w:p>
          <w:p>
            <w:pPr>
              <w:pStyle w:val="Liste1"/>
              <w:numPr>
                <w:ilvl w:val="0"/>
                <w:numId w:val="0"/>
              </w:numPr>
              <w:ind w:left="113"/>
            </w:pPr>
          </w:p>
        </w:tc>
        <w:tc>
          <w:tcPr>
            <w:tcW w:w="1463" w:type="dxa"/>
          </w:tcPr>
          <w:p>
            <w:pPr>
              <w:rPr>
                <w:sz w:val="22"/>
                <w:szCs w:val="22"/>
              </w:rPr>
            </w:pPr>
          </w:p>
          <w:p>
            <w:pPr>
              <w:rPr>
                <w:sz w:val="22"/>
                <w:szCs w:val="22"/>
              </w:rPr>
            </w:pPr>
            <w:r>
              <w:rPr>
                <w:sz w:val="22"/>
                <w:szCs w:val="22"/>
              </w:rPr>
              <w:t>FG32</w:t>
            </w:r>
          </w:p>
          <w:p>
            <w:pPr>
              <w:rPr>
                <w:sz w:val="22"/>
                <w:szCs w:val="22"/>
              </w:rPr>
            </w:pPr>
          </w:p>
        </w:tc>
      </w:tr>
      <w:tr>
        <w:tc>
          <w:tcPr>
            <w:tcW w:w="684" w:type="dxa"/>
          </w:tcPr>
          <w:p>
            <w:pPr>
              <w:rPr>
                <w:b/>
              </w:rPr>
            </w:pPr>
            <w:r>
              <w:rPr>
                <w:b/>
              </w:rPr>
              <w:t>15</w:t>
            </w:r>
          </w:p>
        </w:tc>
        <w:tc>
          <w:tcPr>
            <w:tcW w:w="6824" w:type="dxa"/>
          </w:tcPr>
          <w:p>
            <w:pPr>
              <w:spacing w:after="120" w:line="276" w:lineRule="auto"/>
              <w:rPr>
                <w:b/>
                <w:sz w:val="28"/>
              </w:rPr>
            </w:pPr>
            <w:r>
              <w:rPr>
                <w:rStyle w:val="1Zchn"/>
              </w:rPr>
              <w:t>Transport und Grenzübergangsstellen</w:t>
            </w:r>
            <w:r>
              <w:rPr>
                <w:b/>
                <w:sz w:val="28"/>
              </w:rPr>
              <w:t xml:space="preserve"> </w:t>
            </w:r>
          </w:p>
          <w:p>
            <w:pPr>
              <w:pStyle w:val="Liste1"/>
            </w:pPr>
            <w:r>
              <w:t>(nicht berichtet)</w:t>
            </w:r>
          </w:p>
        </w:tc>
        <w:tc>
          <w:tcPr>
            <w:tcW w:w="1463" w:type="dxa"/>
          </w:tcPr>
          <w:p>
            <w:pPr>
              <w:rPr>
                <w:sz w:val="22"/>
                <w:szCs w:val="22"/>
              </w:rPr>
            </w:pPr>
          </w:p>
          <w:p>
            <w:pPr>
              <w:rPr>
                <w:sz w:val="22"/>
                <w:szCs w:val="22"/>
              </w:rPr>
            </w:pPr>
            <w:r>
              <w:rPr>
                <w:sz w:val="22"/>
                <w:szCs w:val="22"/>
              </w:rPr>
              <w:t xml:space="preserve">FG31 </w:t>
            </w:r>
            <w:r>
              <w:rPr>
                <w:sz w:val="22"/>
                <w:szCs w:val="22"/>
              </w:rPr>
              <w:br/>
            </w:r>
          </w:p>
        </w:tc>
      </w:tr>
      <w:tr>
        <w:tc>
          <w:tcPr>
            <w:tcW w:w="684" w:type="dxa"/>
          </w:tcPr>
          <w:p>
            <w:pPr>
              <w:rPr>
                <w:b/>
              </w:rPr>
            </w:pPr>
            <w:r>
              <w:rPr>
                <w:b/>
              </w:rPr>
              <w:t>16</w:t>
            </w:r>
          </w:p>
        </w:tc>
        <w:tc>
          <w:tcPr>
            <w:tcW w:w="6824" w:type="dxa"/>
          </w:tcPr>
          <w:p>
            <w:pPr>
              <w:spacing w:line="276" w:lineRule="auto"/>
              <w:rPr>
                <w:rStyle w:val="TagFrZchn"/>
              </w:rPr>
            </w:pPr>
            <w:r>
              <w:rPr>
                <w:rStyle w:val="1Zchn"/>
              </w:rPr>
              <w:t>Information aus der Koordinierungsstelle</w:t>
            </w:r>
            <w:r>
              <w:rPr>
                <w:b/>
                <w:sz w:val="28"/>
              </w:rPr>
              <w:t xml:space="preserve"> </w:t>
            </w:r>
          </w:p>
          <w:p>
            <w:pPr>
              <w:pStyle w:val="Liste1"/>
            </w:pPr>
            <w:r>
              <w:t>Aktuell ist es schwierig die Position der Schichtleitungen zu besetzen und es gibt viele Lücken im Schichtplan</w:t>
            </w:r>
          </w:p>
          <w:p>
            <w:pPr>
              <w:pStyle w:val="Liste3"/>
            </w:pPr>
            <w:r>
              <w:t>Schichtleitung für morgen Nachmittag noch nicht besetzt</w:t>
            </w:r>
          </w:p>
          <w:p>
            <w:pPr>
              <w:pStyle w:val="Liste3"/>
            </w:pPr>
            <w:r>
              <w:t>Personelle Engpässe</w:t>
            </w:r>
          </w:p>
          <w:p>
            <w:pPr>
              <w:pStyle w:val="Liste3"/>
            </w:pPr>
            <w:r>
              <w:t>Bemühung KS zurückzufahren</w:t>
            </w:r>
          </w:p>
          <w:p>
            <w:pPr>
              <w:pStyle w:val="Liste3"/>
            </w:pPr>
            <w:r>
              <w:t>Ggf. noch einmal neuen Appel und Personen zuordnen</w:t>
            </w:r>
          </w:p>
          <w:p>
            <w:pPr>
              <w:pStyle w:val="Liste3"/>
              <w:numPr>
                <w:ilvl w:val="0"/>
                <w:numId w:val="0"/>
              </w:numPr>
            </w:pPr>
          </w:p>
        </w:tc>
        <w:tc>
          <w:tcPr>
            <w:tcW w:w="1463" w:type="dxa"/>
          </w:tcPr>
          <w:p>
            <w:pPr>
              <w:rPr>
                <w:sz w:val="22"/>
                <w:szCs w:val="22"/>
              </w:rPr>
            </w:pPr>
          </w:p>
          <w:p>
            <w:pPr>
              <w:rPr>
                <w:sz w:val="22"/>
                <w:szCs w:val="22"/>
              </w:rPr>
            </w:pPr>
            <w:r>
              <w:rPr>
                <w:sz w:val="22"/>
                <w:szCs w:val="22"/>
              </w:rPr>
              <w:t>FG31</w:t>
            </w:r>
          </w:p>
          <w:p>
            <w:pPr>
              <w:rPr>
                <w:sz w:val="22"/>
                <w:szCs w:val="22"/>
              </w:rPr>
            </w:pPr>
            <w:r>
              <w:rPr>
                <w:sz w:val="22"/>
                <w:szCs w:val="22"/>
              </w:rPr>
              <w:t>(Siffczyk)</w:t>
            </w:r>
            <w:r>
              <w:rPr>
                <w:sz w:val="22"/>
                <w:szCs w:val="22"/>
              </w:rPr>
              <w:br/>
            </w:r>
          </w:p>
        </w:tc>
      </w:tr>
      <w:tr>
        <w:tc>
          <w:tcPr>
            <w:tcW w:w="684" w:type="dxa"/>
          </w:tcPr>
          <w:p>
            <w:pPr>
              <w:rPr>
                <w:b/>
              </w:rPr>
            </w:pPr>
            <w:r>
              <w:rPr>
                <w:b/>
              </w:rPr>
              <w:t>17</w:t>
            </w:r>
          </w:p>
        </w:tc>
        <w:tc>
          <w:tcPr>
            <w:tcW w:w="6824" w:type="dxa"/>
          </w:tcPr>
          <w:p>
            <w:pPr>
              <w:pStyle w:val="1"/>
            </w:pPr>
            <w:r>
              <w:t>Wichtige Termine</w:t>
            </w:r>
          </w:p>
          <w:p>
            <w:pPr>
              <w:pStyle w:val="Liste1"/>
            </w:pPr>
            <w:r>
              <w:t>COVID-19 und Affenpocken Lage-AG zukünftig nur noch im zweiwöchigen Rhythmus</w:t>
            </w:r>
          </w:p>
          <w:p>
            <w:pPr>
              <w:pStyle w:val="Liste3"/>
            </w:pPr>
            <w:r>
              <w:t>Soll versetzt gestaltet werden, so dass beide Lage-</w:t>
            </w:r>
            <w:proofErr w:type="spellStart"/>
            <w:r>
              <w:t>AG’s</w:t>
            </w:r>
            <w:proofErr w:type="spellEnd"/>
            <w:r>
              <w:t xml:space="preserve"> nicht in der gleichen Woche stattfinden. Koordination wird an die Affenpocken KS weitergegeben. Nächste Affenpocken Lage-AG voraussichtlich erst am 17.10.</w:t>
            </w:r>
          </w:p>
          <w:p>
            <w:pPr>
              <w:pStyle w:val="Liste3"/>
              <w:numPr>
                <w:ilvl w:val="0"/>
                <w:numId w:val="0"/>
              </w:numPr>
              <w:ind w:left="1193"/>
            </w:pPr>
          </w:p>
        </w:tc>
        <w:tc>
          <w:tcPr>
            <w:tcW w:w="1463" w:type="dxa"/>
          </w:tcPr>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t>18</w:t>
            </w:r>
          </w:p>
        </w:tc>
        <w:tc>
          <w:tcPr>
            <w:tcW w:w="6824" w:type="dxa"/>
          </w:tcPr>
          <w:p>
            <w:pPr>
              <w:pStyle w:val="1"/>
            </w:pPr>
            <w:r>
              <w:t>Andere Themen</w:t>
            </w:r>
          </w:p>
          <w:p>
            <w:pPr>
              <w:pStyle w:val="Liste1"/>
            </w:pPr>
            <w:r>
              <w:t>Nächste Sitzung: Mittwoch, 12.10.2022 11:00 Uhr, via Webex</w:t>
            </w:r>
            <w:r>
              <w:br/>
            </w:r>
          </w:p>
        </w:tc>
        <w:tc>
          <w:tcPr>
            <w:tcW w:w="1463" w:type="dxa"/>
          </w:tcPr>
          <w:p>
            <w:pPr>
              <w:rPr>
                <w:sz w:val="22"/>
                <w:szCs w:val="22"/>
              </w:rPr>
            </w:pPr>
          </w:p>
          <w:p>
            <w:pPr>
              <w:rPr>
                <w:sz w:val="22"/>
                <w:szCs w:val="22"/>
              </w:rPr>
            </w:pPr>
          </w:p>
          <w:p>
            <w:pPr>
              <w:rPr>
                <w:sz w:val="22"/>
                <w:szCs w:val="22"/>
              </w:rPr>
            </w:pPr>
          </w:p>
        </w:tc>
      </w:tr>
    </w:tbl>
    <w:p>
      <w:pPr>
        <w:rPr>
          <w:b/>
        </w:rPr>
      </w:pPr>
    </w:p>
    <w:p>
      <w:pPr>
        <w:rPr>
          <w:b/>
        </w:rPr>
      </w:pPr>
      <w:r>
        <w:rPr>
          <w:b/>
        </w:rPr>
        <w:t>Ende: 13:02 Uhr</w:t>
      </w: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Koordinierungsstelle des RKI </w:t>
    </w:r>
    <w:r>
      <w:rPr>
        <w:color w:val="1F497D" w:themeColor="text2"/>
      </w:rPr>
      <w:tab/>
    </w:r>
    <w:r>
      <w:rPr>
        <w:color w:val="1F497D" w:themeColor="text2"/>
      </w:rPr>
      <w:tab/>
      <w:t>Protokoll der COVID-19-Lage-AG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0812AE"/>
    <w:multiLevelType w:val="hybridMultilevel"/>
    <w:tmpl w:val="E9564C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CD000DBE">
      <w:start w:val="2"/>
      <w:numFmt w:val="bullet"/>
      <w:lvlText w:val="-"/>
      <w:lvlJc w:val="left"/>
      <w:pPr>
        <w:ind w:left="3600" w:hanging="360"/>
      </w:pPr>
      <w:rPr>
        <w:rFonts w:ascii="Cambria" w:eastAsiaTheme="minorHAnsi" w:hAnsi="Cambria" w:cstheme="minorBid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2AC5A26"/>
    <w:multiLevelType w:val="hybridMultilevel"/>
    <w:tmpl w:val="4F9A1A74"/>
    <w:lvl w:ilvl="0" w:tplc="EB4451E8">
      <w:start w:val="1"/>
      <w:numFmt w:val="bullet"/>
      <w:pStyle w:val="Liste1"/>
      <w:lvlText w:val=""/>
      <w:lvlJc w:val="left"/>
      <w:pPr>
        <w:ind w:left="473" w:hanging="360"/>
      </w:pPr>
      <w:rPr>
        <w:rFonts w:ascii="Symbol" w:hAnsi="Symbol" w:hint="default"/>
      </w:rPr>
    </w:lvl>
    <w:lvl w:ilvl="1" w:tplc="7A4C4BB4">
      <w:start w:val="1"/>
      <w:numFmt w:val="bullet"/>
      <w:pStyle w:val="Liste3"/>
      <w:lvlText w:val=""/>
      <w:lvlJc w:val="left"/>
      <w:pPr>
        <w:ind w:left="1193" w:hanging="360"/>
      </w:pPr>
      <w:rPr>
        <w:rFonts w:ascii="Wingdings" w:hAnsi="Wingdings" w:hint="default"/>
      </w:rPr>
    </w:lvl>
    <w:lvl w:ilvl="2" w:tplc="04070005">
      <w:start w:val="1"/>
      <w:numFmt w:val="bullet"/>
      <w:lvlText w:val=""/>
      <w:lvlJc w:val="left"/>
      <w:pPr>
        <w:ind w:left="1913" w:hanging="360"/>
      </w:pPr>
      <w:rPr>
        <w:rFonts w:ascii="Wingdings" w:hAnsi="Wingdings" w:hint="default"/>
      </w:rPr>
    </w:lvl>
    <w:lvl w:ilvl="3" w:tplc="0407000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3" w15:restartNumberingAfterBreak="0">
    <w:nsid w:val="2B397807"/>
    <w:multiLevelType w:val="hybridMultilevel"/>
    <w:tmpl w:val="4DC03620"/>
    <w:lvl w:ilvl="0" w:tplc="D49CFACC">
      <w:start w:val="1"/>
      <w:numFmt w:val="bullet"/>
      <w:pStyle w:val="3"/>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E8C6729E">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333D7486"/>
    <w:multiLevelType w:val="hybridMultilevel"/>
    <w:tmpl w:val="BA942F36"/>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8AB08AF"/>
    <w:multiLevelType w:val="hybridMultilevel"/>
    <w:tmpl w:val="AAE49294"/>
    <w:lvl w:ilvl="0" w:tplc="71F40AC2">
      <w:start w:val="1"/>
      <w:numFmt w:val="bullet"/>
      <w:pStyle w:val="Liste2"/>
      <w:lvlText w:val="o"/>
      <w:lvlJc w:val="left"/>
      <w:pPr>
        <w:ind w:left="833" w:hanging="360"/>
      </w:pPr>
      <w:rPr>
        <w:rFonts w:ascii="Courier New" w:hAnsi="Courier New" w:cs="Courier New" w:hint="default"/>
        <w:color w:val="auto"/>
      </w:rPr>
    </w:lvl>
    <w:lvl w:ilvl="1" w:tplc="04070005">
      <w:start w:val="1"/>
      <w:numFmt w:val="bullet"/>
      <w:lvlText w:val=""/>
      <w:lvlJc w:val="left"/>
      <w:pPr>
        <w:ind w:left="1553" w:hanging="360"/>
      </w:pPr>
      <w:rPr>
        <w:rFonts w:ascii="Wingdings" w:hAnsi="Wingdings"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7" w15:restartNumberingAfterBreak="0">
    <w:nsid w:val="4B095C62"/>
    <w:multiLevelType w:val="hybridMultilevel"/>
    <w:tmpl w:val="8018B9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0D33AB7"/>
    <w:multiLevelType w:val="hybridMultilevel"/>
    <w:tmpl w:val="ACC479EA"/>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1731752"/>
    <w:multiLevelType w:val="hybridMultilevel"/>
    <w:tmpl w:val="B860ABDA"/>
    <w:lvl w:ilvl="0" w:tplc="04070005">
      <w:start w:val="1"/>
      <w:numFmt w:val="bullet"/>
      <w:lvlText w:val=""/>
      <w:lvlJc w:val="left"/>
      <w:pPr>
        <w:ind w:left="1553" w:hanging="360"/>
      </w:pPr>
      <w:rPr>
        <w:rFonts w:ascii="Wingdings" w:hAnsi="Wingdings" w:hint="default"/>
      </w:rPr>
    </w:lvl>
    <w:lvl w:ilvl="1" w:tplc="04070003" w:tentative="1">
      <w:start w:val="1"/>
      <w:numFmt w:val="bullet"/>
      <w:lvlText w:val="o"/>
      <w:lvlJc w:val="left"/>
      <w:pPr>
        <w:ind w:left="2273" w:hanging="360"/>
      </w:pPr>
      <w:rPr>
        <w:rFonts w:ascii="Courier New" w:hAnsi="Courier New" w:cs="Courier New" w:hint="default"/>
      </w:rPr>
    </w:lvl>
    <w:lvl w:ilvl="2" w:tplc="04070005" w:tentative="1">
      <w:start w:val="1"/>
      <w:numFmt w:val="bullet"/>
      <w:lvlText w:val=""/>
      <w:lvlJc w:val="left"/>
      <w:pPr>
        <w:ind w:left="2993" w:hanging="360"/>
      </w:pPr>
      <w:rPr>
        <w:rFonts w:ascii="Wingdings" w:hAnsi="Wingdings" w:hint="default"/>
      </w:rPr>
    </w:lvl>
    <w:lvl w:ilvl="3" w:tplc="04070001" w:tentative="1">
      <w:start w:val="1"/>
      <w:numFmt w:val="bullet"/>
      <w:lvlText w:val=""/>
      <w:lvlJc w:val="left"/>
      <w:pPr>
        <w:ind w:left="3713" w:hanging="360"/>
      </w:pPr>
      <w:rPr>
        <w:rFonts w:ascii="Symbol" w:hAnsi="Symbol" w:hint="default"/>
      </w:rPr>
    </w:lvl>
    <w:lvl w:ilvl="4" w:tplc="04070003" w:tentative="1">
      <w:start w:val="1"/>
      <w:numFmt w:val="bullet"/>
      <w:lvlText w:val="o"/>
      <w:lvlJc w:val="left"/>
      <w:pPr>
        <w:ind w:left="4433" w:hanging="360"/>
      </w:pPr>
      <w:rPr>
        <w:rFonts w:ascii="Courier New" w:hAnsi="Courier New" w:cs="Courier New" w:hint="default"/>
      </w:rPr>
    </w:lvl>
    <w:lvl w:ilvl="5" w:tplc="04070005" w:tentative="1">
      <w:start w:val="1"/>
      <w:numFmt w:val="bullet"/>
      <w:lvlText w:val=""/>
      <w:lvlJc w:val="left"/>
      <w:pPr>
        <w:ind w:left="5153" w:hanging="360"/>
      </w:pPr>
      <w:rPr>
        <w:rFonts w:ascii="Wingdings" w:hAnsi="Wingdings" w:hint="default"/>
      </w:rPr>
    </w:lvl>
    <w:lvl w:ilvl="6" w:tplc="04070001" w:tentative="1">
      <w:start w:val="1"/>
      <w:numFmt w:val="bullet"/>
      <w:lvlText w:val=""/>
      <w:lvlJc w:val="left"/>
      <w:pPr>
        <w:ind w:left="5873" w:hanging="360"/>
      </w:pPr>
      <w:rPr>
        <w:rFonts w:ascii="Symbol" w:hAnsi="Symbol" w:hint="default"/>
      </w:rPr>
    </w:lvl>
    <w:lvl w:ilvl="7" w:tplc="04070003" w:tentative="1">
      <w:start w:val="1"/>
      <w:numFmt w:val="bullet"/>
      <w:lvlText w:val="o"/>
      <w:lvlJc w:val="left"/>
      <w:pPr>
        <w:ind w:left="6593" w:hanging="360"/>
      </w:pPr>
      <w:rPr>
        <w:rFonts w:ascii="Courier New" w:hAnsi="Courier New" w:cs="Courier New" w:hint="default"/>
      </w:rPr>
    </w:lvl>
    <w:lvl w:ilvl="8" w:tplc="04070005" w:tentative="1">
      <w:start w:val="1"/>
      <w:numFmt w:val="bullet"/>
      <w:lvlText w:val=""/>
      <w:lvlJc w:val="left"/>
      <w:pPr>
        <w:ind w:left="7313" w:hanging="360"/>
      </w:pPr>
      <w:rPr>
        <w:rFonts w:ascii="Wingdings" w:hAnsi="Wingdings" w:hint="default"/>
      </w:rPr>
    </w:lvl>
  </w:abstractNum>
  <w:num w:numId="1">
    <w:abstractNumId w:val="5"/>
  </w:num>
  <w:num w:numId="2">
    <w:abstractNumId w:val="1"/>
  </w:num>
  <w:num w:numId="3">
    <w:abstractNumId w:val="0"/>
  </w:num>
  <w:num w:numId="4">
    <w:abstractNumId w:val="7"/>
  </w:num>
  <w:num w:numId="5">
    <w:abstractNumId w:val="3"/>
  </w:num>
  <w:num w:numId="6">
    <w:abstractNumId w:val="2"/>
  </w:num>
  <w:num w:numId="7">
    <w:abstractNumId w:val="6"/>
  </w:num>
  <w:num w:numId="8">
    <w:abstractNumId w:val="9"/>
  </w:num>
  <w:num w:numId="9">
    <w:abstractNumId w:val="8"/>
  </w:num>
  <w:num w:numId="10">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 w:type="paragraph" w:customStyle="1" w:styleId="1">
    <w:name w:val="Ü1"/>
    <w:basedOn w:val="Standard"/>
    <w:link w:val="1Zchn"/>
    <w:qFormat/>
    <w:pPr>
      <w:spacing w:after="120" w:line="276" w:lineRule="auto"/>
    </w:pPr>
    <w:rPr>
      <w:b/>
      <w:sz w:val="28"/>
    </w:rPr>
  </w:style>
  <w:style w:type="paragraph" w:customStyle="1" w:styleId="2">
    <w:name w:val="Ü2"/>
    <w:basedOn w:val="Standard"/>
    <w:link w:val="2Zchn"/>
    <w:qFormat/>
    <w:pPr>
      <w:spacing w:before="120" w:after="120" w:line="276" w:lineRule="auto"/>
    </w:pPr>
    <w:rPr>
      <w:b/>
    </w:rPr>
  </w:style>
  <w:style w:type="character" w:customStyle="1" w:styleId="1Zchn">
    <w:name w:val="Ü1 Zchn"/>
    <w:basedOn w:val="Absatz-Standardschriftart"/>
    <w:link w:val="1"/>
    <w:rPr>
      <w:b/>
      <w:sz w:val="28"/>
    </w:rPr>
  </w:style>
  <w:style w:type="paragraph" w:customStyle="1" w:styleId="3">
    <w:name w:val="Ü3"/>
    <w:basedOn w:val="Listenabsatz"/>
    <w:link w:val="3Zchn"/>
    <w:qFormat/>
    <w:pPr>
      <w:numPr>
        <w:numId w:val="5"/>
      </w:numPr>
      <w:spacing w:before="120" w:after="0"/>
    </w:pPr>
    <w:rPr>
      <w:b/>
      <w:sz w:val="22"/>
      <w:szCs w:val="22"/>
    </w:rPr>
  </w:style>
  <w:style w:type="character" w:customStyle="1" w:styleId="2Zchn">
    <w:name w:val="Ü2 Zchn"/>
    <w:basedOn w:val="Absatz-Standardschriftart"/>
    <w:link w:val="2"/>
    <w:rPr>
      <w:b/>
    </w:rPr>
  </w:style>
  <w:style w:type="paragraph" w:customStyle="1" w:styleId="Liste1">
    <w:name w:val="Liste1"/>
    <w:basedOn w:val="Listenabsatz"/>
    <w:link w:val="Liste1Zchn"/>
    <w:qFormat/>
    <w:pPr>
      <w:numPr>
        <w:numId w:val="6"/>
      </w:numPr>
      <w:spacing w:after="0"/>
    </w:pPr>
    <w:rPr>
      <w:sz w:val="22"/>
      <w:szCs w:val="22"/>
    </w:rPr>
  </w:style>
  <w:style w:type="character" w:customStyle="1" w:styleId="3Zchn">
    <w:name w:val="Ü3 Zchn"/>
    <w:basedOn w:val="Absatz-Standardschriftart"/>
    <w:link w:val="3"/>
    <w:rPr>
      <w:b/>
      <w:sz w:val="22"/>
      <w:szCs w:val="22"/>
    </w:rPr>
  </w:style>
  <w:style w:type="paragraph" w:customStyle="1" w:styleId="Liste2">
    <w:name w:val="Liste2"/>
    <w:basedOn w:val="Listenabsatz"/>
    <w:link w:val="Liste2Zchn"/>
    <w:qFormat/>
    <w:pPr>
      <w:numPr>
        <w:numId w:val="7"/>
      </w:numPr>
      <w:spacing w:after="0"/>
    </w:pPr>
    <w:rPr>
      <w:sz w:val="22"/>
      <w:szCs w:val="22"/>
      <w:lang w:val="en-GB"/>
    </w:rPr>
  </w:style>
  <w:style w:type="character" w:customStyle="1" w:styleId="Liste1Zchn">
    <w:name w:val="Liste1 Zchn"/>
    <w:basedOn w:val="ListenabsatzZchn"/>
    <w:link w:val="Liste1"/>
    <w:rPr>
      <w:sz w:val="22"/>
      <w:szCs w:val="22"/>
    </w:rPr>
  </w:style>
  <w:style w:type="paragraph" w:customStyle="1" w:styleId="Liste3">
    <w:name w:val="Liste3"/>
    <w:basedOn w:val="Listenabsatz"/>
    <w:link w:val="Liste3Zchn"/>
    <w:qFormat/>
    <w:pPr>
      <w:numPr>
        <w:ilvl w:val="1"/>
        <w:numId w:val="6"/>
      </w:numPr>
      <w:spacing w:after="0"/>
    </w:pPr>
    <w:rPr>
      <w:sz w:val="22"/>
      <w:szCs w:val="22"/>
    </w:rPr>
  </w:style>
  <w:style w:type="character" w:customStyle="1" w:styleId="Liste2Zchn">
    <w:name w:val="Liste2 Zchn"/>
    <w:basedOn w:val="ListenabsatzZchn"/>
    <w:link w:val="Liste2"/>
    <w:rPr>
      <w:sz w:val="22"/>
      <w:szCs w:val="22"/>
      <w:lang w:val="en-GB"/>
    </w:rPr>
  </w:style>
  <w:style w:type="paragraph" w:customStyle="1" w:styleId="TagFr">
    <w:name w:val="Tag_Fr"/>
    <w:basedOn w:val="Standard"/>
    <w:link w:val="TagFrZchn"/>
    <w:qFormat/>
    <w:pPr>
      <w:spacing w:after="120" w:line="276" w:lineRule="auto"/>
    </w:pPr>
    <w:rPr>
      <w:b/>
      <w:i/>
      <w:color w:val="8DB3E2" w:themeColor="text2" w:themeTint="66"/>
      <w:sz w:val="22"/>
      <w:szCs w:val="22"/>
    </w:rPr>
  </w:style>
  <w:style w:type="character" w:customStyle="1" w:styleId="Liste3Zchn">
    <w:name w:val="Liste3 Zchn"/>
    <w:basedOn w:val="ListenabsatzZchn"/>
    <w:link w:val="Liste3"/>
    <w:rPr>
      <w:sz w:val="22"/>
      <w:szCs w:val="22"/>
    </w:rPr>
  </w:style>
  <w:style w:type="paragraph" w:customStyle="1" w:styleId="TagMi">
    <w:name w:val="Tag_Mi"/>
    <w:basedOn w:val="Standard"/>
    <w:link w:val="TagMiZchn"/>
    <w:qFormat/>
    <w:pPr>
      <w:spacing w:after="0"/>
      <w:ind w:left="113"/>
    </w:pPr>
    <w:rPr>
      <w:b/>
      <w:i/>
      <w:color w:val="D99594" w:themeColor="accent2" w:themeTint="99"/>
    </w:rPr>
  </w:style>
  <w:style w:type="character" w:customStyle="1" w:styleId="TagFrZchn">
    <w:name w:val="Tag_Fr Zchn"/>
    <w:basedOn w:val="Absatz-Standardschriftart"/>
    <w:link w:val="TagFr"/>
    <w:rPr>
      <w:b/>
      <w:i/>
      <w:color w:val="8DB3E2" w:themeColor="text2" w:themeTint="66"/>
      <w:sz w:val="22"/>
      <w:szCs w:val="22"/>
    </w:rPr>
  </w:style>
  <w:style w:type="paragraph" w:customStyle="1" w:styleId="TagMo">
    <w:name w:val="Tag_Mo"/>
    <w:basedOn w:val="Standard"/>
    <w:link w:val="TagMoZchn"/>
    <w:qFormat/>
    <w:pPr>
      <w:spacing w:after="0" w:line="276" w:lineRule="auto"/>
    </w:pPr>
    <w:rPr>
      <w:b/>
      <w:i/>
      <w:color w:val="C2D69B" w:themeColor="accent3" w:themeTint="99"/>
    </w:rPr>
  </w:style>
  <w:style w:type="character" w:customStyle="1" w:styleId="TagMiZchn">
    <w:name w:val="Tag_Mi Zchn"/>
    <w:basedOn w:val="ListenabsatzZchn"/>
    <w:link w:val="TagMi"/>
    <w:rPr>
      <w:b/>
      <w:i/>
      <w:color w:val="D99594" w:themeColor="accent2" w:themeTint="99"/>
    </w:rPr>
  </w:style>
  <w:style w:type="paragraph" w:customStyle="1" w:styleId="ToDo">
    <w:name w:val="ToDo"/>
    <w:basedOn w:val="Standard"/>
    <w:link w:val="ToDoZchn"/>
    <w:qFormat/>
    <w:pPr>
      <w:spacing w:before="120" w:after="120"/>
    </w:pPr>
    <w:rPr>
      <w:i/>
      <w:sz w:val="22"/>
      <w:szCs w:val="22"/>
    </w:rPr>
  </w:style>
  <w:style w:type="character" w:customStyle="1" w:styleId="TagMoZchn">
    <w:name w:val="Tag_Mo Zchn"/>
    <w:basedOn w:val="Absatz-Standardschriftart"/>
    <w:link w:val="TagMo"/>
    <w:rPr>
      <w:b/>
      <w:i/>
      <w:color w:val="C2D69B" w:themeColor="accent3" w:themeTint="99"/>
    </w:rPr>
  </w:style>
  <w:style w:type="character" w:customStyle="1" w:styleId="ToDoZchn">
    <w:name w:val="ToDo Zchn"/>
    <w:basedOn w:val="Absatz-Standardschriftart"/>
    <w:link w:val="ToDo"/>
    <w:rPr>
      <w:i/>
      <w:sz w:val="22"/>
      <w:szCs w:val="22"/>
    </w:rPr>
  </w:style>
  <w:style w:type="paragraph" w:styleId="StandardWeb">
    <w:name w:val="Normal (Web)"/>
    <w:basedOn w:val="Standard"/>
    <w:uiPriority w:val="99"/>
    <w:semiHidden/>
    <w:unhideWhenUsed/>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81505">
      <w:bodyDiv w:val="1"/>
      <w:marLeft w:val="0"/>
      <w:marRight w:val="0"/>
      <w:marTop w:val="0"/>
      <w:marBottom w:val="0"/>
      <w:divBdr>
        <w:top w:val="none" w:sz="0" w:space="0" w:color="auto"/>
        <w:left w:val="none" w:sz="0" w:space="0" w:color="auto"/>
        <w:bottom w:val="none" w:sz="0" w:space="0" w:color="auto"/>
        <w:right w:val="none" w:sz="0" w:space="0" w:color="auto"/>
      </w:divBdr>
    </w:div>
    <w:div w:id="169175843">
      <w:bodyDiv w:val="1"/>
      <w:marLeft w:val="0"/>
      <w:marRight w:val="0"/>
      <w:marTop w:val="0"/>
      <w:marBottom w:val="0"/>
      <w:divBdr>
        <w:top w:val="none" w:sz="0" w:space="0" w:color="auto"/>
        <w:left w:val="none" w:sz="0" w:space="0" w:color="auto"/>
        <w:bottom w:val="none" w:sz="0" w:space="0" w:color="auto"/>
        <w:right w:val="none" w:sz="0" w:space="0" w:color="auto"/>
      </w:divBdr>
    </w:div>
    <w:div w:id="201211531">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238949529">
      <w:bodyDiv w:val="1"/>
      <w:marLeft w:val="0"/>
      <w:marRight w:val="0"/>
      <w:marTop w:val="0"/>
      <w:marBottom w:val="0"/>
      <w:divBdr>
        <w:top w:val="none" w:sz="0" w:space="0" w:color="auto"/>
        <w:left w:val="none" w:sz="0" w:space="0" w:color="auto"/>
        <w:bottom w:val="none" w:sz="0" w:space="0" w:color="auto"/>
        <w:right w:val="none" w:sz="0" w:space="0" w:color="auto"/>
      </w:divBdr>
      <w:divsChild>
        <w:div w:id="1875772106">
          <w:marLeft w:val="547"/>
          <w:marRight w:val="0"/>
          <w:marTop w:val="0"/>
          <w:marBottom w:val="0"/>
          <w:divBdr>
            <w:top w:val="none" w:sz="0" w:space="0" w:color="auto"/>
            <w:left w:val="none" w:sz="0" w:space="0" w:color="auto"/>
            <w:bottom w:val="none" w:sz="0" w:space="0" w:color="auto"/>
            <w:right w:val="none" w:sz="0" w:space="0" w:color="auto"/>
          </w:divBdr>
        </w:div>
      </w:divsChild>
    </w:div>
    <w:div w:id="249697970">
      <w:bodyDiv w:val="1"/>
      <w:marLeft w:val="0"/>
      <w:marRight w:val="0"/>
      <w:marTop w:val="0"/>
      <w:marBottom w:val="0"/>
      <w:divBdr>
        <w:top w:val="none" w:sz="0" w:space="0" w:color="auto"/>
        <w:left w:val="none" w:sz="0" w:space="0" w:color="auto"/>
        <w:bottom w:val="none" w:sz="0" w:space="0" w:color="auto"/>
        <w:right w:val="none" w:sz="0" w:space="0" w:color="auto"/>
      </w:divBdr>
      <w:divsChild>
        <w:div w:id="797187378">
          <w:marLeft w:val="547"/>
          <w:marRight w:val="0"/>
          <w:marTop w:val="0"/>
          <w:marBottom w:val="0"/>
          <w:divBdr>
            <w:top w:val="none" w:sz="0" w:space="0" w:color="auto"/>
            <w:left w:val="none" w:sz="0" w:space="0" w:color="auto"/>
            <w:bottom w:val="none" w:sz="0" w:space="0" w:color="auto"/>
            <w:right w:val="none" w:sz="0" w:space="0" w:color="auto"/>
          </w:divBdr>
        </w:div>
      </w:divsChild>
    </w:div>
    <w:div w:id="253167188">
      <w:bodyDiv w:val="1"/>
      <w:marLeft w:val="0"/>
      <w:marRight w:val="0"/>
      <w:marTop w:val="0"/>
      <w:marBottom w:val="0"/>
      <w:divBdr>
        <w:top w:val="none" w:sz="0" w:space="0" w:color="auto"/>
        <w:left w:val="none" w:sz="0" w:space="0" w:color="auto"/>
        <w:bottom w:val="none" w:sz="0" w:space="0" w:color="auto"/>
        <w:right w:val="none" w:sz="0" w:space="0" w:color="auto"/>
      </w:divBdr>
      <w:divsChild>
        <w:div w:id="687677226">
          <w:marLeft w:val="274"/>
          <w:marRight w:val="0"/>
          <w:marTop w:val="0"/>
          <w:marBottom w:val="0"/>
          <w:divBdr>
            <w:top w:val="none" w:sz="0" w:space="0" w:color="auto"/>
            <w:left w:val="none" w:sz="0" w:space="0" w:color="auto"/>
            <w:bottom w:val="none" w:sz="0" w:space="0" w:color="auto"/>
            <w:right w:val="none" w:sz="0" w:space="0" w:color="auto"/>
          </w:divBdr>
        </w:div>
      </w:divsChild>
    </w:div>
    <w:div w:id="261035361">
      <w:bodyDiv w:val="1"/>
      <w:marLeft w:val="0"/>
      <w:marRight w:val="0"/>
      <w:marTop w:val="0"/>
      <w:marBottom w:val="0"/>
      <w:divBdr>
        <w:top w:val="none" w:sz="0" w:space="0" w:color="auto"/>
        <w:left w:val="none" w:sz="0" w:space="0" w:color="auto"/>
        <w:bottom w:val="none" w:sz="0" w:space="0" w:color="auto"/>
        <w:right w:val="none" w:sz="0" w:space="0" w:color="auto"/>
      </w:divBdr>
    </w:div>
    <w:div w:id="478962401">
      <w:bodyDiv w:val="1"/>
      <w:marLeft w:val="0"/>
      <w:marRight w:val="0"/>
      <w:marTop w:val="0"/>
      <w:marBottom w:val="0"/>
      <w:divBdr>
        <w:top w:val="none" w:sz="0" w:space="0" w:color="auto"/>
        <w:left w:val="none" w:sz="0" w:space="0" w:color="auto"/>
        <w:bottom w:val="none" w:sz="0" w:space="0" w:color="auto"/>
        <w:right w:val="none" w:sz="0" w:space="0" w:color="auto"/>
      </w:divBdr>
    </w:div>
    <w:div w:id="480005649">
      <w:bodyDiv w:val="1"/>
      <w:marLeft w:val="0"/>
      <w:marRight w:val="0"/>
      <w:marTop w:val="0"/>
      <w:marBottom w:val="0"/>
      <w:divBdr>
        <w:top w:val="none" w:sz="0" w:space="0" w:color="auto"/>
        <w:left w:val="none" w:sz="0" w:space="0" w:color="auto"/>
        <w:bottom w:val="none" w:sz="0" w:space="0" w:color="auto"/>
        <w:right w:val="none" w:sz="0" w:space="0" w:color="auto"/>
      </w:divBdr>
      <w:divsChild>
        <w:div w:id="205874553">
          <w:marLeft w:val="274"/>
          <w:marRight w:val="0"/>
          <w:marTop w:val="0"/>
          <w:marBottom w:val="0"/>
          <w:divBdr>
            <w:top w:val="none" w:sz="0" w:space="0" w:color="auto"/>
            <w:left w:val="none" w:sz="0" w:space="0" w:color="auto"/>
            <w:bottom w:val="none" w:sz="0" w:space="0" w:color="auto"/>
            <w:right w:val="none" w:sz="0" w:space="0" w:color="auto"/>
          </w:divBdr>
        </w:div>
        <w:div w:id="1751805039">
          <w:marLeft w:val="274"/>
          <w:marRight w:val="0"/>
          <w:marTop w:val="0"/>
          <w:marBottom w:val="0"/>
          <w:divBdr>
            <w:top w:val="none" w:sz="0" w:space="0" w:color="auto"/>
            <w:left w:val="none" w:sz="0" w:space="0" w:color="auto"/>
            <w:bottom w:val="none" w:sz="0" w:space="0" w:color="auto"/>
            <w:right w:val="none" w:sz="0" w:space="0" w:color="auto"/>
          </w:divBdr>
        </w:div>
        <w:div w:id="203636948">
          <w:marLeft w:val="274"/>
          <w:marRight w:val="0"/>
          <w:marTop w:val="0"/>
          <w:marBottom w:val="0"/>
          <w:divBdr>
            <w:top w:val="none" w:sz="0" w:space="0" w:color="auto"/>
            <w:left w:val="none" w:sz="0" w:space="0" w:color="auto"/>
            <w:bottom w:val="none" w:sz="0" w:space="0" w:color="auto"/>
            <w:right w:val="none" w:sz="0" w:space="0" w:color="auto"/>
          </w:divBdr>
        </w:div>
      </w:divsChild>
    </w:div>
    <w:div w:id="550120662">
      <w:bodyDiv w:val="1"/>
      <w:marLeft w:val="0"/>
      <w:marRight w:val="0"/>
      <w:marTop w:val="0"/>
      <w:marBottom w:val="0"/>
      <w:divBdr>
        <w:top w:val="none" w:sz="0" w:space="0" w:color="auto"/>
        <w:left w:val="none" w:sz="0" w:space="0" w:color="auto"/>
        <w:bottom w:val="none" w:sz="0" w:space="0" w:color="auto"/>
        <w:right w:val="none" w:sz="0" w:space="0" w:color="auto"/>
      </w:divBdr>
    </w:div>
    <w:div w:id="609168675">
      <w:bodyDiv w:val="1"/>
      <w:marLeft w:val="0"/>
      <w:marRight w:val="0"/>
      <w:marTop w:val="0"/>
      <w:marBottom w:val="0"/>
      <w:divBdr>
        <w:top w:val="none" w:sz="0" w:space="0" w:color="auto"/>
        <w:left w:val="none" w:sz="0" w:space="0" w:color="auto"/>
        <w:bottom w:val="none" w:sz="0" w:space="0" w:color="auto"/>
        <w:right w:val="none" w:sz="0" w:space="0" w:color="auto"/>
      </w:divBdr>
    </w:div>
    <w:div w:id="649751085">
      <w:bodyDiv w:val="1"/>
      <w:marLeft w:val="0"/>
      <w:marRight w:val="0"/>
      <w:marTop w:val="0"/>
      <w:marBottom w:val="0"/>
      <w:divBdr>
        <w:top w:val="none" w:sz="0" w:space="0" w:color="auto"/>
        <w:left w:val="none" w:sz="0" w:space="0" w:color="auto"/>
        <w:bottom w:val="none" w:sz="0" w:space="0" w:color="auto"/>
        <w:right w:val="none" w:sz="0" w:space="0" w:color="auto"/>
      </w:divBdr>
      <w:divsChild>
        <w:div w:id="1774202613">
          <w:marLeft w:val="547"/>
          <w:marRight w:val="0"/>
          <w:marTop w:val="200"/>
          <w:marBottom w:val="0"/>
          <w:divBdr>
            <w:top w:val="none" w:sz="0" w:space="0" w:color="auto"/>
            <w:left w:val="none" w:sz="0" w:space="0" w:color="auto"/>
            <w:bottom w:val="none" w:sz="0" w:space="0" w:color="auto"/>
            <w:right w:val="none" w:sz="0" w:space="0" w:color="auto"/>
          </w:divBdr>
        </w:div>
        <w:div w:id="224266341">
          <w:marLeft w:val="547"/>
          <w:marRight w:val="0"/>
          <w:marTop w:val="200"/>
          <w:marBottom w:val="0"/>
          <w:divBdr>
            <w:top w:val="none" w:sz="0" w:space="0" w:color="auto"/>
            <w:left w:val="none" w:sz="0" w:space="0" w:color="auto"/>
            <w:bottom w:val="none" w:sz="0" w:space="0" w:color="auto"/>
            <w:right w:val="none" w:sz="0" w:space="0" w:color="auto"/>
          </w:divBdr>
        </w:div>
      </w:divsChild>
    </w:div>
    <w:div w:id="660892352">
      <w:bodyDiv w:val="1"/>
      <w:marLeft w:val="0"/>
      <w:marRight w:val="0"/>
      <w:marTop w:val="0"/>
      <w:marBottom w:val="0"/>
      <w:divBdr>
        <w:top w:val="none" w:sz="0" w:space="0" w:color="auto"/>
        <w:left w:val="none" w:sz="0" w:space="0" w:color="auto"/>
        <w:bottom w:val="none" w:sz="0" w:space="0" w:color="auto"/>
        <w:right w:val="none" w:sz="0" w:space="0" w:color="auto"/>
      </w:divBdr>
      <w:divsChild>
        <w:div w:id="1071659235">
          <w:marLeft w:val="274"/>
          <w:marRight w:val="0"/>
          <w:marTop w:val="0"/>
          <w:marBottom w:val="0"/>
          <w:divBdr>
            <w:top w:val="none" w:sz="0" w:space="0" w:color="auto"/>
            <w:left w:val="none" w:sz="0" w:space="0" w:color="auto"/>
            <w:bottom w:val="none" w:sz="0" w:space="0" w:color="auto"/>
            <w:right w:val="none" w:sz="0" w:space="0" w:color="auto"/>
          </w:divBdr>
        </w:div>
        <w:div w:id="62335987">
          <w:marLeft w:val="274"/>
          <w:marRight w:val="0"/>
          <w:marTop w:val="0"/>
          <w:marBottom w:val="0"/>
          <w:divBdr>
            <w:top w:val="none" w:sz="0" w:space="0" w:color="auto"/>
            <w:left w:val="none" w:sz="0" w:space="0" w:color="auto"/>
            <w:bottom w:val="none" w:sz="0" w:space="0" w:color="auto"/>
            <w:right w:val="none" w:sz="0" w:space="0" w:color="auto"/>
          </w:divBdr>
        </w:div>
        <w:div w:id="191695383">
          <w:marLeft w:val="274"/>
          <w:marRight w:val="0"/>
          <w:marTop w:val="0"/>
          <w:marBottom w:val="0"/>
          <w:divBdr>
            <w:top w:val="none" w:sz="0" w:space="0" w:color="auto"/>
            <w:left w:val="none" w:sz="0" w:space="0" w:color="auto"/>
            <w:bottom w:val="none" w:sz="0" w:space="0" w:color="auto"/>
            <w:right w:val="none" w:sz="0" w:space="0" w:color="auto"/>
          </w:divBdr>
        </w:div>
        <w:div w:id="807165090">
          <w:marLeft w:val="994"/>
          <w:marRight w:val="0"/>
          <w:marTop w:val="0"/>
          <w:marBottom w:val="0"/>
          <w:divBdr>
            <w:top w:val="none" w:sz="0" w:space="0" w:color="auto"/>
            <w:left w:val="none" w:sz="0" w:space="0" w:color="auto"/>
            <w:bottom w:val="none" w:sz="0" w:space="0" w:color="auto"/>
            <w:right w:val="none" w:sz="0" w:space="0" w:color="auto"/>
          </w:divBdr>
        </w:div>
        <w:div w:id="1722360729">
          <w:marLeft w:val="994"/>
          <w:marRight w:val="0"/>
          <w:marTop w:val="0"/>
          <w:marBottom w:val="0"/>
          <w:divBdr>
            <w:top w:val="none" w:sz="0" w:space="0" w:color="auto"/>
            <w:left w:val="none" w:sz="0" w:space="0" w:color="auto"/>
            <w:bottom w:val="none" w:sz="0" w:space="0" w:color="auto"/>
            <w:right w:val="none" w:sz="0" w:space="0" w:color="auto"/>
          </w:divBdr>
        </w:div>
      </w:divsChild>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725763791">
      <w:bodyDiv w:val="1"/>
      <w:marLeft w:val="0"/>
      <w:marRight w:val="0"/>
      <w:marTop w:val="0"/>
      <w:marBottom w:val="0"/>
      <w:divBdr>
        <w:top w:val="none" w:sz="0" w:space="0" w:color="auto"/>
        <w:left w:val="none" w:sz="0" w:space="0" w:color="auto"/>
        <w:bottom w:val="none" w:sz="0" w:space="0" w:color="auto"/>
        <w:right w:val="none" w:sz="0" w:space="0" w:color="auto"/>
      </w:divBdr>
      <w:divsChild>
        <w:div w:id="2070882338">
          <w:marLeft w:val="274"/>
          <w:marRight w:val="0"/>
          <w:marTop w:val="0"/>
          <w:marBottom w:val="0"/>
          <w:divBdr>
            <w:top w:val="none" w:sz="0" w:space="0" w:color="auto"/>
            <w:left w:val="none" w:sz="0" w:space="0" w:color="auto"/>
            <w:bottom w:val="none" w:sz="0" w:space="0" w:color="auto"/>
            <w:right w:val="none" w:sz="0" w:space="0" w:color="auto"/>
          </w:divBdr>
        </w:div>
      </w:divsChild>
    </w:div>
    <w:div w:id="845946530">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6034900">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2443319">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033925607">
      <w:bodyDiv w:val="1"/>
      <w:marLeft w:val="0"/>
      <w:marRight w:val="0"/>
      <w:marTop w:val="0"/>
      <w:marBottom w:val="0"/>
      <w:divBdr>
        <w:top w:val="none" w:sz="0" w:space="0" w:color="auto"/>
        <w:left w:val="none" w:sz="0" w:space="0" w:color="auto"/>
        <w:bottom w:val="none" w:sz="0" w:space="0" w:color="auto"/>
        <w:right w:val="none" w:sz="0" w:space="0" w:color="auto"/>
      </w:divBdr>
    </w:div>
    <w:div w:id="1064986588">
      <w:bodyDiv w:val="1"/>
      <w:marLeft w:val="0"/>
      <w:marRight w:val="0"/>
      <w:marTop w:val="0"/>
      <w:marBottom w:val="0"/>
      <w:divBdr>
        <w:top w:val="none" w:sz="0" w:space="0" w:color="auto"/>
        <w:left w:val="none" w:sz="0" w:space="0" w:color="auto"/>
        <w:bottom w:val="none" w:sz="0" w:space="0" w:color="auto"/>
        <w:right w:val="none" w:sz="0" w:space="0" w:color="auto"/>
      </w:divBdr>
    </w:div>
    <w:div w:id="1080099987">
      <w:bodyDiv w:val="1"/>
      <w:marLeft w:val="0"/>
      <w:marRight w:val="0"/>
      <w:marTop w:val="0"/>
      <w:marBottom w:val="0"/>
      <w:divBdr>
        <w:top w:val="none" w:sz="0" w:space="0" w:color="auto"/>
        <w:left w:val="none" w:sz="0" w:space="0" w:color="auto"/>
        <w:bottom w:val="none" w:sz="0" w:space="0" w:color="auto"/>
        <w:right w:val="none" w:sz="0" w:space="0" w:color="auto"/>
      </w:divBdr>
      <w:divsChild>
        <w:div w:id="1877966725">
          <w:marLeft w:val="274"/>
          <w:marRight w:val="0"/>
          <w:marTop w:val="0"/>
          <w:marBottom w:val="0"/>
          <w:divBdr>
            <w:top w:val="none" w:sz="0" w:space="0" w:color="auto"/>
            <w:left w:val="none" w:sz="0" w:space="0" w:color="auto"/>
            <w:bottom w:val="none" w:sz="0" w:space="0" w:color="auto"/>
            <w:right w:val="none" w:sz="0" w:space="0" w:color="auto"/>
          </w:divBdr>
        </w:div>
      </w:divsChild>
    </w:div>
    <w:div w:id="1089737047">
      <w:bodyDiv w:val="1"/>
      <w:marLeft w:val="0"/>
      <w:marRight w:val="0"/>
      <w:marTop w:val="0"/>
      <w:marBottom w:val="0"/>
      <w:divBdr>
        <w:top w:val="none" w:sz="0" w:space="0" w:color="auto"/>
        <w:left w:val="none" w:sz="0" w:space="0" w:color="auto"/>
        <w:bottom w:val="none" w:sz="0" w:space="0" w:color="auto"/>
        <w:right w:val="none" w:sz="0" w:space="0" w:color="auto"/>
      </w:divBdr>
    </w:div>
    <w:div w:id="1127818289">
      <w:bodyDiv w:val="1"/>
      <w:marLeft w:val="0"/>
      <w:marRight w:val="0"/>
      <w:marTop w:val="0"/>
      <w:marBottom w:val="0"/>
      <w:divBdr>
        <w:top w:val="none" w:sz="0" w:space="0" w:color="auto"/>
        <w:left w:val="none" w:sz="0" w:space="0" w:color="auto"/>
        <w:bottom w:val="none" w:sz="0" w:space="0" w:color="auto"/>
        <w:right w:val="none" w:sz="0" w:space="0" w:color="auto"/>
      </w:divBdr>
      <w:divsChild>
        <w:div w:id="1570773139">
          <w:marLeft w:val="547"/>
          <w:marRight w:val="0"/>
          <w:marTop w:val="0"/>
          <w:marBottom w:val="0"/>
          <w:divBdr>
            <w:top w:val="none" w:sz="0" w:space="0" w:color="auto"/>
            <w:left w:val="none" w:sz="0" w:space="0" w:color="auto"/>
            <w:bottom w:val="none" w:sz="0" w:space="0" w:color="auto"/>
            <w:right w:val="none" w:sz="0" w:space="0" w:color="auto"/>
          </w:divBdr>
        </w:div>
      </w:divsChild>
    </w:div>
    <w:div w:id="1128741622">
      <w:bodyDiv w:val="1"/>
      <w:marLeft w:val="0"/>
      <w:marRight w:val="0"/>
      <w:marTop w:val="0"/>
      <w:marBottom w:val="0"/>
      <w:divBdr>
        <w:top w:val="none" w:sz="0" w:space="0" w:color="auto"/>
        <w:left w:val="none" w:sz="0" w:space="0" w:color="auto"/>
        <w:bottom w:val="none" w:sz="0" w:space="0" w:color="auto"/>
        <w:right w:val="none" w:sz="0" w:space="0" w:color="auto"/>
      </w:divBdr>
    </w:div>
    <w:div w:id="1294748174">
      <w:bodyDiv w:val="1"/>
      <w:marLeft w:val="0"/>
      <w:marRight w:val="0"/>
      <w:marTop w:val="0"/>
      <w:marBottom w:val="0"/>
      <w:divBdr>
        <w:top w:val="none" w:sz="0" w:space="0" w:color="auto"/>
        <w:left w:val="none" w:sz="0" w:space="0" w:color="auto"/>
        <w:bottom w:val="none" w:sz="0" w:space="0" w:color="auto"/>
        <w:right w:val="none" w:sz="0" w:space="0" w:color="auto"/>
      </w:divBdr>
      <w:divsChild>
        <w:div w:id="1684238602">
          <w:marLeft w:val="274"/>
          <w:marRight w:val="0"/>
          <w:marTop w:val="0"/>
          <w:marBottom w:val="0"/>
          <w:divBdr>
            <w:top w:val="none" w:sz="0" w:space="0" w:color="auto"/>
            <w:left w:val="none" w:sz="0" w:space="0" w:color="auto"/>
            <w:bottom w:val="none" w:sz="0" w:space="0" w:color="auto"/>
            <w:right w:val="none" w:sz="0" w:space="0" w:color="auto"/>
          </w:divBdr>
        </w:div>
        <w:div w:id="860507150">
          <w:marLeft w:val="994"/>
          <w:marRight w:val="0"/>
          <w:marTop w:val="0"/>
          <w:marBottom w:val="0"/>
          <w:divBdr>
            <w:top w:val="none" w:sz="0" w:space="0" w:color="auto"/>
            <w:left w:val="none" w:sz="0" w:space="0" w:color="auto"/>
            <w:bottom w:val="none" w:sz="0" w:space="0" w:color="auto"/>
            <w:right w:val="none" w:sz="0" w:space="0" w:color="auto"/>
          </w:divBdr>
        </w:div>
        <w:div w:id="1550844436">
          <w:marLeft w:val="994"/>
          <w:marRight w:val="0"/>
          <w:marTop w:val="0"/>
          <w:marBottom w:val="0"/>
          <w:divBdr>
            <w:top w:val="none" w:sz="0" w:space="0" w:color="auto"/>
            <w:left w:val="none" w:sz="0" w:space="0" w:color="auto"/>
            <w:bottom w:val="none" w:sz="0" w:space="0" w:color="auto"/>
            <w:right w:val="none" w:sz="0" w:space="0" w:color="auto"/>
          </w:divBdr>
        </w:div>
      </w:divsChild>
    </w:div>
    <w:div w:id="1296837101">
      <w:bodyDiv w:val="1"/>
      <w:marLeft w:val="0"/>
      <w:marRight w:val="0"/>
      <w:marTop w:val="0"/>
      <w:marBottom w:val="0"/>
      <w:divBdr>
        <w:top w:val="none" w:sz="0" w:space="0" w:color="auto"/>
        <w:left w:val="none" w:sz="0" w:space="0" w:color="auto"/>
        <w:bottom w:val="none" w:sz="0" w:space="0" w:color="auto"/>
        <w:right w:val="none" w:sz="0" w:space="0" w:color="auto"/>
      </w:divBdr>
    </w:div>
    <w:div w:id="1393236076">
      <w:bodyDiv w:val="1"/>
      <w:marLeft w:val="0"/>
      <w:marRight w:val="0"/>
      <w:marTop w:val="0"/>
      <w:marBottom w:val="0"/>
      <w:divBdr>
        <w:top w:val="none" w:sz="0" w:space="0" w:color="auto"/>
        <w:left w:val="none" w:sz="0" w:space="0" w:color="auto"/>
        <w:bottom w:val="none" w:sz="0" w:space="0" w:color="auto"/>
        <w:right w:val="none" w:sz="0" w:space="0" w:color="auto"/>
      </w:divBdr>
    </w:div>
    <w:div w:id="1394891930">
      <w:bodyDiv w:val="1"/>
      <w:marLeft w:val="0"/>
      <w:marRight w:val="0"/>
      <w:marTop w:val="0"/>
      <w:marBottom w:val="0"/>
      <w:divBdr>
        <w:top w:val="none" w:sz="0" w:space="0" w:color="auto"/>
        <w:left w:val="none" w:sz="0" w:space="0" w:color="auto"/>
        <w:bottom w:val="none" w:sz="0" w:space="0" w:color="auto"/>
        <w:right w:val="none" w:sz="0" w:space="0" w:color="auto"/>
      </w:divBdr>
      <w:divsChild>
        <w:div w:id="2118599120">
          <w:marLeft w:val="547"/>
          <w:marRight w:val="0"/>
          <w:marTop w:val="0"/>
          <w:marBottom w:val="0"/>
          <w:divBdr>
            <w:top w:val="none" w:sz="0" w:space="0" w:color="auto"/>
            <w:left w:val="none" w:sz="0" w:space="0" w:color="auto"/>
            <w:bottom w:val="none" w:sz="0" w:space="0" w:color="auto"/>
            <w:right w:val="none" w:sz="0" w:space="0" w:color="auto"/>
          </w:divBdr>
        </w:div>
      </w:divsChild>
    </w:div>
    <w:div w:id="1505362192">
      <w:bodyDiv w:val="1"/>
      <w:marLeft w:val="0"/>
      <w:marRight w:val="0"/>
      <w:marTop w:val="0"/>
      <w:marBottom w:val="0"/>
      <w:divBdr>
        <w:top w:val="none" w:sz="0" w:space="0" w:color="auto"/>
        <w:left w:val="none" w:sz="0" w:space="0" w:color="auto"/>
        <w:bottom w:val="none" w:sz="0" w:space="0" w:color="auto"/>
        <w:right w:val="none" w:sz="0" w:space="0" w:color="auto"/>
      </w:divBdr>
      <w:divsChild>
        <w:div w:id="1897355150">
          <w:marLeft w:val="274"/>
          <w:marRight w:val="0"/>
          <w:marTop w:val="0"/>
          <w:marBottom w:val="0"/>
          <w:divBdr>
            <w:top w:val="none" w:sz="0" w:space="0" w:color="auto"/>
            <w:left w:val="none" w:sz="0" w:space="0" w:color="auto"/>
            <w:bottom w:val="none" w:sz="0" w:space="0" w:color="auto"/>
            <w:right w:val="none" w:sz="0" w:space="0" w:color="auto"/>
          </w:divBdr>
        </w:div>
        <w:div w:id="305816272">
          <w:marLeft w:val="274"/>
          <w:marRight w:val="0"/>
          <w:marTop w:val="0"/>
          <w:marBottom w:val="0"/>
          <w:divBdr>
            <w:top w:val="none" w:sz="0" w:space="0" w:color="auto"/>
            <w:left w:val="none" w:sz="0" w:space="0" w:color="auto"/>
            <w:bottom w:val="none" w:sz="0" w:space="0" w:color="auto"/>
            <w:right w:val="none" w:sz="0" w:space="0" w:color="auto"/>
          </w:divBdr>
        </w:div>
      </w:divsChild>
    </w:div>
    <w:div w:id="1508519013">
      <w:bodyDiv w:val="1"/>
      <w:marLeft w:val="0"/>
      <w:marRight w:val="0"/>
      <w:marTop w:val="0"/>
      <w:marBottom w:val="0"/>
      <w:divBdr>
        <w:top w:val="none" w:sz="0" w:space="0" w:color="auto"/>
        <w:left w:val="none" w:sz="0" w:space="0" w:color="auto"/>
        <w:bottom w:val="none" w:sz="0" w:space="0" w:color="auto"/>
        <w:right w:val="none" w:sz="0" w:space="0" w:color="auto"/>
      </w:divBdr>
      <w:divsChild>
        <w:div w:id="750585795">
          <w:marLeft w:val="274"/>
          <w:marRight w:val="0"/>
          <w:marTop w:val="0"/>
          <w:marBottom w:val="0"/>
          <w:divBdr>
            <w:top w:val="none" w:sz="0" w:space="0" w:color="auto"/>
            <w:left w:val="none" w:sz="0" w:space="0" w:color="auto"/>
            <w:bottom w:val="none" w:sz="0" w:space="0" w:color="auto"/>
            <w:right w:val="none" w:sz="0" w:space="0" w:color="auto"/>
          </w:divBdr>
        </w:div>
      </w:divsChild>
    </w:div>
    <w:div w:id="1550994694">
      <w:bodyDiv w:val="1"/>
      <w:marLeft w:val="0"/>
      <w:marRight w:val="0"/>
      <w:marTop w:val="0"/>
      <w:marBottom w:val="0"/>
      <w:divBdr>
        <w:top w:val="none" w:sz="0" w:space="0" w:color="auto"/>
        <w:left w:val="none" w:sz="0" w:space="0" w:color="auto"/>
        <w:bottom w:val="none" w:sz="0" w:space="0" w:color="auto"/>
        <w:right w:val="none" w:sz="0" w:space="0" w:color="auto"/>
      </w:divBdr>
    </w:div>
    <w:div w:id="1585725710">
      <w:bodyDiv w:val="1"/>
      <w:marLeft w:val="0"/>
      <w:marRight w:val="0"/>
      <w:marTop w:val="0"/>
      <w:marBottom w:val="0"/>
      <w:divBdr>
        <w:top w:val="none" w:sz="0" w:space="0" w:color="auto"/>
        <w:left w:val="none" w:sz="0" w:space="0" w:color="auto"/>
        <w:bottom w:val="none" w:sz="0" w:space="0" w:color="auto"/>
        <w:right w:val="none" w:sz="0" w:space="0" w:color="auto"/>
      </w:divBdr>
      <w:divsChild>
        <w:div w:id="155926356">
          <w:marLeft w:val="274"/>
          <w:marRight w:val="0"/>
          <w:marTop w:val="0"/>
          <w:marBottom w:val="0"/>
          <w:divBdr>
            <w:top w:val="none" w:sz="0" w:space="0" w:color="auto"/>
            <w:left w:val="none" w:sz="0" w:space="0" w:color="auto"/>
            <w:bottom w:val="none" w:sz="0" w:space="0" w:color="auto"/>
            <w:right w:val="none" w:sz="0" w:space="0" w:color="auto"/>
          </w:divBdr>
        </w:div>
        <w:div w:id="618100200">
          <w:marLeft w:val="274"/>
          <w:marRight w:val="0"/>
          <w:marTop w:val="0"/>
          <w:marBottom w:val="0"/>
          <w:divBdr>
            <w:top w:val="none" w:sz="0" w:space="0" w:color="auto"/>
            <w:left w:val="none" w:sz="0" w:space="0" w:color="auto"/>
            <w:bottom w:val="none" w:sz="0" w:space="0" w:color="auto"/>
            <w:right w:val="none" w:sz="0" w:space="0" w:color="auto"/>
          </w:divBdr>
        </w:div>
      </w:divsChild>
    </w:div>
    <w:div w:id="1676572637">
      <w:bodyDiv w:val="1"/>
      <w:marLeft w:val="0"/>
      <w:marRight w:val="0"/>
      <w:marTop w:val="0"/>
      <w:marBottom w:val="0"/>
      <w:divBdr>
        <w:top w:val="none" w:sz="0" w:space="0" w:color="auto"/>
        <w:left w:val="none" w:sz="0" w:space="0" w:color="auto"/>
        <w:bottom w:val="none" w:sz="0" w:space="0" w:color="auto"/>
        <w:right w:val="none" w:sz="0" w:space="0" w:color="auto"/>
      </w:divBdr>
      <w:divsChild>
        <w:div w:id="753361149">
          <w:marLeft w:val="274"/>
          <w:marRight w:val="0"/>
          <w:marTop w:val="0"/>
          <w:marBottom w:val="0"/>
          <w:divBdr>
            <w:top w:val="none" w:sz="0" w:space="0" w:color="auto"/>
            <w:left w:val="none" w:sz="0" w:space="0" w:color="auto"/>
            <w:bottom w:val="none" w:sz="0" w:space="0" w:color="auto"/>
            <w:right w:val="none" w:sz="0" w:space="0" w:color="auto"/>
          </w:divBdr>
        </w:div>
        <w:div w:id="1606840210">
          <w:marLeft w:val="994"/>
          <w:marRight w:val="0"/>
          <w:marTop w:val="0"/>
          <w:marBottom w:val="0"/>
          <w:divBdr>
            <w:top w:val="none" w:sz="0" w:space="0" w:color="auto"/>
            <w:left w:val="none" w:sz="0" w:space="0" w:color="auto"/>
            <w:bottom w:val="none" w:sz="0" w:space="0" w:color="auto"/>
            <w:right w:val="none" w:sz="0" w:space="0" w:color="auto"/>
          </w:divBdr>
        </w:div>
      </w:divsChild>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854879974">
      <w:bodyDiv w:val="1"/>
      <w:marLeft w:val="0"/>
      <w:marRight w:val="0"/>
      <w:marTop w:val="0"/>
      <w:marBottom w:val="0"/>
      <w:divBdr>
        <w:top w:val="none" w:sz="0" w:space="0" w:color="auto"/>
        <w:left w:val="none" w:sz="0" w:space="0" w:color="auto"/>
        <w:bottom w:val="none" w:sz="0" w:space="0" w:color="auto"/>
        <w:right w:val="none" w:sz="0" w:space="0" w:color="auto"/>
      </w:divBdr>
      <w:divsChild>
        <w:div w:id="376319798">
          <w:marLeft w:val="274"/>
          <w:marRight w:val="0"/>
          <w:marTop w:val="0"/>
          <w:marBottom w:val="0"/>
          <w:divBdr>
            <w:top w:val="none" w:sz="0" w:space="0" w:color="auto"/>
            <w:left w:val="none" w:sz="0" w:space="0" w:color="auto"/>
            <w:bottom w:val="none" w:sz="0" w:space="0" w:color="auto"/>
            <w:right w:val="none" w:sz="0" w:space="0" w:color="auto"/>
          </w:divBdr>
        </w:div>
        <w:div w:id="1066337393">
          <w:marLeft w:val="274"/>
          <w:marRight w:val="0"/>
          <w:marTop w:val="0"/>
          <w:marBottom w:val="0"/>
          <w:divBdr>
            <w:top w:val="none" w:sz="0" w:space="0" w:color="auto"/>
            <w:left w:val="none" w:sz="0" w:space="0" w:color="auto"/>
            <w:bottom w:val="none" w:sz="0" w:space="0" w:color="auto"/>
            <w:right w:val="none" w:sz="0" w:space="0" w:color="auto"/>
          </w:divBdr>
        </w:div>
      </w:divsChild>
    </w:div>
    <w:div w:id="1922180725">
      <w:bodyDiv w:val="1"/>
      <w:marLeft w:val="0"/>
      <w:marRight w:val="0"/>
      <w:marTop w:val="0"/>
      <w:marBottom w:val="0"/>
      <w:divBdr>
        <w:top w:val="none" w:sz="0" w:space="0" w:color="auto"/>
        <w:left w:val="none" w:sz="0" w:space="0" w:color="auto"/>
        <w:bottom w:val="none" w:sz="0" w:space="0" w:color="auto"/>
        <w:right w:val="none" w:sz="0" w:space="0" w:color="auto"/>
      </w:divBdr>
    </w:div>
    <w:div w:id="2058890089">
      <w:bodyDiv w:val="1"/>
      <w:marLeft w:val="0"/>
      <w:marRight w:val="0"/>
      <w:marTop w:val="0"/>
      <w:marBottom w:val="0"/>
      <w:divBdr>
        <w:top w:val="none" w:sz="0" w:space="0" w:color="auto"/>
        <w:left w:val="none" w:sz="0" w:space="0" w:color="auto"/>
        <w:bottom w:val="none" w:sz="0" w:space="0" w:color="auto"/>
        <w:right w:val="none" w:sz="0" w:space="0" w:color="auto"/>
      </w:divBdr>
    </w:div>
    <w:div w:id="21111952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file:///S:\Wissdaten\RKI_nCoV-Lage\1.Lagemanagement\1.3.Besprechungen_TKs\1.Lage_AG\2022-09-28-Lage-AG\2022-09-28_Intensivregister_SPoCK.pptx"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S:\Wissdaten\RKI_nCoV-Lage\1.Lagemanagement\1.3.Besprechungen_TKs\1.Lage_AG\2022-09-28-Lage-AG\LageNational_2022-09-28_draft.ppt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S:\Wissdaten\RKI_nCoV-Lage\1.Lagemanagement\1.3.Besprechungen_TKs\1.Lage_AG\2022-09-28-Lage-AG\FG27_KA_Pandemie.ppt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S:\Wissdaten\RKI_nCoV-Lage\1.Lagemanagement\1.3.Besprechungen_TKs\1.Lage_AG\2022-09-28-Lage-AG\COVID-19_internat.%20Lage_2022-09-28.pptx" TargetMode="External"/><Relationship Id="rId5" Type="http://schemas.openxmlformats.org/officeDocument/2006/relationships/webSettings" Target="webSettings.xml"/><Relationship Id="rId15" Type="http://schemas.openxmlformats.org/officeDocument/2006/relationships/hyperlink" Target="file:///S:\Wissdaten\RKI_nCoV-Lage\1.Lagemanagement\1.3.Besprechungen_TKs\1.Lage_AG\2022-09-28-Lage-AG\Entwurf_Pandemieradar.html"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S:\Wissdaten\RKI_nCoV-Lage\1.Lagemanagement\1.3.Besprechungen_TKs\1.Lage_AG\2022-09-28-Lage-AG\syndrom-ARE-SARI-COVID_bis_KW38_2022_f&#252;r-Krisenstab.ppt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6C8B4B-D625-4F5D-9A3D-EAE2A48D4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2269</Words>
  <Characters>14300</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Wittke, Christian</cp:lastModifiedBy>
  <cp:revision>548</cp:revision>
  <cp:lastPrinted>2020-05-06T16:43:00Z</cp:lastPrinted>
  <dcterms:created xsi:type="dcterms:W3CDTF">2022-09-14T08:44:00Z</dcterms:created>
  <dcterms:modified xsi:type="dcterms:W3CDTF">2022-09-29T17:56:00Z</dcterms:modified>
</cp:coreProperties>
</file>