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Lage-AG-Sitzung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12.10.2022,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Moderation: Ute Rexroth</w:t>
      </w:r>
    </w:p>
    <w:p>
      <w:pPr>
        <w:spacing w:after="0"/>
        <w:rPr>
          <w:b/>
          <w:sz w:val="22"/>
        </w:rPr>
      </w:pPr>
    </w:p>
    <w:p>
      <w:pPr>
        <w:spacing w:after="0"/>
        <w:rPr>
          <w:b/>
          <w:sz w:val="22"/>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Mardjan Arvand</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Ralf Dürrwald</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Patrick Schmich</w:t>
      </w:r>
    </w:p>
    <w:p>
      <w:pPr>
        <w:pStyle w:val="Listenabsatz"/>
        <w:numPr>
          <w:ilvl w:val="0"/>
          <w:numId w:val="2"/>
        </w:numPr>
        <w:spacing w:after="0"/>
        <w:contextualSpacing w:val="0"/>
        <w:rPr>
          <w:sz w:val="22"/>
        </w:rPr>
      </w:pPr>
      <w:r>
        <w:rPr>
          <w:sz w:val="22"/>
        </w:rPr>
        <w:t xml:space="preserve">FG25 </w:t>
      </w:r>
    </w:p>
    <w:p>
      <w:pPr>
        <w:pStyle w:val="Listenabsatz"/>
        <w:numPr>
          <w:ilvl w:val="1"/>
          <w:numId w:val="2"/>
        </w:numPr>
        <w:spacing w:after="0"/>
        <w:contextualSpacing w:val="0"/>
        <w:rPr>
          <w:rStyle w:val="highlight"/>
          <w:sz w:val="22"/>
          <w:szCs w:val="22"/>
        </w:rPr>
      </w:pPr>
      <w:r>
        <w:rPr>
          <w:sz w:val="22"/>
          <w:szCs w:val="22"/>
        </w:rPr>
        <w:t xml:space="preserve">Christa </w:t>
      </w:r>
      <w:r>
        <w:rPr>
          <w:rStyle w:val="highlight"/>
          <w:sz w:val="22"/>
          <w:szCs w:val="22"/>
        </w:rPr>
        <w:t>Scheid</w:t>
      </w:r>
      <w:r>
        <w:rPr>
          <w:sz w:val="22"/>
          <w:szCs w:val="22"/>
        </w:rPr>
        <w:t>t-</w:t>
      </w:r>
      <w:proofErr w:type="spellStart"/>
      <w:r>
        <w:rPr>
          <w:rStyle w:val="highlight"/>
          <w:sz w:val="22"/>
          <w:szCs w:val="22"/>
        </w:rPr>
        <w:t>Nave</w:t>
      </w:r>
      <w:proofErr w:type="spellEnd"/>
    </w:p>
    <w:p>
      <w:pPr>
        <w:pStyle w:val="Listenabsatz"/>
        <w:numPr>
          <w:ilvl w:val="1"/>
          <w:numId w:val="2"/>
        </w:numPr>
        <w:spacing w:after="0"/>
        <w:contextualSpacing w:val="0"/>
      </w:pPr>
      <w:r>
        <w:rPr>
          <w:sz w:val="22"/>
          <w:szCs w:val="22"/>
        </w:rPr>
        <w:t xml:space="preserve">Christina </w:t>
      </w:r>
      <w:proofErr w:type="spellStart"/>
      <w:r>
        <w:rPr>
          <w:sz w:val="22"/>
          <w:szCs w:val="22"/>
        </w:rPr>
        <w:t>Poethko</w:t>
      </w:r>
      <w:proofErr w:type="spellEnd"/>
      <w:r>
        <w:rPr>
          <w:sz w:val="22"/>
          <w:szCs w:val="22"/>
        </w:rPr>
        <w:t>-Müller</w:t>
      </w:r>
    </w:p>
    <w:p>
      <w:pPr>
        <w:pStyle w:val="Listenabsatz"/>
        <w:numPr>
          <w:ilvl w:val="0"/>
          <w:numId w:val="2"/>
        </w:numPr>
        <w:spacing w:after="0"/>
        <w:contextualSpacing w:val="0"/>
        <w:rPr>
          <w:sz w:val="22"/>
          <w:szCs w:val="22"/>
        </w:rPr>
      </w:pPr>
      <w:r>
        <w:rPr>
          <w:sz w:val="22"/>
          <w:szCs w:val="22"/>
        </w:rPr>
        <w:t xml:space="preserve">FG 26 </w:t>
      </w:r>
    </w:p>
    <w:p>
      <w:pPr>
        <w:pStyle w:val="Listenabsatz"/>
        <w:numPr>
          <w:ilvl w:val="1"/>
          <w:numId w:val="2"/>
        </w:numPr>
        <w:spacing w:after="0"/>
        <w:contextualSpacing w:val="0"/>
        <w:rPr>
          <w:sz w:val="22"/>
          <w:szCs w:val="22"/>
        </w:rPr>
      </w:pPr>
      <w:r>
        <w:rPr>
          <w:sz w:val="22"/>
          <w:szCs w:val="22"/>
        </w:rPr>
        <w:t xml:space="preserve">Sophie Eicher </w:t>
      </w:r>
    </w:p>
    <w:p>
      <w:pPr>
        <w:pStyle w:val="Listenabsatz"/>
        <w:numPr>
          <w:ilvl w:val="0"/>
          <w:numId w:val="4"/>
        </w:numPr>
        <w:spacing w:after="0"/>
        <w:contextualSpacing w:val="0"/>
        <w:rPr>
          <w:sz w:val="22"/>
          <w:szCs w:val="22"/>
        </w:rPr>
      </w:pPr>
      <w:r>
        <w:rPr>
          <w:sz w:val="22"/>
          <w:szCs w:val="22"/>
        </w:rPr>
        <w:t>FG31</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Maria an der Heiden</w:t>
      </w:r>
    </w:p>
    <w:p>
      <w:pPr>
        <w:pStyle w:val="Listenabsatz"/>
        <w:numPr>
          <w:ilvl w:val="1"/>
          <w:numId w:val="2"/>
        </w:numPr>
        <w:spacing w:after="0"/>
        <w:contextualSpacing w:val="0"/>
        <w:rPr>
          <w:sz w:val="22"/>
          <w:szCs w:val="22"/>
        </w:rPr>
      </w:pPr>
      <w:r>
        <w:rPr>
          <w:sz w:val="22"/>
          <w:szCs w:val="22"/>
        </w:rPr>
        <w:t>Claudia Siffczyk</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1"/>
          <w:numId w:val="2"/>
        </w:numPr>
        <w:spacing w:after="0"/>
        <w:contextualSpacing w:val="0"/>
        <w:rPr>
          <w:sz w:val="22"/>
          <w:szCs w:val="22"/>
        </w:rPr>
      </w:pPr>
      <w:r>
        <w:rPr>
          <w:sz w:val="22"/>
          <w:szCs w:val="22"/>
        </w:rPr>
        <w:t>Claudia Sievers</w:t>
      </w:r>
    </w:p>
    <w:p>
      <w:pPr>
        <w:pStyle w:val="Listenabsatz"/>
        <w:numPr>
          <w:ilvl w:val="1"/>
          <w:numId w:val="2"/>
        </w:numPr>
        <w:spacing w:after="0"/>
        <w:contextualSpacing w:val="0"/>
        <w:rPr>
          <w:sz w:val="22"/>
        </w:rPr>
      </w:pPr>
      <w:r>
        <w:rPr>
          <w:sz w:val="22"/>
        </w:rPr>
        <w:t>Justus Benzler</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Jonathan Fischer-Fels</w:t>
      </w:r>
      <w:r>
        <w:rPr>
          <w:sz w:val="22"/>
          <w:szCs w:val="22"/>
        </w:rPr>
        <w:br w:type="column"/>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rPr>
      </w:pPr>
      <w:r>
        <w:rPr>
          <w:sz w:val="22"/>
        </w:rPr>
        <w:t>Andrea Sailer (Protokoll)</w:t>
      </w:r>
    </w:p>
    <w:p>
      <w:pPr>
        <w:pStyle w:val="Listenabsatz"/>
        <w:numPr>
          <w:ilvl w:val="1"/>
          <w:numId w:val="2"/>
        </w:numPr>
        <w:spacing w:after="0"/>
        <w:contextualSpacing w:val="0"/>
        <w:rPr>
          <w:sz w:val="22"/>
        </w:rPr>
      </w:pPr>
      <w:r>
        <w:rPr>
          <w:sz w:val="22"/>
        </w:rPr>
        <w:t>Alexandra Hofmann</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1"/>
          <w:numId w:val="2"/>
        </w:numPr>
        <w:spacing w:after="0"/>
        <w:contextualSpacing w:val="0"/>
        <w:rPr>
          <w:sz w:val="22"/>
          <w:szCs w:val="22"/>
        </w:rPr>
      </w:pPr>
      <w:r>
        <w:rPr>
          <w:sz w:val="22"/>
          <w:szCs w:val="22"/>
        </w:rPr>
        <w:t>Kristin Tolksdorf</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Muna Abu Sin</w:t>
      </w:r>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Christina Leuker</w:t>
      </w:r>
    </w:p>
    <w:p>
      <w:pPr>
        <w:pStyle w:val="Listenabsatz"/>
        <w:numPr>
          <w:ilvl w:val="0"/>
          <w:numId w:val="3"/>
        </w:numPr>
        <w:spacing w:after="0"/>
        <w:contextualSpacing w:val="0"/>
        <w:rPr>
          <w:sz w:val="22"/>
          <w:szCs w:val="22"/>
        </w:rPr>
      </w:pPr>
      <w:r>
        <w:rPr>
          <w:sz w:val="22"/>
          <w:szCs w:val="22"/>
        </w:rPr>
        <w:t>P4</w:t>
      </w:r>
    </w:p>
    <w:p>
      <w:pPr>
        <w:pStyle w:val="Listenabsatz"/>
        <w:numPr>
          <w:ilvl w:val="1"/>
          <w:numId w:val="3"/>
        </w:numPr>
        <w:spacing w:after="0"/>
        <w:rPr>
          <w:sz w:val="22"/>
        </w:rPr>
      </w:pPr>
      <w:r>
        <w:rPr>
          <w:sz w:val="22"/>
        </w:rPr>
        <w:t>Pascal Klamser</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Marieke Degen</w:t>
      </w:r>
    </w:p>
    <w:p>
      <w:pPr>
        <w:pStyle w:val="Listenabsatz"/>
        <w:numPr>
          <w:ilvl w:val="1"/>
          <w:numId w:val="3"/>
        </w:numPr>
        <w:spacing w:after="0"/>
        <w:contextualSpacing w:val="0"/>
        <w:rPr>
          <w:sz w:val="22"/>
          <w:szCs w:val="22"/>
        </w:rPr>
      </w:pPr>
      <w:r>
        <w:rPr>
          <w:sz w:val="22"/>
          <w:szCs w:val="22"/>
        </w:rPr>
        <w:t>Nadin Garbe</w:t>
      </w:r>
    </w:p>
    <w:p>
      <w:pPr>
        <w:pStyle w:val="Listenabsatz"/>
        <w:numPr>
          <w:ilvl w:val="1"/>
          <w:numId w:val="3"/>
        </w:numPr>
        <w:rPr>
          <w:sz w:val="22"/>
          <w:szCs w:val="22"/>
        </w:rPr>
      </w:pPr>
      <w:r>
        <w:rPr>
          <w:sz w:val="22"/>
          <w:szCs w:val="22"/>
        </w:rPr>
        <w:t xml:space="preserve">Ronja Wenchel </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rStyle w:val="highlight"/>
          <w:sz w:val="22"/>
          <w:szCs w:val="22"/>
        </w:rPr>
      </w:pPr>
      <w:r>
        <w:rPr>
          <w:rStyle w:val="highlight"/>
          <w:sz w:val="22"/>
          <w:szCs w:val="22"/>
        </w:rPr>
        <w:t>Romy Kerber</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color w:val="000000" w:themeColor="text1"/>
          <w:sz w:val="22"/>
          <w:szCs w:val="22"/>
        </w:rPr>
        <w:t>Oliver Ommen</w:t>
      </w:r>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b/>
                <w:bCs/>
                <w:i/>
                <w:color w:val="D99594" w:themeColor="accent2" w:themeTint="99"/>
              </w:rPr>
            </w:pPr>
            <w:r>
              <w:rPr>
                <w:rStyle w:val="2Zchn"/>
                <w:sz w:val="22"/>
                <w:szCs w:val="22"/>
              </w:rPr>
              <w:t>International</w:t>
            </w:r>
            <w:r>
              <w:rPr>
                <w:rStyle w:val="TagMiZchn"/>
                <w:bCs/>
              </w:rPr>
              <w:t xml:space="preserve"> </w:t>
            </w:r>
          </w:p>
          <w:p>
            <w:pPr>
              <w:pStyle w:val="Liste1"/>
            </w:pPr>
            <w:r>
              <w:t>Folien (</w:t>
            </w:r>
            <w:hyperlink r:id="rId11" w:history="1">
              <w:r>
                <w:rPr>
                  <w:rStyle w:val="Hyperlink"/>
                </w:rPr>
                <w:t>hier</w:t>
              </w:r>
            </w:hyperlink>
            <w:r>
              <w:t>)</w:t>
            </w:r>
          </w:p>
          <w:p>
            <w:pPr>
              <w:pStyle w:val="Liste1"/>
            </w:pPr>
            <w:r>
              <w:t>Weltweit: Fälle, Todesfälle</w:t>
            </w:r>
          </w:p>
          <w:p>
            <w:pPr>
              <w:pStyle w:val="Liste2"/>
              <w:rPr>
                <w:lang w:val="de-DE"/>
              </w:rPr>
            </w:pPr>
            <w:r>
              <w:rPr>
                <w:lang w:val="de-DE"/>
              </w:rPr>
              <w:t xml:space="preserve">Anzahl Fälle pro KW und WHO Region, 30.12.2019-11.10.2022 </w:t>
            </w:r>
          </w:p>
          <w:p>
            <w:pPr>
              <w:pStyle w:val="Liste3"/>
            </w:pPr>
            <w:r>
              <w:t>Weltweit weiterhin stabil (-0,2%)</w:t>
            </w:r>
          </w:p>
          <w:p>
            <w:pPr>
              <w:pStyle w:val="Liste3"/>
            </w:pPr>
            <w:r>
              <w:t>Afrika: deutlich sinkende Fall- und Todesfallzahlen, in einzelnen Ländern steigende Fallzahlen auf sehr niedrigem Niveau</w:t>
            </w:r>
          </w:p>
          <w:p>
            <w:pPr>
              <w:pStyle w:val="Liste3"/>
            </w:pPr>
            <w:r>
              <w:t xml:space="preserve">Amerika: sehr stabil, höchste Inzidenz in Chile </w:t>
            </w:r>
          </w:p>
          <w:p>
            <w:pPr>
              <w:pStyle w:val="Liste3"/>
            </w:pPr>
            <w:r>
              <w:t>Asien: vergleichsweise stabile Fall- und Todesfallzahlen, höchste Inzidenz in Singapur. In China steigende Fallzahlen bei sehr niedriger Inzidenz, erneut größere Beschränkungen für Bevölkerung.</w:t>
            </w:r>
          </w:p>
          <w:p>
            <w:pPr>
              <w:pStyle w:val="Liste3"/>
            </w:pPr>
            <w:r>
              <w:t>Europa: leicht steigende Fallzahlen</w:t>
            </w:r>
          </w:p>
          <w:p>
            <w:pPr>
              <w:pStyle w:val="Liste3"/>
            </w:pPr>
            <w:r>
              <w:t>Ozeanien: sinkende Fall- und leicht steigende Todesfallzahlen</w:t>
            </w:r>
          </w:p>
          <w:p>
            <w:pPr>
              <w:pStyle w:val="Liste3"/>
            </w:pPr>
            <w:r>
              <w:t>Varianten: Anzahl hochgeladener Sequenzen reduziert, weiterhin &gt; 90% Omikron</w:t>
            </w:r>
          </w:p>
          <w:p>
            <w:pPr>
              <w:pStyle w:val="Liste2"/>
              <w:rPr>
                <w:lang w:val="de-DE"/>
              </w:rPr>
            </w:pPr>
            <w:r>
              <w:rPr>
                <w:lang w:val="de-DE"/>
              </w:rPr>
              <w:t xml:space="preserve">7-Tage-Inzidenz pro 100.000 Einwohner in Europa </w:t>
            </w:r>
          </w:p>
          <w:p>
            <w:pPr>
              <w:pStyle w:val="Liste3"/>
            </w:pPr>
            <w:r>
              <w:t>Fallzahlanstiege (im Vergleich zur Vorwoche) beispielsweise in Italien, Luxemburg, Frankreich, Ungarn</w:t>
            </w:r>
          </w:p>
          <w:p>
            <w:pPr>
              <w:pStyle w:val="Liste3"/>
            </w:pPr>
            <w:r>
              <w:t>höchste 7-T Inzidenz in Österreich: 1.096 (+17%)</w:t>
            </w:r>
          </w:p>
          <w:p>
            <w:pPr>
              <w:pStyle w:val="Liste3"/>
            </w:pPr>
            <w:r>
              <w:t>Zunehmende Anzahl Hospitalisierungen</w:t>
            </w:r>
          </w:p>
          <w:p>
            <w:pPr>
              <w:pStyle w:val="Liste3"/>
            </w:pPr>
            <w:r>
              <w:t>Todesfallzahlen stabil</w:t>
            </w:r>
          </w:p>
          <w:p>
            <w:pPr>
              <w:pStyle w:val="Liste3"/>
            </w:pPr>
            <w:r>
              <w:t>Laut ECDC wieder zunehmende Übertragung in Bevölkerung &gt; 65 Jahre</w:t>
            </w:r>
          </w:p>
          <w:p>
            <w:pPr>
              <w:pStyle w:val="Liste3"/>
            </w:pPr>
            <w:r>
              <w:t>Differenzierung Krankenhauseinweisungen mit oder wegen COVID in vielen Ländern nicht möglich</w:t>
            </w:r>
          </w:p>
          <w:p>
            <w:pPr>
              <w:pStyle w:val="Liste2"/>
            </w:pPr>
            <w:proofErr w:type="spellStart"/>
            <w:r>
              <w:t>Österreich</w:t>
            </w:r>
            <w:proofErr w:type="spellEnd"/>
            <w:r>
              <w:t>:</w:t>
            </w:r>
          </w:p>
          <w:p>
            <w:pPr>
              <w:pStyle w:val="Liste3"/>
            </w:pPr>
            <w:r>
              <w:t>Steigende Fallzahlen in allen Kantonen</w:t>
            </w:r>
          </w:p>
          <w:p>
            <w:pPr>
              <w:pStyle w:val="Liste3"/>
            </w:pPr>
            <w:r>
              <w:t>Häufige Testungen, Testpositivität nur bei 11%</w:t>
            </w:r>
          </w:p>
          <w:p>
            <w:pPr>
              <w:pStyle w:val="Liste3"/>
            </w:pPr>
            <w:r>
              <w:t>Alle AG sind betroffen: bei 5-14-Jährigen Anstieg nach Sommerferien, nun wieder Rückgang; ab 15 Jahre steigende oder stabile Fallzahlen; bei 65+ Jährigen Anstieg</w:t>
            </w:r>
          </w:p>
          <w:p>
            <w:pPr>
              <w:pStyle w:val="Liste3"/>
            </w:pPr>
            <w:r>
              <w:t>Steigende Hospitalisierungszahlen und leichter Anstieg bei Intensivbettenbelegung; rechnen nicht mit Anstieg bei Intensivbetten; ungeplante Personalausfälle.</w:t>
            </w:r>
          </w:p>
          <w:p>
            <w:pPr>
              <w:pStyle w:val="Liste3"/>
            </w:pPr>
            <w:r>
              <w:t xml:space="preserve">Maßnahmen: </w:t>
            </w:r>
          </w:p>
          <w:p>
            <w:pPr>
              <w:pStyle w:val="Liste3"/>
              <w:numPr>
                <w:ilvl w:val="2"/>
                <w:numId w:val="6"/>
              </w:numPr>
              <w:ind w:left="1548" w:hanging="357"/>
            </w:pPr>
            <w:r>
              <w:t>FFP2-Maskenpflicht in Krankenhäusern, Alten</w:t>
            </w:r>
            <w:r>
              <w:softHyphen/>
              <w:t>heimen, Gesundheitseinrichtungen. Wieder</w:t>
            </w:r>
            <w:r>
              <w:softHyphen/>
              <w:t>einführung der Maskenpflicht in anderen Settings möglich.</w:t>
            </w:r>
          </w:p>
          <w:p>
            <w:pPr>
              <w:pStyle w:val="Liste3"/>
              <w:numPr>
                <w:ilvl w:val="2"/>
                <w:numId w:val="6"/>
              </w:numPr>
              <w:ind w:left="1548" w:hanging="357"/>
            </w:pPr>
            <w:r>
              <w:t>Tests der breiten Bevölkerung: pro Monat 5 kostenlose PCR + 5 Antigen-Tests pro Person</w:t>
            </w:r>
          </w:p>
          <w:p>
            <w:pPr>
              <w:pStyle w:val="Liste3"/>
              <w:numPr>
                <w:ilvl w:val="2"/>
                <w:numId w:val="6"/>
              </w:numPr>
              <w:ind w:left="1548" w:hanging="357"/>
            </w:pPr>
            <w:r>
              <w:t>Zukünftig verstärkt auch Abwasser-Monitoring</w:t>
            </w:r>
          </w:p>
          <w:p>
            <w:pPr>
              <w:pStyle w:val="Liste2"/>
              <w:numPr>
                <w:ilvl w:val="0"/>
                <w:numId w:val="0"/>
              </w:numPr>
              <w:rPr>
                <w:lang w:val="de-DE"/>
              </w:rPr>
            </w:pPr>
          </w:p>
          <w:p>
            <w:pPr>
              <w:pStyle w:val="2"/>
            </w:pPr>
            <w:r>
              <w:lastRenderedPageBreak/>
              <w:t xml:space="preserve">National </w:t>
            </w:r>
          </w:p>
          <w:p>
            <w:pPr>
              <w:pStyle w:val="Liste1"/>
            </w:pPr>
            <w:r>
              <w:rPr>
                <w:b/>
              </w:rPr>
              <w:t>Fallzahlen, Todesfälle, Trend,</w:t>
            </w:r>
            <w:r>
              <w:t xml:space="preserve"> Folien (</w:t>
            </w:r>
            <w:hyperlink r:id="rId12" w:history="1">
              <w:r>
                <w:rPr>
                  <w:rStyle w:val="Hyperlink"/>
                </w:rPr>
                <w:t>hier</w:t>
              </w:r>
            </w:hyperlink>
            <w:r>
              <w:t>)</w:t>
            </w:r>
          </w:p>
          <w:p>
            <w:pPr>
              <w:pStyle w:val="Liste2"/>
              <w:rPr>
                <w:lang w:val="de-DE"/>
              </w:rPr>
            </w:pPr>
            <w:proofErr w:type="spellStart"/>
            <w:r>
              <w:rPr>
                <w:lang w:val="de-DE"/>
              </w:rPr>
              <w:t>SurvNet</w:t>
            </w:r>
            <w:proofErr w:type="spellEnd"/>
            <w:r>
              <w:rPr>
                <w:lang w:val="de-DE"/>
              </w:rPr>
              <w:t xml:space="preserve"> übermittelt: </w:t>
            </w:r>
            <w:proofErr w:type="spellStart"/>
            <w:r>
              <w:rPr>
                <w:lang w:val="de-DE"/>
              </w:rPr>
              <w:t>SurvNet</w:t>
            </w:r>
            <w:proofErr w:type="spellEnd"/>
            <w:r>
              <w:rPr>
                <w:lang w:val="de-DE"/>
              </w:rPr>
              <w:t xml:space="preserve"> übermittelt: 34.257.916 (+136.748), davon 150.919 (+199) Todesfälle </w:t>
            </w:r>
          </w:p>
          <w:p>
            <w:pPr>
              <w:pStyle w:val="Liste2"/>
            </w:pPr>
            <w:r>
              <w:t xml:space="preserve">7-Tage-Inzidenz:  799,9/100.000 </w:t>
            </w:r>
            <w:proofErr w:type="spellStart"/>
            <w:r>
              <w:t>Einw</w:t>
            </w:r>
            <w:proofErr w:type="spellEnd"/>
            <w:r>
              <w:t>.</w:t>
            </w:r>
          </w:p>
          <w:p>
            <w:pPr>
              <w:pStyle w:val="Liste2"/>
              <w:rPr>
                <w:lang w:val="de-DE"/>
              </w:rPr>
            </w:pPr>
            <w:proofErr w:type="spellStart"/>
            <w:r>
              <w:rPr>
                <w:lang w:val="de-DE"/>
              </w:rPr>
              <w:t>Impfmonitoring</w:t>
            </w:r>
            <w:proofErr w:type="spellEnd"/>
            <w:r>
              <w:rPr>
                <w:lang w:val="de-DE"/>
              </w:rPr>
              <w:t>: Geimpfte mit 1. Dosis 64.793.523 (77,8%), mit vollständiger Impfung 63.476.472 (76,3%)</w:t>
            </w:r>
          </w:p>
          <w:p>
            <w:pPr>
              <w:pStyle w:val="Liste3"/>
            </w:pPr>
            <w:r>
              <w:t xml:space="preserve">Fast Verdoppelung der Gesamtinzidenz </w:t>
            </w:r>
          </w:p>
          <w:p>
            <w:pPr>
              <w:pStyle w:val="Liste3"/>
            </w:pPr>
            <w:r>
              <w:t>Insbesondere bei Hospitalisierten starker Anstieg, kann auch mit Wechsel zur elektronischen Meldung bei Hospitalisierten zusammenhängen.</w:t>
            </w:r>
          </w:p>
          <w:p>
            <w:pPr>
              <w:pStyle w:val="Liste2"/>
              <w:rPr>
                <w:lang w:val="de-DE"/>
              </w:rPr>
            </w:pPr>
            <w:r>
              <w:rPr>
                <w:lang w:val="de-DE"/>
              </w:rPr>
              <w:t>Verlauf der 7-Tage-Inzidenz der Bundesländer:</w:t>
            </w:r>
          </w:p>
          <w:p>
            <w:pPr>
              <w:pStyle w:val="Liste3"/>
            </w:pPr>
            <w:r>
              <w:t>Anstieg bei Gesamtinzidenz von 500 zu 800</w:t>
            </w:r>
          </w:p>
          <w:p>
            <w:pPr>
              <w:pStyle w:val="Liste3"/>
            </w:pPr>
            <w:r>
              <w:t xml:space="preserve">Höchste Inzidenz im Saarland gefolgt von Bayern </w:t>
            </w:r>
          </w:p>
          <w:p>
            <w:pPr>
              <w:pStyle w:val="Liste3"/>
              <w:numPr>
                <w:ilvl w:val="0"/>
                <w:numId w:val="0"/>
              </w:numPr>
              <w:ind w:left="1193"/>
            </w:pPr>
            <w:r>
              <w:t>(Oktoberfest)</w:t>
            </w:r>
          </w:p>
          <w:p>
            <w:pPr>
              <w:pStyle w:val="Liste2"/>
              <w:rPr>
                <w:rStyle w:val="TagMiZchn"/>
                <w:b w:val="0"/>
                <w:i w:val="0"/>
                <w:color w:val="auto"/>
                <w:lang w:val="de-DE"/>
              </w:rPr>
            </w:pPr>
            <w:r>
              <w:rPr>
                <w:rStyle w:val="TagMiZchn"/>
                <w:b w:val="0"/>
                <w:i w:val="0"/>
                <w:color w:val="auto"/>
                <w:lang w:val="de-DE"/>
              </w:rPr>
              <w:t>Geografische Verteilung 7-Tage-Inzidenz nach LK</w:t>
            </w:r>
          </w:p>
          <w:p>
            <w:pPr>
              <w:pStyle w:val="Liste3"/>
            </w:pPr>
            <w:r>
              <w:t>276 LK mit Inzidenz &gt;500-1.000 und 105 LK mit Inzidenz &gt; 1.000</w:t>
            </w:r>
          </w:p>
          <w:p>
            <w:pPr>
              <w:pStyle w:val="Liste2"/>
              <w:rPr>
                <w:rStyle w:val="TagMiZchn"/>
                <w:b w:val="0"/>
                <w:i w:val="0"/>
                <w:color w:val="auto"/>
                <w:lang w:val="de-DE"/>
              </w:rPr>
            </w:pPr>
            <w:proofErr w:type="spellStart"/>
            <w:r>
              <w:rPr>
                <w:rStyle w:val="TagMiZchn"/>
                <w:b w:val="0"/>
                <w:i w:val="0"/>
                <w:color w:val="auto"/>
                <w:lang w:val="de-DE"/>
              </w:rPr>
              <w:t>Heatmap</w:t>
            </w:r>
            <w:proofErr w:type="spellEnd"/>
          </w:p>
          <w:p>
            <w:pPr>
              <w:pStyle w:val="Liste3"/>
            </w:pPr>
            <w:r>
              <w:t>Zuwachs in allen Altersgruppen, vor allem auch in hohen AG &gt;80 Jahre</w:t>
            </w:r>
          </w:p>
          <w:p>
            <w:pPr>
              <w:pStyle w:val="Liste3"/>
            </w:pPr>
            <w:r>
              <w:t>Infektionsgeschehen scheint sich im Vergleich zu vorherigen Wellen in höheren AG abzuspielen.</w:t>
            </w:r>
          </w:p>
          <w:p>
            <w:pPr>
              <w:pStyle w:val="Liste2"/>
              <w:rPr>
                <w:rStyle w:val="TagMiZchn"/>
                <w:b w:val="0"/>
                <w:i w:val="0"/>
                <w:color w:val="auto"/>
                <w:lang w:val="de-DE"/>
              </w:rPr>
            </w:pPr>
            <w:r>
              <w:rPr>
                <w:rStyle w:val="TagMiZchn"/>
                <w:b w:val="0"/>
                <w:i w:val="0"/>
                <w:color w:val="auto"/>
                <w:lang w:val="de-DE"/>
              </w:rPr>
              <w:t>COVID-19-Fälle nach Altersgruppe und Sterbedatum</w:t>
            </w:r>
          </w:p>
          <w:p>
            <w:pPr>
              <w:pStyle w:val="Liste3"/>
            </w:pPr>
            <w:r>
              <w:t>Geringfügige Zunahme</w:t>
            </w:r>
          </w:p>
          <w:p>
            <w:pPr>
              <w:pStyle w:val="Liste2"/>
              <w:rPr>
                <w:rStyle w:val="TagMiZchn"/>
                <w:b w:val="0"/>
                <w:i w:val="0"/>
                <w:color w:val="auto"/>
                <w:lang w:val="de-DE"/>
              </w:rPr>
            </w:pPr>
            <w:r>
              <w:rPr>
                <w:rStyle w:val="TagMiZchn"/>
                <w:b w:val="0"/>
                <w:i w:val="0"/>
                <w:color w:val="auto"/>
                <w:lang w:val="de-DE"/>
              </w:rPr>
              <w:t>Wöchentliche Sterbefallzahlen</w:t>
            </w:r>
          </w:p>
          <w:p>
            <w:pPr>
              <w:pStyle w:val="Liste3"/>
            </w:pPr>
            <w:r>
              <w:t>Leichter Anstieg, von Übersterblichkeit kann noch nicht gesprochen werden.</w:t>
            </w:r>
          </w:p>
          <w:p>
            <w:pPr>
              <w:pStyle w:val="Liste2"/>
              <w:numPr>
                <w:ilvl w:val="0"/>
                <w:numId w:val="0"/>
              </w:numPr>
              <w:ind w:left="833"/>
              <w:rPr>
                <w:lang w:val="de-DE"/>
              </w:rPr>
            </w:pPr>
          </w:p>
          <w:p>
            <w:pPr>
              <w:pStyle w:val="Liste1"/>
              <w:rPr>
                <w:rStyle w:val="TagMiZchn"/>
                <w:b w:val="0"/>
                <w:bCs/>
              </w:rPr>
            </w:pPr>
            <w:r>
              <w:rPr>
                <w:b/>
              </w:rPr>
              <w:t>Zahlen zum DIVI-Intensivregister</w:t>
            </w:r>
            <w:r>
              <w:t xml:space="preserve"> (Folien </w:t>
            </w:r>
            <w:hyperlink r:id="rId13" w:history="1">
              <w:r>
                <w:rPr>
                  <w:rStyle w:val="Hyperlink"/>
                </w:rPr>
                <w:t>hier</w:t>
              </w:r>
            </w:hyperlink>
            <w:r>
              <w:t>)</w:t>
            </w:r>
          </w:p>
          <w:p>
            <w:pPr>
              <w:pStyle w:val="Liste2"/>
              <w:rPr>
                <w:lang w:val="de-DE"/>
              </w:rPr>
            </w:pPr>
            <w:r>
              <w:rPr>
                <w:lang w:val="de-DE"/>
              </w:rPr>
              <w:t>Mit Stand 12.10.2022 werden 1.673 COVID-19-</w:t>
            </w:r>
            <w:proofErr w:type="gramStart"/>
            <w:r>
              <w:rPr>
                <w:lang w:val="de-DE"/>
              </w:rPr>
              <w:t>Patient:innen</w:t>
            </w:r>
            <w:proofErr w:type="gramEnd"/>
            <w:r>
              <w:rPr>
                <w:lang w:val="de-DE"/>
              </w:rPr>
              <w:t xml:space="preserve"> auf Intensivstationen (der ca. 1.300 Akutkrankenhäuser) behandelt</w:t>
            </w:r>
          </w:p>
          <w:p>
            <w:pPr>
              <w:pStyle w:val="Liste3"/>
            </w:pPr>
            <w:r>
              <w:t xml:space="preserve">ITS-COVID-Neuaufnahmen mit +1.651 in den letzten 7 Tagen </w:t>
            </w:r>
          </w:p>
          <w:p>
            <w:pPr>
              <w:pStyle w:val="Liste3"/>
            </w:pPr>
            <w:r>
              <w:t xml:space="preserve">Starker Anstieg, in den letzten 2 Wochen Verdoppelung </w:t>
            </w:r>
          </w:p>
          <w:p>
            <w:pPr>
              <w:pStyle w:val="Liste3"/>
            </w:pPr>
            <w:r>
              <w:t>Anzahl der auf ITS verstorbenen Patienten: geringer Anstieg</w:t>
            </w:r>
          </w:p>
          <w:p>
            <w:pPr>
              <w:pStyle w:val="Liste2"/>
              <w:rPr>
                <w:lang w:val="de-DE"/>
              </w:rPr>
            </w:pPr>
            <w:r>
              <w:rPr>
                <w:lang w:val="de-DE"/>
              </w:rPr>
              <w:t>Anteil der COVID-19-</w:t>
            </w:r>
            <w:proofErr w:type="gramStart"/>
            <w:r>
              <w:rPr>
                <w:lang w:val="de-DE"/>
              </w:rPr>
              <w:t>Patient:innen</w:t>
            </w:r>
            <w:proofErr w:type="gramEnd"/>
            <w:r>
              <w:rPr>
                <w:lang w:val="de-DE"/>
              </w:rPr>
              <w:t xml:space="preserve"> an der Gesamtzahl betreibbarer ITS-Betten</w:t>
            </w:r>
          </w:p>
          <w:p>
            <w:pPr>
              <w:pStyle w:val="Liste3"/>
            </w:pPr>
            <w:r>
              <w:t>In allen BL Anstieg zu sehen, in Hamburg gleichbleibend</w:t>
            </w:r>
          </w:p>
          <w:p>
            <w:pPr>
              <w:pStyle w:val="Liste3"/>
            </w:pPr>
            <w:r>
              <w:t>Saarland auch bei ITS-Belegung stark betroffen</w:t>
            </w:r>
          </w:p>
          <w:p>
            <w:pPr>
              <w:pStyle w:val="Liste2"/>
            </w:pPr>
            <w:proofErr w:type="spellStart"/>
            <w:r>
              <w:t>Behandlungsbelegung</w:t>
            </w:r>
            <w:proofErr w:type="spellEnd"/>
            <w:r>
              <w:t xml:space="preserve"> </w:t>
            </w:r>
            <w:proofErr w:type="spellStart"/>
            <w:r>
              <w:t>nach</w:t>
            </w:r>
            <w:proofErr w:type="spellEnd"/>
            <w:r>
              <w:t xml:space="preserve"> </w:t>
            </w:r>
            <w:proofErr w:type="spellStart"/>
            <w:r>
              <w:t>Schweregrad</w:t>
            </w:r>
            <w:proofErr w:type="spellEnd"/>
            <w:r>
              <w:t xml:space="preserve"> </w:t>
            </w:r>
          </w:p>
          <w:p>
            <w:pPr>
              <w:pStyle w:val="Liste3"/>
            </w:pPr>
            <w:r>
              <w:t>Keine Differenzierung mit und wegen COVID, jedoch Unterscheidung: ohne respiratorische Unterstützung, mit nicht-invasiver und mit invasiver Beatmung</w:t>
            </w:r>
          </w:p>
          <w:p>
            <w:pPr>
              <w:pStyle w:val="Liste3"/>
            </w:pPr>
            <w:r>
              <w:t>Starker Anstieg bei Anteil unbekannter Behandlungen (keine respiratorische Unterstützung nötig), auch Gruppe mit invasiver Beatmung deutlich angestiegen sowie Anstieg bei Patienten mit nicht-invasiver Beatmung</w:t>
            </w:r>
          </w:p>
          <w:p>
            <w:pPr>
              <w:pStyle w:val="Liste2"/>
            </w:pPr>
            <w:r>
              <w:t xml:space="preserve">Invasive </w:t>
            </w:r>
            <w:proofErr w:type="spellStart"/>
            <w:r>
              <w:t>Beatmungskapazitäten</w:t>
            </w:r>
            <w:proofErr w:type="spellEnd"/>
          </w:p>
          <w:p>
            <w:pPr>
              <w:pStyle w:val="Liste3"/>
            </w:pPr>
            <w:r>
              <w:lastRenderedPageBreak/>
              <w:t>Anteil Non-COVID-Patienten mit invasiver Beatmung ist deutlich höher als der von COVID-Patienten.</w:t>
            </w:r>
          </w:p>
          <w:p>
            <w:pPr>
              <w:pStyle w:val="Liste3"/>
            </w:pPr>
            <w:r>
              <w:t>Gesamtanzahl der invasiv Beatmeten ist kleiner geworden, hängt auch mit Personalmangel zusammen.</w:t>
            </w:r>
          </w:p>
          <w:p>
            <w:pPr>
              <w:pStyle w:val="Liste2"/>
            </w:pPr>
            <w:proofErr w:type="spellStart"/>
            <w:r>
              <w:t>Altersgruppen</w:t>
            </w:r>
            <w:proofErr w:type="spellEnd"/>
            <w:r>
              <w:t xml:space="preserve"> </w:t>
            </w:r>
            <w:proofErr w:type="spellStart"/>
            <w:r>
              <w:t>Entwicklung</w:t>
            </w:r>
            <w:proofErr w:type="spellEnd"/>
            <w:r>
              <w:t xml:space="preserve"> </w:t>
            </w:r>
          </w:p>
          <w:p>
            <w:pPr>
              <w:pStyle w:val="Liste3"/>
            </w:pPr>
            <w:r>
              <w:t xml:space="preserve">Belegung angestiegen in allen AG, vor allem aber bei 60+ Jährigen </w:t>
            </w:r>
          </w:p>
          <w:p>
            <w:pPr>
              <w:pStyle w:val="Liste3"/>
            </w:pPr>
            <w:r>
              <w:t>Prozentual: &gt; 60% sind über 70 Jahre alt</w:t>
            </w:r>
          </w:p>
          <w:p>
            <w:pPr>
              <w:pStyle w:val="Liste2"/>
              <w:rPr>
                <w:lang w:val="de-DE"/>
              </w:rPr>
            </w:pPr>
            <w:bookmarkStart w:id="1" w:name="_GoBack"/>
            <w:proofErr w:type="spellStart"/>
            <w:r>
              <w:rPr>
                <w:lang w:val="de-DE"/>
              </w:rPr>
              <w:t>SPoCK</w:t>
            </w:r>
            <w:proofErr w:type="spellEnd"/>
            <w:r>
              <w:rPr>
                <w:lang w:val="de-DE"/>
              </w:rPr>
              <w:t xml:space="preserve">-Prognose: </w:t>
            </w:r>
          </w:p>
          <w:bookmarkEnd w:id="1"/>
          <w:p>
            <w:pPr>
              <w:pStyle w:val="Liste3"/>
            </w:pPr>
            <w:r>
              <w:t>Für Deutschland insgesamt starker Anstieg prognostiziert; in allen 5 Kleeblättern deutschlandweit</w:t>
            </w:r>
          </w:p>
          <w:p>
            <w:pPr>
              <w:pStyle w:val="Liste2"/>
              <w:numPr>
                <w:ilvl w:val="0"/>
                <w:numId w:val="0"/>
              </w:numPr>
              <w:ind w:left="833" w:hanging="360"/>
              <w:rPr>
                <w:lang w:val="de-DE"/>
              </w:rPr>
            </w:pPr>
          </w:p>
          <w:p>
            <w:pPr>
              <w:pStyle w:val="Liste1"/>
              <w:rPr>
                <w:b/>
              </w:rPr>
            </w:pPr>
            <w:proofErr w:type="spellStart"/>
            <w:r>
              <w:rPr>
                <w:b/>
              </w:rPr>
              <w:t>Syndromische</w:t>
            </w:r>
            <w:proofErr w:type="spellEnd"/>
            <w:r>
              <w:rPr>
                <w:b/>
              </w:rPr>
              <w:t xml:space="preserve"> Surveillance</w:t>
            </w:r>
            <w:r>
              <w:rPr>
                <w:rStyle w:val="TagMiZchn"/>
                <w:b w:val="0"/>
              </w:rPr>
              <w:t xml:space="preserve"> </w:t>
            </w:r>
            <w:r>
              <w:t xml:space="preserve">(Folien </w:t>
            </w:r>
            <w:hyperlink r:id="rId14" w:history="1">
              <w:r>
                <w:rPr>
                  <w:rStyle w:val="Hyperlink"/>
                </w:rPr>
                <w:t>hier</w:t>
              </w:r>
            </w:hyperlink>
            <w:r>
              <w:t>)</w:t>
            </w:r>
          </w:p>
          <w:p>
            <w:pPr>
              <w:pStyle w:val="Liste2"/>
              <w:rPr>
                <w:lang w:val="de-DE"/>
              </w:rPr>
            </w:pPr>
            <w:r>
              <w:rPr>
                <w:lang w:val="de-DE"/>
              </w:rPr>
              <w:t xml:space="preserve">ARE gesamt: </w:t>
            </w:r>
          </w:p>
          <w:p>
            <w:pPr>
              <w:pStyle w:val="Liste3"/>
            </w:pPr>
            <w:r>
              <w:t>Beginn der Saison 2022/23</w:t>
            </w:r>
            <w:r>
              <w:rPr>
                <w:i/>
              </w:rPr>
              <w:t>: roter Punkt auf linker Seite im Diagramm</w:t>
            </w:r>
          </w:p>
          <w:p>
            <w:pPr>
              <w:pStyle w:val="Liste3"/>
            </w:pPr>
            <w:r>
              <w:t xml:space="preserve">Üblicher Jahresverlauf: im Sommer Becken, zum Ende der Schulferienzeit im Herbst gehen die Zahlen steil nach oben, dann Herbstplateau </w:t>
            </w:r>
          </w:p>
          <w:p>
            <w:pPr>
              <w:pStyle w:val="Liste3"/>
            </w:pPr>
            <w:r>
              <w:t>Entspricht einer Gesamtzahl von 7,6 Mio. ARE in Deutschland, unabhängig von einem Arztbesuch (39. KW: ca. 7,6 Mio.)</w:t>
            </w:r>
          </w:p>
          <w:p>
            <w:pPr>
              <w:pStyle w:val="Liste3"/>
            </w:pPr>
            <w:r>
              <w:t>ARE-Raten bei Erwachsenen steigen an, bei Kindern sind sie deutlich zurückgegangen.</w:t>
            </w:r>
          </w:p>
          <w:p>
            <w:pPr>
              <w:pStyle w:val="Liste2"/>
              <w:rPr>
                <w:lang w:val="de-DE"/>
              </w:rPr>
            </w:pPr>
            <w:r>
              <w:rPr>
                <w:lang w:val="de-DE"/>
              </w:rPr>
              <w:t xml:space="preserve">ARE-Arztkonsultation: </w:t>
            </w:r>
          </w:p>
          <w:p>
            <w:pPr>
              <w:pStyle w:val="Liste3"/>
            </w:pPr>
            <w:r>
              <w:t xml:space="preserve">Ca. 1.900 Arztkonsultationen wegen ARE pro 100.000 EW -&gt; 40. KW 2022: ca. 1,6 Mio. Arztbesuche wegen ARE </w:t>
            </w:r>
          </w:p>
          <w:p>
            <w:pPr>
              <w:pStyle w:val="Liste3"/>
            </w:pPr>
            <w:r>
              <w:t>Höher als in Vorsaisonen, aber kein Anstieg seit letzter Woche</w:t>
            </w:r>
          </w:p>
          <w:p>
            <w:pPr>
              <w:pStyle w:val="Liste3"/>
            </w:pPr>
            <w:r>
              <w:t>Nach AG das gleiche Bild: bei Kindern, Schulkindern und jungen Erwachsenen kein weiterer Anstieg, Anstieg bei Erwachsenen ab 35 Jahren</w:t>
            </w:r>
          </w:p>
          <w:p>
            <w:pPr>
              <w:pStyle w:val="Liste2"/>
              <w:rPr>
                <w:lang w:val="de-DE"/>
              </w:rPr>
            </w:pPr>
            <w:r>
              <w:rPr>
                <w:lang w:val="de-DE"/>
              </w:rPr>
              <w:t>SEED</w:t>
            </w:r>
            <w:r>
              <w:rPr>
                <w:vertAlign w:val="superscript"/>
                <w:lang w:val="de-DE"/>
              </w:rPr>
              <w:t>ARE</w:t>
            </w:r>
            <w:r>
              <w:rPr>
                <w:lang w:val="de-DE"/>
              </w:rPr>
              <w:t xml:space="preserve"> mit COVID-19 Konsultationen bis zur 40. KW</w:t>
            </w:r>
          </w:p>
          <w:p>
            <w:pPr>
              <w:pStyle w:val="Liste3"/>
            </w:pPr>
            <w:r>
              <w:t>Stabil bei Kindern, Anstieg setzt sich bei Erwachsenen fort.</w:t>
            </w:r>
          </w:p>
          <w:p>
            <w:pPr>
              <w:pStyle w:val="Liste2"/>
            </w:pPr>
            <w:r>
              <w:t>ICOSARI-KH-Surveillance</w:t>
            </w:r>
            <w:r>
              <w:rPr>
                <w:sz w:val="24"/>
                <w:szCs w:val="24"/>
                <w:lang w:val="en-US"/>
              </w:rPr>
              <w:t xml:space="preserve"> </w:t>
            </w:r>
            <w:r>
              <w:t>– SARI-</w:t>
            </w:r>
            <w:proofErr w:type="spellStart"/>
            <w:r>
              <w:t>Inzidenz</w:t>
            </w:r>
            <w:proofErr w:type="spellEnd"/>
          </w:p>
          <w:p>
            <w:pPr>
              <w:pStyle w:val="Liste3"/>
            </w:pPr>
            <w:r>
              <w:t xml:space="preserve">Ähnliches Niveau wie in Vorjahren </w:t>
            </w:r>
          </w:p>
          <w:p>
            <w:pPr>
              <w:pStyle w:val="Liste3"/>
            </w:pPr>
            <w:r>
              <w:t>Nachmeldungen sind zu erwarten, kein sehr ungewöhnliches Geschehen.</w:t>
            </w:r>
          </w:p>
          <w:p>
            <w:pPr>
              <w:pStyle w:val="Liste3"/>
            </w:pPr>
            <w:r>
              <w:t>Auch bei intensivmedizinischer Behandlung Niveau wie in Vorjahren</w:t>
            </w:r>
          </w:p>
          <w:p>
            <w:pPr>
              <w:pStyle w:val="Liste2"/>
            </w:pPr>
            <w:r>
              <w:t xml:space="preserve">ICOSARI-KH-Surveillance – </w:t>
            </w:r>
            <w:proofErr w:type="spellStart"/>
            <w:r>
              <w:t>Anteil</w:t>
            </w:r>
            <w:proofErr w:type="spellEnd"/>
            <w:r>
              <w:t xml:space="preserve"> COVID-19 an SARI-</w:t>
            </w:r>
            <w:proofErr w:type="spellStart"/>
            <w:r>
              <w:t>Fällen</w:t>
            </w:r>
            <w:proofErr w:type="spellEnd"/>
          </w:p>
          <w:p>
            <w:pPr>
              <w:pStyle w:val="Liste3"/>
            </w:pPr>
            <w:r>
              <w:t>Leichter Anstieg vor allem bei intensivmedizinisch Behandelten (42% aller intensivmedizinisch behandelten Patienten).</w:t>
            </w:r>
          </w:p>
          <w:p>
            <w:pPr>
              <w:pStyle w:val="Liste3"/>
            </w:pPr>
            <w:r>
              <w:t xml:space="preserve">Nach Altersgruppen: 42-48% COVID-19 bei 35+ Jährigen </w:t>
            </w:r>
          </w:p>
          <w:p>
            <w:pPr>
              <w:pStyle w:val="Liste3"/>
            </w:pPr>
            <w:r>
              <w:t>Bei 0-4-Jährigen 15% RSV (weniger als letztes Jahr), 4% COVID, 3% Influenza</w:t>
            </w:r>
          </w:p>
          <w:p>
            <w:pPr>
              <w:pStyle w:val="Liste3"/>
            </w:pPr>
            <w:r>
              <w:t>Bei 80+ Jährigen Anzahl höher als in Vorsaisonen</w:t>
            </w:r>
          </w:p>
          <w:p>
            <w:pPr>
              <w:pStyle w:val="Liste2"/>
              <w:rPr>
                <w:lang w:val="de-DE"/>
              </w:rPr>
            </w:pPr>
            <w:r>
              <w:rPr>
                <w:lang w:val="de-DE"/>
              </w:rPr>
              <w:t>Hospitalisierungsinzidenz</w:t>
            </w:r>
          </w:p>
          <w:p>
            <w:pPr>
              <w:pStyle w:val="Liste3"/>
              <w:rPr>
                <w:rStyle w:val="Liste3Zchn"/>
              </w:rPr>
            </w:pPr>
            <w:r>
              <w:t xml:space="preserve">Starker Anstieg der </w:t>
            </w:r>
            <w:r>
              <w:rPr>
                <w:rStyle w:val="Liste3Zchn"/>
              </w:rPr>
              <w:t xml:space="preserve">Hospitalisierungsinzidenz im Meldewesen, bei ICOSARI auch Anstieg, jedoch nicht ganz so stark. </w:t>
            </w:r>
          </w:p>
          <w:p>
            <w:pPr>
              <w:pStyle w:val="Liste3"/>
              <w:rPr>
                <w:rStyle w:val="Liste3Zchn"/>
              </w:rPr>
            </w:pPr>
            <w:r>
              <w:rPr>
                <w:rStyle w:val="Liste3Zchn"/>
              </w:rPr>
              <w:lastRenderedPageBreak/>
              <w:t>Mögliche Gründe: Wechsel auf elektronische Meldung, keine Differenzierung zwischen Hospitalisierungen mit und an COVID.</w:t>
            </w:r>
          </w:p>
          <w:p>
            <w:pPr>
              <w:pStyle w:val="Liste3"/>
            </w:pPr>
            <w:r>
              <w:t>Anstieg auch im Intensivregister</w:t>
            </w:r>
          </w:p>
          <w:p>
            <w:pPr>
              <w:pStyle w:val="Liste2"/>
              <w:rPr>
                <w:lang w:val="de-DE"/>
              </w:rPr>
            </w:pPr>
            <w:r>
              <w:rPr>
                <w:lang w:val="de-DE"/>
              </w:rPr>
              <w:t>Entwicklung COVID-SARI 30. KW bis 40. KW 2022</w:t>
            </w:r>
          </w:p>
          <w:p>
            <w:pPr>
              <w:pStyle w:val="Liste3"/>
            </w:pPr>
            <w:r>
              <w:t>Anstieg bei Hospitalisierten, auch bei Intensivbehandelten, leichter Anstieg auch bei Verstorbenen</w:t>
            </w:r>
          </w:p>
          <w:p>
            <w:pPr>
              <w:pStyle w:val="Liste1"/>
            </w:pPr>
            <w:r>
              <w:rPr>
                <w:b/>
              </w:rPr>
              <w:t>Virologische Surveillance</w:t>
            </w:r>
            <w:r>
              <w:t xml:space="preserve"> </w:t>
            </w:r>
          </w:p>
          <w:p>
            <w:pPr>
              <w:pStyle w:val="Liste2"/>
              <w:rPr>
                <w:lang w:val="de-DE"/>
              </w:rPr>
            </w:pPr>
            <w:r>
              <w:rPr>
                <w:lang w:val="de-DE"/>
              </w:rPr>
              <w:t>Coronaviren: leichter Anstieg von SARS-CoV-2</w:t>
            </w:r>
          </w:p>
          <w:p>
            <w:pPr>
              <w:pStyle w:val="Liste2"/>
              <w:rPr>
                <w:lang w:val="de-DE"/>
              </w:rPr>
            </w:pPr>
            <w:r>
              <w:rPr>
                <w:lang w:val="de-DE"/>
              </w:rPr>
              <w:t>Influenzaviren: deutlicher Anstieg von A(H3N2)</w:t>
            </w:r>
          </w:p>
          <w:p>
            <w:pPr>
              <w:pStyle w:val="Liste2"/>
              <w:rPr>
                <w:lang w:val="de-DE"/>
              </w:rPr>
            </w:pPr>
            <w:r>
              <w:rPr>
                <w:lang w:val="de-DE"/>
              </w:rPr>
              <w:t xml:space="preserve">Sonstige Atemwegsviren: stärkste Aktivität bei </w:t>
            </w:r>
            <w:proofErr w:type="spellStart"/>
            <w:r>
              <w:rPr>
                <w:lang w:val="de-DE"/>
              </w:rPr>
              <w:t>Rhinoviren</w:t>
            </w:r>
            <w:proofErr w:type="spellEnd"/>
            <w:r>
              <w:rPr>
                <w:lang w:val="de-DE"/>
              </w:rPr>
              <w:t>; Parainfluenzaviren vor allem bei kleinen Kindern; kaum humane Metapneumoviren und RSV</w:t>
            </w:r>
          </w:p>
          <w:p>
            <w:pPr>
              <w:pStyle w:val="Liste2"/>
              <w:numPr>
                <w:ilvl w:val="0"/>
                <w:numId w:val="0"/>
              </w:numPr>
              <w:ind w:left="833" w:hanging="360"/>
              <w:rPr>
                <w:lang w:val="de-DE"/>
              </w:rPr>
            </w:pPr>
          </w:p>
          <w:p>
            <w:pPr>
              <w:pStyle w:val="Liste1"/>
              <w:rPr>
                <w:rStyle w:val="TagMiZchn"/>
                <w:b w:val="0"/>
                <w:i w:val="0"/>
                <w:color w:val="auto"/>
              </w:rPr>
            </w:pPr>
            <w:r>
              <w:rPr>
                <w:rStyle w:val="3Zchn"/>
              </w:rPr>
              <w:t>Testkapazität und Testungen</w:t>
            </w:r>
            <w:r>
              <w:t xml:space="preserve"> </w:t>
            </w:r>
          </w:p>
          <w:p>
            <w:pPr>
              <w:pStyle w:val="Liste2"/>
            </w:pPr>
            <w:r>
              <w:t>(</w:t>
            </w:r>
            <w:proofErr w:type="spellStart"/>
            <w:r>
              <w:t>nicht</w:t>
            </w:r>
            <w:proofErr w:type="spellEnd"/>
            <w:r>
              <w:t xml:space="preserve"> </w:t>
            </w:r>
            <w:proofErr w:type="spellStart"/>
            <w:r>
              <w:t>berichtet</w:t>
            </w:r>
            <w:proofErr w:type="spellEnd"/>
            <w:r>
              <w:t>)</w:t>
            </w:r>
          </w:p>
          <w:p>
            <w:pPr>
              <w:pStyle w:val="Liste2"/>
              <w:numPr>
                <w:ilvl w:val="0"/>
                <w:numId w:val="0"/>
              </w:numPr>
            </w:pPr>
          </w:p>
          <w:p>
            <w:pPr>
              <w:pStyle w:val="Liste1"/>
              <w:rPr>
                <w:b/>
              </w:rPr>
            </w:pPr>
            <w:r>
              <w:rPr>
                <w:b/>
              </w:rPr>
              <w:t xml:space="preserve">ARS-Daten </w:t>
            </w:r>
            <w:r>
              <w:t xml:space="preserve">(Folien </w:t>
            </w:r>
            <w:hyperlink r:id="rId15" w:history="1">
              <w:r>
                <w:rPr>
                  <w:rStyle w:val="Hyperlink"/>
                </w:rPr>
                <w:t>hier</w:t>
              </w:r>
            </w:hyperlink>
            <w:r>
              <w:t>)</w:t>
            </w:r>
          </w:p>
          <w:p>
            <w:pPr>
              <w:pStyle w:val="Liste2"/>
              <w:rPr>
                <w:lang w:val="de-DE"/>
              </w:rPr>
            </w:pPr>
            <w:r>
              <w:rPr>
                <w:lang w:val="de-DE"/>
              </w:rPr>
              <w:t>Anstieg der positiven Testungen in allen BL, auch in Bayern und im Saarland.</w:t>
            </w:r>
          </w:p>
          <w:p>
            <w:pPr>
              <w:pStyle w:val="Liste2"/>
              <w:rPr>
                <w:lang w:val="de-DE"/>
              </w:rPr>
            </w:pPr>
            <w:r>
              <w:rPr>
                <w:lang w:val="de-DE"/>
              </w:rPr>
              <w:t>In einigen BL Anstieg der Anzahl durchgeführter Testungen (Bayern, NRW)</w:t>
            </w:r>
          </w:p>
          <w:p>
            <w:pPr>
              <w:pStyle w:val="Liste2"/>
              <w:rPr>
                <w:lang w:val="de-DE"/>
              </w:rPr>
            </w:pPr>
            <w:r>
              <w:rPr>
                <w:lang w:val="de-DE"/>
              </w:rPr>
              <w:t xml:space="preserve">Deutlicher Anstieg der Anzahl Testungen und der </w:t>
            </w:r>
            <w:proofErr w:type="spellStart"/>
            <w:r>
              <w:rPr>
                <w:lang w:val="de-DE"/>
              </w:rPr>
              <w:t>Positivenanteile</w:t>
            </w:r>
            <w:proofErr w:type="spellEnd"/>
            <w:r>
              <w:rPr>
                <w:lang w:val="de-DE"/>
              </w:rPr>
              <w:t xml:space="preserve"> in Arztpraxen und anderen Teststellen, Rückgang der Anzahl der Testungen in Krankenhäusern bei leicht steigendem </w:t>
            </w:r>
            <w:proofErr w:type="spellStart"/>
            <w:r>
              <w:rPr>
                <w:lang w:val="de-DE"/>
              </w:rPr>
              <w:t>Positivenanteil</w:t>
            </w:r>
            <w:proofErr w:type="spellEnd"/>
            <w:r>
              <w:rPr>
                <w:lang w:val="de-DE"/>
              </w:rPr>
              <w:t>. Vor allem in Arztpraxen wird wieder mehr getestet</w:t>
            </w:r>
          </w:p>
          <w:p>
            <w:pPr>
              <w:pStyle w:val="Liste2"/>
              <w:rPr>
                <w:lang w:val="de-DE"/>
              </w:rPr>
            </w:pPr>
            <w:r>
              <w:rPr>
                <w:lang w:val="de-DE"/>
              </w:rPr>
              <w:t>Anzahl der Testungen nach AG: deutlicher Anstieg in den Altersgruppen ab 35 Jahren.</w:t>
            </w:r>
          </w:p>
          <w:p>
            <w:pPr>
              <w:pStyle w:val="Liste2"/>
              <w:rPr>
                <w:lang w:val="de-DE"/>
              </w:rPr>
            </w:pPr>
            <w:r>
              <w:rPr>
                <w:lang w:val="de-DE"/>
              </w:rPr>
              <w:t>Anzahl positiver Testungen nach AG: stabil bei Kindern, sonst Anstieg</w:t>
            </w:r>
          </w:p>
          <w:p>
            <w:pPr>
              <w:pStyle w:val="Liste2"/>
              <w:rPr>
                <w:lang w:val="de-DE"/>
              </w:rPr>
            </w:pPr>
            <w:proofErr w:type="spellStart"/>
            <w:r>
              <w:rPr>
                <w:lang w:val="de-DE"/>
              </w:rPr>
              <w:t>Positivenanteile</w:t>
            </w:r>
            <w:proofErr w:type="spellEnd"/>
            <w:r>
              <w:rPr>
                <w:lang w:val="de-DE"/>
              </w:rPr>
              <w:t xml:space="preserve"> nach AG: Anstieg, außer bei Kindern</w:t>
            </w:r>
          </w:p>
          <w:p>
            <w:pPr>
              <w:pStyle w:val="Liste2"/>
              <w:rPr>
                <w:lang w:val="de-DE"/>
              </w:rPr>
            </w:pPr>
            <w:r>
              <w:rPr>
                <w:lang w:val="de-DE"/>
              </w:rPr>
              <w:t xml:space="preserve">Ausbrüche in medizinischen Behandlungseinrichtungen: wieder Anstieg der aktiven Ausbrüche, noch keine große Veränderung bei Todesfällen im Vergleich zur Vorwoche </w:t>
            </w:r>
          </w:p>
          <w:p>
            <w:pPr>
              <w:pStyle w:val="Liste2"/>
              <w:numPr>
                <w:ilvl w:val="0"/>
                <w:numId w:val="0"/>
              </w:numPr>
              <w:rPr>
                <w:lang w:val="de-DE"/>
              </w:rPr>
            </w:pPr>
          </w:p>
          <w:p>
            <w:pPr>
              <w:pStyle w:val="Liste1"/>
            </w:pPr>
            <w:r>
              <w:rPr>
                <w:b/>
              </w:rPr>
              <w:t xml:space="preserve">VOC-Bericht </w:t>
            </w:r>
            <w:r>
              <w:t xml:space="preserve">(Folien </w:t>
            </w:r>
            <w:hyperlink r:id="rId16" w:history="1">
              <w:r>
                <w:rPr>
                  <w:rStyle w:val="Hyperlink"/>
                </w:rPr>
                <w:t>hier</w:t>
              </w:r>
            </w:hyperlink>
            <w:r>
              <w:t>)</w:t>
            </w:r>
          </w:p>
          <w:p>
            <w:pPr>
              <w:pStyle w:val="Liste2"/>
              <w:rPr>
                <w:lang w:val="de-DE"/>
              </w:rPr>
            </w:pPr>
            <w:r>
              <w:rPr>
                <w:lang w:val="de-DE"/>
              </w:rPr>
              <w:t>In den letzten Wochen Rückgang des Anteils und der Anzahl der Genomsequenzierungen (keine technischen Gründe)</w:t>
            </w:r>
          </w:p>
          <w:p>
            <w:pPr>
              <w:pStyle w:val="Liste2"/>
              <w:rPr>
                <w:lang w:val="de-DE"/>
              </w:rPr>
            </w:pPr>
            <w:r>
              <w:rPr>
                <w:lang w:val="de-DE"/>
              </w:rPr>
              <w:t>Keine großen Veränderungen, Konstanz bei BA.5</w:t>
            </w:r>
          </w:p>
          <w:p>
            <w:pPr>
              <w:pStyle w:val="Liste2"/>
              <w:rPr>
                <w:lang w:val="de-DE"/>
              </w:rPr>
            </w:pPr>
            <w:r>
              <w:rPr>
                <w:lang w:val="de-DE"/>
              </w:rPr>
              <w:t xml:space="preserve">Keine Veränderungen bei den Hauptlinien von Omikron </w:t>
            </w:r>
          </w:p>
          <w:p>
            <w:pPr>
              <w:pStyle w:val="Liste2"/>
              <w:rPr>
                <w:lang w:val="de-DE"/>
              </w:rPr>
            </w:pPr>
            <w:r>
              <w:rPr>
                <w:lang w:val="de-DE"/>
              </w:rPr>
              <w:t>Wenn man die Wachstumsgrafen (Wachstum nach x-Tagen) von BA.2 und BA.5 übereinanderlegt, sieht man, dass das Wachstum von BA.2 vor der Plateaubildung wesentlich steiler war. Bei BA.5 ist der Anstieg weniger steil. Das Ende der BA.5 Linie liegt noch unter der Linie von BA.2. Es ist deshalb davon auszugehen, dass bei BA.5 noch einige Infektionen dazukommen werden, vermutlich ist BA.5 noch nicht auf Plateau wie BA.2 angekommen.</w:t>
            </w:r>
          </w:p>
          <w:p>
            <w:pPr>
              <w:pStyle w:val="Liste2"/>
              <w:rPr>
                <w:lang w:val="de-DE"/>
              </w:rPr>
            </w:pPr>
            <w:r>
              <w:rPr>
                <w:lang w:val="de-DE"/>
              </w:rPr>
              <w:t>Aufteilung der Omikron Sublinien: Anteil BF.7 ist weiter gestiegen. BA.2 ist wieder angestiegen durch BA.2.75 Sublinien.</w:t>
            </w:r>
          </w:p>
          <w:p>
            <w:pPr>
              <w:pStyle w:val="Liste2"/>
              <w:rPr>
                <w:lang w:val="de-DE"/>
              </w:rPr>
            </w:pPr>
            <w:r>
              <w:rPr>
                <w:lang w:val="de-DE"/>
              </w:rPr>
              <w:lastRenderedPageBreak/>
              <w:t>BQ.1 und BQ.1.1: leicht steigende Zahlen, aber in sehr geringem Umfang.</w:t>
            </w:r>
          </w:p>
          <w:p>
            <w:pPr>
              <w:pStyle w:val="Liste2"/>
              <w:rPr>
                <w:lang w:val="de-DE"/>
              </w:rPr>
            </w:pPr>
            <w:r>
              <w:rPr>
                <w:lang w:val="de-DE"/>
              </w:rPr>
              <w:t>Frage zum Anstieg von BF.7: Gibt es besondere Merkmale? Keine Aussagen zu Pathogenität oder Übertragung möglich, keine Hinweise auf klinische Relevanz.</w:t>
            </w:r>
          </w:p>
          <w:p>
            <w:pPr>
              <w:pStyle w:val="Liste1"/>
              <w:numPr>
                <w:ilvl w:val="0"/>
                <w:numId w:val="0"/>
              </w:numPr>
              <w:ind w:left="473"/>
            </w:pPr>
          </w:p>
          <w:p>
            <w:pPr>
              <w:pStyle w:val="Liste1"/>
            </w:pPr>
            <w:r>
              <w:t xml:space="preserve">Diskussion: </w:t>
            </w:r>
          </w:p>
          <w:p>
            <w:pPr>
              <w:pStyle w:val="Liste2"/>
              <w:rPr>
                <w:lang w:val="de-DE"/>
              </w:rPr>
            </w:pPr>
            <w:r>
              <w:rPr>
                <w:lang w:val="de-DE"/>
              </w:rPr>
              <w:t xml:space="preserve">Die Hälfte der Patienten im Intensivregister werden nicht beatmet, also vielleicht Hospitalisierung mit und nicht wegen COVID. Steigungswinkel ist vielleicht Teil des üblichen saisonalen Geschehens. </w:t>
            </w:r>
          </w:p>
          <w:p>
            <w:pPr>
              <w:pStyle w:val="Liste3"/>
            </w:pPr>
            <w:r>
              <w:t>Atmungsunterstützung ist seit Juni relativ stabil. Zahl der invasiv Beatmeten steigt steil an, Anzahl noch relativ klein.</w:t>
            </w:r>
          </w:p>
          <w:p>
            <w:pPr>
              <w:pStyle w:val="Liste2"/>
              <w:rPr>
                <w:lang w:val="de-DE"/>
              </w:rPr>
            </w:pPr>
            <w:r>
              <w:rPr>
                <w:lang w:val="de-DE"/>
              </w:rPr>
              <w:t xml:space="preserve">Was ist über Patienten, die gegenwärtig hospitalisiert werden und der Generation der 50 bzw. 60+ Jährigen angehören, hinsichtlich einer 4. Impfungen bekannt? </w:t>
            </w:r>
          </w:p>
          <w:p>
            <w:pPr>
              <w:pStyle w:val="Liste3"/>
            </w:pPr>
            <w:r>
              <w:t>Qualitativer Bericht aus AGI: durchaus auch mehrfach Geimpfte betroffen, Personalausfälle in KH mit und wegen COVID, zudem Verlegungen aus Altenheimen, die zumindest im Saarland zu erheblicher Belastung führt.</w:t>
            </w:r>
          </w:p>
          <w:p>
            <w:pPr>
              <w:pStyle w:val="Liste2"/>
              <w:rPr>
                <w:lang w:val="de-DE"/>
              </w:rPr>
            </w:pPr>
            <w:r>
              <w:rPr>
                <w:lang w:val="de-DE"/>
              </w:rPr>
              <w:t>Verweis auf Zusammenfassung im Monatsbericht zur Impfung vom 29.09.: Risiko lässt sich durch Auffrischungs</w:t>
            </w:r>
            <w:r>
              <w:rPr>
                <w:lang w:val="de-DE"/>
              </w:rPr>
              <w:softHyphen/>
              <w:t xml:space="preserve">impfung senken. </w:t>
            </w:r>
          </w:p>
          <w:p>
            <w:pPr>
              <w:pStyle w:val="Liste2"/>
              <w:rPr>
                <w:lang w:val="de-DE"/>
              </w:rPr>
            </w:pPr>
            <w:r>
              <w:rPr>
                <w:lang w:val="de-DE"/>
              </w:rPr>
              <w:t>Anstieg der Infektionen bei Hochaltrigen: Fragen dazu, ob 4 Impfungen schützen, sind zu erwarten. Infektionsdruck ist hoch in der Bevölkerung.</w:t>
            </w:r>
          </w:p>
          <w:p>
            <w:pPr>
              <w:pStyle w:val="Liste2"/>
              <w:numPr>
                <w:ilvl w:val="0"/>
                <w:numId w:val="0"/>
              </w:numPr>
              <w:rPr>
                <w:i/>
                <w:lang w:val="de-DE"/>
              </w:rPr>
            </w:pPr>
            <w:proofErr w:type="spellStart"/>
            <w:r>
              <w:rPr>
                <w:i/>
                <w:lang w:val="de-DE"/>
              </w:rPr>
              <w:t>ToDo</w:t>
            </w:r>
            <w:proofErr w:type="spellEnd"/>
            <w:r>
              <w:rPr>
                <w:i/>
                <w:lang w:val="de-DE"/>
              </w:rPr>
              <w:t>: FG33 wird Information nachreichen, FF Fischer-Fels</w:t>
            </w:r>
          </w:p>
          <w:p>
            <w:pPr>
              <w:pStyle w:val="Liste2"/>
              <w:rPr>
                <w:lang w:val="de-DE"/>
              </w:rPr>
            </w:pPr>
            <w:r>
              <w:rPr>
                <w:lang w:val="de-DE"/>
              </w:rPr>
              <w:t>Am Dienstag in Morgenbesprechung fragte Minister nach 5. Impfung, diese Fragen werden kommen. Freitag wird neue Impfkampagne vom Minister vorgestellt.</w:t>
            </w:r>
          </w:p>
          <w:p>
            <w:pPr>
              <w:pStyle w:val="Liste2"/>
              <w:rPr>
                <w:lang w:val="de-DE"/>
              </w:rPr>
            </w:pPr>
            <w:r>
              <w:rPr>
                <w:lang w:val="de-DE"/>
              </w:rPr>
              <w:t>Vorbereitung auf dieses Thema nötig.</w:t>
            </w:r>
          </w:p>
          <w:p>
            <w:pPr>
              <w:pStyle w:val="Liste2"/>
              <w:rPr>
                <w:lang w:val="de-DE"/>
              </w:rPr>
            </w:pPr>
            <w:r>
              <w:rPr>
                <w:lang w:val="de-DE"/>
              </w:rPr>
              <w:t>FAQ zur 5. Impfung wurden heute veröffentlicht. Ärzte sollen anhand von 5 Kriterien selbst entscheiden.</w:t>
            </w:r>
          </w:p>
          <w:p>
            <w:pPr>
              <w:pStyle w:val="Liste2"/>
              <w:numPr>
                <w:ilvl w:val="0"/>
                <w:numId w:val="0"/>
              </w:numPr>
              <w:ind w:left="833" w:hanging="360"/>
              <w:rPr>
                <w:lang w:val="de-DE"/>
              </w:rPr>
            </w:pPr>
          </w:p>
          <w:p>
            <w:pPr>
              <w:pStyle w:val="Liste2"/>
              <w:rPr>
                <w:lang w:val="de-DE"/>
              </w:rPr>
            </w:pPr>
            <w:r>
              <w:rPr>
                <w:lang w:val="de-DE"/>
              </w:rPr>
              <w:t>Gespräch mit saarländischem Gesundheitsminister: Sind im Intensivregister Daten pro BL und Bevölkerung verfügbar? Der Wunsch des saarländischen Gesundheitsministers wäre, für das Saarland Daten zur Anzahl belegter Intensivbetten pro 100.000 Einwohner im Vergleich zu anderen BL zu erhalten. Ist dies im Saarland höher als in anderen BL? Die Antwort sollte möglichst innerhalb der nächsten Stunde erfolgen.</w:t>
            </w:r>
          </w:p>
          <w:p>
            <w:pPr>
              <w:pStyle w:val="Liste3"/>
            </w:pPr>
            <w:r>
              <w:t>In dieser Kürze nicht möglich.</w:t>
            </w:r>
          </w:p>
          <w:p>
            <w:pPr>
              <w:pStyle w:val="Liste3"/>
            </w:pPr>
            <w:r>
              <w:t>Daten zur Belegung bis auf KH-Ebene möglich</w:t>
            </w:r>
          </w:p>
          <w:p>
            <w:pPr>
              <w:pStyle w:val="Liste3"/>
            </w:pPr>
            <w:r>
              <w:t>Einzugsgebiete der KH entsprechen nicht immer den Bundeslandgrenzen.</w:t>
            </w:r>
          </w:p>
          <w:p>
            <w:pPr>
              <w:pStyle w:val="Liste3"/>
            </w:pPr>
            <w:r>
              <w:t>Einführung weiterer neuer Indikatoren nicht sinnvoll.</w:t>
            </w:r>
          </w:p>
          <w:p>
            <w:pPr>
              <w:pStyle w:val="Liste3"/>
            </w:pPr>
            <w:r>
              <w:t>Nicht trivial, gerade in kleinem BL das Einzugsgebiet zu definieren.</w:t>
            </w:r>
          </w:p>
          <w:p>
            <w:pPr>
              <w:pStyle w:val="Liste3"/>
            </w:pPr>
            <w:r>
              <w:t>Antwort ans BMG: nicht vorhanden und kann nicht in einer halben Stunde bereitgestellt werden.</w:t>
            </w:r>
          </w:p>
          <w:p>
            <w:pPr>
              <w:pStyle w:val="Liste2"/>
              <w:numPr>
                <w:ilvl w:val="0"/>
                <w:numId w:val="0"/>
              </w:numPr>
              <w:ind w:left="833" w:hanging="360"/>
              <w:rPr>
                <w:lang w:val="de-DE"/>
              </w:rPr>
            </w:pPr>
          </w:p>
        </w:tc>
        <w:tc>
          <w:tcPr>
            <w:tcW w:w="1463" w:type="dxa"/>
          </w:tcPr>
          <w:p>
            <w:pPr>
              <w:rPr>
                <w:sz w:val="22"/>
                <w:szCs w:val="22"/>
              </w:rPr>
            </w:pPr>
          </w:p>
          <w:p>
            <w:pPr>
              <w:rPr>
                <w:sz w:val="22"/>
                <w:szCs w:val="22"/>
              </w:rPr>
            </w:pPr>
          </w:p>
          <w:p>
            <w:pPr>
              <w:rPr>
                <w:sz w:val="22"/>
                <w:szCs w:val="22"/>
              </w:rPr>
            </w:pPr>
            <w:r>
              <w:rPr>
                <w:sz w:val="22"/>
                <w:szCs w:val="22"/>
              </w:rPr>
              <w:t xml:space="preserve">ZIG1 </w:t>
            </w:r>
            <w:r>
              <w:rPr>
                <w:sz w:val="22"/>
                <w:szCs w:val="22"/>
              </w:rPr>
              <w:br/>
            </w:r>
            <w:r>
              <w:rPr>
                <w:i/>
                <w:sz w:val="22"/>
                <w:szCs w:val="22"/>
              </w:rPr>
              <w:t>(</w:t>
            </w:r>
            <w:r>
              <w:rPr>
                <w:rStyle w:val="highlight"/>
                <w:i/>
                <w:sz w:val="22"/>
                <w:szCs w:val="22"/>
              </w:rPr>
              <w:t>Kerber</w:t>
            </w:r>
            <w:r>
              <w:rPr>
                <w:i/>
                <w:sz w:val="22"/>
                <w:szCs w:val="22"/>
              </w:rPr>
              <w:t>)</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i/>
                <w:sz w:val="22"/>
                <w:szCs w:val="22"/>
              </w:rPr>
            </w:pPr>
            <w:r>
              <w:rPr>
                <w:sz w:val="22"/>
                <w:szCs w:val="22"/>
              </w:rPr>
              <w:t xml:space="preserve">FG32 </w:t>
            </w:r>
            <w:r>
              <w:rPr>
                <w:sz w:val="22"/>
                <w:szCs w:val="22"/>
              </w:rPr>
              <w:br/>
            </w:r>
            <w:r>
              <w:rPr>
                <w:i/>
                <w:sz w:val="22"/>
                <w:szCs w:val="22"/>
              </w:rPr>
              <w:t>(Sievers)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MF4</w:t>
            </w:r>
          </w:p>
          <w:p>
            <w:pPr>
              <w:rPr>
                <w:i/>
                <w:sz w:val="22"/>
                <w:szCs w:val="22"/>
              </w:rPr>
            </w:pPr>
            <w:r>
              <w:rPr>
                <w:i/>
                <w:sz w:val="22"/>
                <w:szCs w:val="22"/>
              </w:rPr>
              <w:t>(Fischer)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i/>
                <w:sz w:val="22"/>
                <w:szCs w:val="22"/>
              </w:rPr>
            </w:pPr>
            <w:r>
              <w:rPr>
                <w:i/>
                <w:sz w:val="22"/>
                <w:szCs w:val="22"/>
              </w:rPr>
              <w:t>(Buda)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i/>
                <w:sz w:val="22"/>
                <w:szCs w:val="22"/>
              </w:rPr>
            </w:pPr>
            <w:r>
              <w:rPr>
                <w:i/>
                <w:sz w:val="22"/>
                <w:szCs w:val="22"/>
              </w:rPr>
              <w:t>Fischer</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w:t>
            </w:r>
          </w:p>
          <w:p>
            <w:pPr>
              <w:rPr>
                <w:i/>
                <w:sz w:val="22"/>
                <w:szCs w:val="22"/>
              </w:rPr>
            </w:pPr>
            <w:r>
              <w:rPr>
                <w:i/>
                <w:sz w:val="22"/>
                <w:szCs w:val="22"/>
              </w:rPr>
              <w:t>(Dürrwald)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lang w:val="nb-NO"/>
              </w:rPr>
            </w:pPr>
            <w:r>
              <w:rPr>
                <w:sz w:val="22"/>
                <w:szCs w:val="22"/>
                <w:lang w:val="nb-NO"/>
              </w:rPr>
              <w:t>FG37</w:t>
            </w:r>
          </w:p>
          <w:p>
            <w:pPr>
              <w:rPr>
                <w:sz w:val="22"/>
                <w:szCs w:val="22"/>
                <w:lang w:val="nb-NO"/>
              </w:rPr>
            </w:pPr>
            <w:r>
              <w:rPr>
                <w:sz w:val="22"/>
                <w:szCs w:val="22"/>
                <w:lang w:val="nb-NO"/>
              </w:rPr>
              <w:t>(</w:t>
            </w:r>
            <w:r>
              <w:rPr>
                <w:i/>
                <w:sz w:val="22"/>
                <w:szCs w:val="22"/>
                <w:lang w:val="nb-NO"/>
              </w:rPr>
              <w:t>Abu Sin</w:t>
            </w:r>
            <w:r>
              <w:rPr>
                <w:sz w:val="22"/>
                <w:szCs w:val="22"/>
                <w:lang w:val="nb-NO"/>
              </w:rPr>
              <w:t>)</w:t>
            </w:r>
          </w:p>
          <w:p>
            <w:pPr>
              <w:rPr>
                <w:sz w:val="22"/>
                <w:szCs w:val="22"/>
                <w:lang w:val="nb-NO"/>
              </w:rPr>
            </w:pPr>
          </w:p>
          <w:p>
            <w:pPr>
              <w:rPr>
                <w:sz w:val="22"/>
                <w:szCs w:val="22"/>
                <w:lang w:val="nb-NO"/>
              </w:rPr>
            </w:pPr>
          </w:p>
          <w:p>
            <w:pPr>
              <w:rPr>
                <w:sz w:val="22"/>
                <w:szCs w:val="22"/>
                <w:lang w:val="nb-NO"/>
              </w:rPr>
            </w:pPr>
          </w:p>
          <w:p>
            <w:pPr>
              <w:rPr>
                <w:sz w:val="22"/>
                <w:szCs w:val="22"/>
                <w:lang w:val="nb-NO"/>
              </w:rPr>
            </w:pPr>
          </w:p>
          <w:p>
            <w:pPr>
              <w:rPr>
                <w:sz w:val="22"/>
                <w:szCs w:val="22"/>
                <w:lang w:val="nb-NO"/>
              </w:rPr>
            </w:pPr>
          </w:p>
          <w:p>
            <w:pPr>
              <w:rPr>
                <w:sz w:val="22"/>
                <w:szCs w:val="22"/>
                <w:lang w:val="nb-NO"/>
              </w:rPr>
            </w:pPr>
          </w:p>
          <w:p>
            <w:pPr>
              <w:rPr>
                <w:sz w:val="22"/>
                <w:szCs w:val="22"/>
                <w:lang w:val="nb-NO"/>
              </w:rPr>
            </w:pPr>
          </w:p>
          <w:p>
            <w:pPr>
              <w:rPr>
                <w:sz w:val="22"/>
                <w:szCs w:val="22"/>
                <w:lang w:val="nb-NO"/>
              </w:rPr>
            </w:pPr>
          </w:p>
          <w:p>
            <w:pPr>
              <w:rPr>
                <w:sz w:val="22"/>
                <w:szCs w:val="22"/>
                <w:lang w:val="nb-NO"/>
              </w:rPr>
            </w:pPr>
          </w:p>
          <w:p>
            <w:pPr>
              <w:rPr>
                <w:sz w:val="22"/>
                <w:szCs w:val="22"/>
                <w:lang w:val="nb-NO"/>
              </w:rPr>
            </w:pPr>
          </w:p>
          <w:p>
            <w:pPr>
              <w:rPr>
                <w:sz w:val="22"/>
                <w:szCs w:val="22"/>
                <w:lang w:val="nb-NO"/>
              </w:rPr>
            </w:pPr>
          </w:p>
          <w:p>
            <w:pPr>
              <w:rPr>
                <w:sz w:val="22"/>
                <w:szCs w:val="22"/>
                <w:lang w:val="nb-NO"/>
              </w:rPr>
            </w:pPr>
          </w:p>
          <w:p>
            <w:pPr>
              <w:rPr>
                <w:sz w:val="22"/>
                <w:szCs w:val="22"/>
                <w:lang w:val="nb-NO"/>
              </w:rPr>
            </w:pPr>
          </w:p>
          <w:p>
            <w:pPr>
              <w:rPr>
                <w:sz w:val="22"/>
                <w:szCs w:val="22"/>
                <w:lang w:val="nb-NO"/>
              </w:rPr>
            </w:pPr>
          </w:p>
          <w:p>
            <w:pPr>
              <w:rPr>
                <w:sz w:val="22"/>
                <w:szCs w:val="22"/>
                <w:lang w:val="nb-NO"/>
              </w:rPr>
            </w:pPr>
          </w:p>
          <w:p>
            <w:pPr>
              <w:rPr>
                <w:sz w:val="22"/>
                <w:szCs w:val="22"/>
                <w:lang w:val="nb-NO"/>
              </w:rPr>
            </w:pPr>
          </w:p>
          <w:p>
            <w:pPr>
              <w:rPr>
                <w:sz w:val="22"/>
                <w:szCs w:val="22"/>
                <w:lang w:val="nb-NO"/>
              </w:rPr>
            </w:pPr>
          </w:p>
          <w:p>
            <w:pPr>
              <w:rPr>
                <w:sz w:val="22"/>
                <w:szCs w:val="22"/>
                <w:lang w:val="nb-NO"/>
              </w:rPr>
            </w:pPr>
            <w:r>
              <w:rPr>
                <w:sz w:val="22"/>
                <w:szCs w:val="22"/>
                <w:lang w:val="nb-NO"/>
              </w:rPr>
              <w:t>FG36</w:t>
            </w:r>
          </w:p>
          <w:p>
            <w:pPr>
              <w:rPr>
                <w:sz w:val="22"/>
                <w:szCs w:val="22"/>
                <w:lang w:val="nb-NO"/>
              </w:rPr>
            </w:pPr>
            <w:r>
              <w:rPr>
                <w:sz w:val="22"/>
                <w:szCs w:val="22"/>
                <w:lang w:val="nb-NO"/>
              </w:rPr>
              <w:t>(</w:t>
            </w:r>
            <w:r>
              <w:rPr>
                <w:i/>
                <w:sz w:val="22"/>
                <w:szCs w:val="22"/>
                <w:lang w:val="nb-NO"/>
              </w:rPr>
              <w:t>Kröger</w:t>
            </w:r>
            <w:r>
              <w:rPr>
                <w:sz w:val="22"/>
                <w:szCs w:val="22"/>
                <w:lang w:val="nb-NO"/>
              </w:rPr>
              <w:t>)</w:t>
            </w:r>
          </w:p>
          <w:p>
            <w:pPr>
              <w:rPr>
                <w:sz w:val="22"/>
                <w:szCs w:val="22"/>
                <w:lang w:val="nb-NO"/>
              </w:rPr>
            </w:pPr>
          </w:p>
          <w:p>
            <w:pPr>
              <w:rPr>
                <w:sz w:val="22"/>
                <w:szCs w:val="22"/>
                <w:lang w:val="nb-NO"/>
              </w:rPr>
            </w:pPr>
          </w:p>
          <w:p>
            <w:pPr>
              <w:rPr>
                <w:sz w:val="22"/>
                <w:szCs w:val="22"/>
                <w:lang w:val="nb-NO"/>
              </w:rPr>
            </w:pPr>
          </w:p>
          <w:p>
            <w:pPr>
              <w:rPr>
                <w:sz w:val="22"/>
                <w:szCs w:val="22"/>
                <w:lang w:val="nb-NO"/>
              </w:rPr>
            </w:pPr>
          </w:p>
          <w:p>
            <w:pPr>
              <w:rPr>
                <w:sz w:val="22"/>
                <w:szCs w:val="22"/>
                <w:lang w:val="nb-NO"/>
              </w:rPr>
            </w:pPr>
          </w:p>
          <w:p>
            <w:pPr>
              <w:rPr>
                <w:sz w:val="22"/>
                <w:szCs w:val="22"/>
                <w:lang w:val="nb-NO"/>
              </w:rPr>
            </w:pPr>
          </w:p>
          <w:p>
            <w:pPr>
              <w:rPr>
                <w:sz w:val="22"/>
                <w:szCs w:val="22"/>
                <w:lang w:val="nb-NO"/>
              </w:rPr>
            </w:pPr>
          </w:p>
          <w:p>
            <w:pPr>
              <w:rPr>
                <w:sz w:val="22"/>
                <w:szCs w:val="22"/>
                <w:lang w:val="nb-NO"/>
              </w:rPr>
            </w:pPr>
          </w:p>
          <w:p>
            <w:pPr>
              <w:rPr>
                <w:sz w:val="22"/>
                <w:szCs w:val="22"/>
                <w:lang w:val="nb-NO"/>
              </w:rPr>
            </w:pPr>
          </w:p>
          <w:p>
            <w:pPr>
              <w:rPr>
                <w:sz w:val="22"/>
                <w:szCs w:val="22"/>
                <w:lang w:val="nb-NO"/>
              </w:rPr>
            </w:pPr>
          </w:p>
          <w:p>
            <w:pPr>
              <w:rPr>
                <w:sz w:val="22"/>
                <w:szCs w:val="22"/>
                <w:lang w:val="nb-NO"/>
              </w:rPr>
            </w:pPr>
          </w:p>
          <w:p>
            <w:pPr>
              <w:rPr>
                <w:sz w:val="22"/>
                <w:szCs w:val="22"/>
                <w:lang w:val="nb-NO"/>
              </w:rPr>
            </w:pPr>
          </w:p>
          <w:p>
            <w:pPr>
              <w:rPr>
                <w:sz w:val="22"/>
                <w:szCs w:val="22"/>
                <w:lang w:val="nb-NO"/>
              </w:rPr>
            </w:pPr>
          </w:p>
          <w:p>
            <w:pPr>
              <w:rPr>
                <w:sz w:val="22"/>
                <w:szCs w:val="22"/>
                <w:lang w:val="nb-NO"/>
              </w:rPr>
            </w:pPr>
          </w:p>
          <w:p>
            <w:pPr>
              <w:rPr>
                <w:sz w:val="22"/>
                <w:szCs w:val="22"/>
                <w:lang w:val="nb-NO"/>
              </w:rPr>
            </w:pPr>
          </w:p>
          <w:p>
            <w:pPr>
              <w:rPr>
                <w:sz w:val="22"/>
                <w:szCs w:val="22"/>
                <w:lang w:val="nb-NO"/>
              </w:rPr>
            </w:pPr>
          </w:p>
          <w:p>
            <w:pPr>
              <w:rPr>
                <w:sz w:val="22"/>
                <w:szCs w:val="22"/>
                <w:lang w:val="nb-NO"/>
              </w:rPr>
            </w:pPr>
          </w:p>
          <w:p>
            <w:pPr>
              <w:rPr>
                <w:sz w:val="22"/>
                <w:szCs w:val="22"/>
                <w:lang w:val="nb-NO"/>
              </w:rPr>
            </w:pPr>
          </w:p>
          <w:p>
            <w:pPr>
              <w:rPr>
                <w:sz w:val="22"/>
                <w:szCs w:val="22"/>
                <w:lang w:val="nb-NO"/>
              </w:rPr>
            </w:pPr>
          </w:p>
          <w:p>
            <w:pPr>
              <w:rPr>
                <w:sz w:val="22"/>
                <w:szCs w:val="22"/>
                <w:lang w:val="nb-NO"/>
              </w:rPr>
            </w:pPr>
          </w:p>
          <w:p>
            <w:pPr>
              <w:rPr>
                <w:sz w:val="22"/>
                <w:szCs w:val="22"/>
                <w:lang w:val="nb-NO"/>
              </w:rPr>
            </w:pPr>
          </w:p>
          <w:p>
            <w:pPr>
              <w:rPr>
                <w:i/>
                <w:sz w:val="22"/>
                <w:szCs w:val="22"/>
              </w:rPr>
            </w:pPr>
            <w:r>
              <w:rPr>
                <w:i/>
                <w:sz w:val="22"/>
                <w:szCs w:val="22"/>
              </w:rPr>
              <w:t>Buda</w:t>
            </w:r>
          </w:p>
          <w:p>
            <w:pPr>
              <w:rPr>
                <w:i/>
                <w:sz w:val="22"/>
                <w:szCs w:val="22"/>
              </w:rPr>
            </w:pPr>
          </w:p>
          <w:p>
            <w:pPr>
              <w:rPr>
                <w:i/>
                <w:sz w:val="22"/>
                <w:szCs w:val="22"/>
              </w:rPr>
            </w:pPr>
          </w:p>
          <w:p>
            <w:pPr>
              <w:rPr>
                <w:i/>
                <w:sz w:val="22"/>
                <w:szCs w:val="22"/>
              </w:rPr>
            </w:pPr>
          </w:p>
          <w:p>
            <w:pPr>
              <w:rPr>
                <w:i/>
                <w:sz w:val="22"/>
                <w:szCs w:val="22"/>
              </w:rPr>
            </w:pPr>
            <w:r>
              <w:rPr>
                <w:i/>
                <w:sz w:val="22"/>
                <w:szCs w:val="22"/>
              </w:rPr>
              <w:t>Fischer</w:t>
            </w:r>
          </w:p>
          <w:p>
            <w:pPr>
              <w:rPr>
                <w:sz w:val="22"/>
                <w:szCs w:val="22"/>
              </w:rPr>
            </w:pPr>
          </w:p>
          <w:p>
            <w:pPr>
              <w:rPr>
                <w:sz w:val="22"/>
                <w:szCs w:val="22"/>
              </w:rPr>
            </w:pPr>
          </w:p>
          <w:p>
            <w:pPr>
              <w:rPr>
                <w:i/>
                <w:sz w:val="22"/>
                <w:szCs w:val="22"/>
              </w:rPr>
            </w:pPr>
            <w:r>
              <w:rPr>
                <w:i/>
                <w:sz w:val="22"/>
                <w:szCs w:val="22"/>
              </w:rPr>
              <w:t>Mielke</w:t>
            </w:r>
          </w:p>
          <w:p>
            <w:pPr>
              <w:rPr>
                <w:sz w:val="22"/>
                <w:szCs w:val="22"/>
              </w:rPr>
            </w:pPr>
          </w:p>
          <w:p>
            <w:pPr>
              <w:rPr>
                <w:sz w:val="22"/>
                <w:szCs w:val="22"/>
              </w:rPr>
            </w:pPr>
          </w:p>
          <w:p>
            <w:pPr>
              <w:rPr>
                <w:i/>
                <w:sz w:val="22"/>
                <w:szCs w:val="22"/>
              </w:rPr>
            </w:pPr>
            <w:r>
              <w:rPr>
                <w:i/>
                <w:sz w:val="22"/>
                <w:szCs w:val="22"/>
              </w:rPr>
              <w:t>Rexroth</w:t>
            </w:r>
          </w:p>
          <w:p>
            <w:pPr>
              <w:rPr>
                <w:sz w:val="22"/>
                <w:szCs w:val="22"/>
              </w:rPr>
            </w:pPr>
          </w:p>
          <w:p>
            <w:pPr>
              <w:rPr>
                <w:sz w:val="22"/>
                <w:szCs w:val="22"/>
              </w:rPr>
            </w:pPr>
          </w:p>
          <w:p>
            <w:pPr>
              <w:rPr>
                <w:sz w:val="22"/>
                <w:szCs w:val="22"/>
              </w:rPr>
            </w:pPr>
          </w:p>
          <w:p>
            <w:pPr>
              <w:rPr>
                <w:i/>
                <w:sz w:val="22"/>
                <w:szCs w:val="22"/>
              </w:rPr>
            </w:pPr>
            <w:r>
              <w:rPr>
                <w:i/>
                <w:sz w:val="22"/>
                <w:szCs w:val="22"/>
              </w:rPr>
              <w:t>Diercke</w:t>
            </w:r>
          </w:p>
          <w:p>
            <w:pPr>
              <w:rPr>
                <w:sz w:val="22"/>
                <w:szCs w:val="22"/>
              </w:rPr>
            </w:pPr>
          </w:p>
          <w:p>
            <w:pPr>
              <w:rPr>
                <w:sz w:val="22"/>
                <w:szCs w:val="22"/>
              </w:rPr>
            </w:pPr>
          </w:p>
          <w:p>
            <w:pPr>
              <w:rPr>
                <w:i/>
                <w:sz w:val="22"/>
                <w:szCs w:val="22"/>
              </w:rPr>
            </w:pPr>
            <w:r>
              <w:rPr>
                <w:i/>
                <w:sz w:val="22"/>
                <w:szCs w:val="22"/>
              </w:rPr>
              <w:t>Mielke</w:t>
            </w:r>
          </w:p>
          <w:p>
            <w:pPr>
              <w:rPr>
                <w:sz w:val="22"/>
                <w:szCs w:val="22"/>
              </w:rPr>
            </w:pPr>
          </w:p>
          <w:p>
            <w:pPr>
              <w:rPr>
                <w:sz w:val="22"/>
                <w:szCs w:val="22"/>
              </w:rPr>
            </w:pPr>
          </w:p>
          <w:p>
            <w:pPr>
              <w:rPr>
                <w:i/>
                <w:sz w:val="22"/>
                <w:szCs w:val="22"/>
              </w:rPr>
            </w:pPr>
          </w:p>
          <w:p>
            <w:pPr>
              <w:rPr>
                <w:i/>
                <w:sz w:val="22"/>
                <w:szCs w:val="22"/>
              </w:rPr>
            </w:pPr>
            <w:r>
              <w:rPr>
                <w:i/>
                <w:sz w:val="22"/>
                <w:szCs w:val="22"/>
              </w:rPr>
              <w:t>Hamouda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i/>
                <w:sz w:val="22"/>
                <w:szCs w:val="22"/>
              </w:rPr>
            </w:pPr>
            <w:r>
              <w:rPr>
                <w:i/>
                <w:sz w:val="22"/>
                <w:szCs w:val="22"/>
              </w:rPr>
              <w:t>Osamah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i/>
                <w:sz w:val="22"/>
                <w:szCs w:val="22"/>
              </w:rPr>
            </w:pPr>
            <w:r>
              <w:rPr>
                <w:i/>
                <w:sz w:val="22"/>
                <w:szCs w:val="22"/>
              </w:rPr>
              <w:t>Fischer</w:t>
            </w:r>
          </w:p>
          <w:p>
            <w:pPr>
              <w:rPr>
                <w:i/>
                <w:sz w:val="22"/>
                <w:szCs w:val="22"/>
              </w:rPr>
            </w:pPr>
            <w:r>
              <w:rPr>
                <w:i/>
                <w:sz w:val="22"/>
                <w:szCs w:val="22"/>
              </w:rPr>
              <w:t>Rexroth</w:t>
            </w:r>
          </w:p>
          <w:p>
            <w:pPr>
              <w:rPr>
                <w:i/>
                <w:sz w:val="22"/>
                <w:szCs w:val="22"/>
              </w:rPr>
            </w:pPr>
          </w:p>
          <w:p>
            <w:pPr>
              <w:rPr>
                <w:i/>
                <w:sz w:val="22"/>
                <w:szCs w:val="22"/>
              </w:rPr>
            </w:pPr>
          </w:p>
          <w:p>
            <w:pPr>
              <w:rPr>
                <w:i/>
                <w:sz w:val="22"/>
                <w:szCs w:val="22"/>
              </w:rPr>
            </w:pPr>
            <w:r>
              <w:rPr>
                <w:i/>
                <w:sz w:val="22"/>
                <w:szCs w:val="22"/>
              </w:rPr>
              <w:t>Haas</w:t>
            </w:r>
          </w:p>
          <w:p>
            <w:pPr>
              <w:rPr>
                <w:i/>
                <w:sz w:val="22"/>
                <w:szCs w:val="22"/>
              </w:rPr>
            </w:pP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Wichtige Punkte für den Wochenbericht</w:t>
            </w:r>
            <w:r>
              <w:rPr>
                <w:b/>
                <w:color w:val="FF0000"/>
              </w:rPr>
              <w:t xml:space="preserve"> </w:t>
            </w:r>
          </w:p>
          <w:p>
            <w:pPr>
              <w:pStyle w:val="Liste1"/>
            </w:pPr>
            <w:r>
              <w:t>Wie wird Anstieg kommuniziert?</w:t>
            </w:r>
          </w:p>
          <w:p>
            <w:pPr>
              <w:pStyle w:val="Liste2"/>
              <w:rPr>
                <w:lang w:val="de-DE"/>
              </w:rPr>
            </w:pPr>
            <w:r>
              <w:rPr>
                <w:lang w:val="de-DE"/>
              </w:rPr>
              <w:t xml:space="preserve">Kernaussagen für Wochenbericht: Situation ist Folge der ungebremsten Ausweitung von Atemwegserkrankungen seit mehreren Wochen. Keine grundlegend neue Situation, grundlegend neuen Maßnahmen erforderlich. </w:t>
            </w:r>
          </w:p>
          <w:p>
            <w:pPr>
              <w:pStyle w:val="Liste2"/>
              <w:rPr>
                <w:lang w:val="de-DE"/>
              </w:rPr>
            </w:pPr>
            <w:r>
              <w:rPr>
                <w:lang w:val="de-DE"/>
              </w:rPr>
              <w:t xml:space="preserve">Bisherige Empfehlungen sollten implementiert werden. </w:t>
            </w:r>
          </w:p>
          <w:p>
            <w:pPr>
              <w:pStyle w:val="Liste2"/>
              <w:rPr>
                <w:lang w:val="de-DE"/>
              </w:rPr>
            </w:pPr>
            <w:r>
              <w:rPr>
                <w:lang w:val="de-DE"/>
              </w:rPr>
              <w:t xml:space="preserve">Blick sollte weiter als COVID sein und auch Influenza und andere Erreger im Blick behalten. Impfung gegen Influenza sollte erwähnt werden. </w:t>
            </w:r>
          </w:p>
          <w:p>
            <w:pPr>
              <w:pStyle w:val="Liste2"/>
              <w:rPr>
                <w:lang w:val="de-DE"/>
              </w:rPr>
            </w:pPr>
            <w:r>
              <w:rPr>
                <w:lang w:val="de-DE"/>
              </w:rPr>
              <w:t xml:space="preserve">Im Moment beteiligt sich auch die Gruppe der älteren Menschen am Ausbruchsgeschehen. </w:t>
            </w:r>
          </w:p>
          <w:p>
            <w:pPr>
              <w:pStyle w:val="Liste2"/>
              <w:numPr>
                <w:ilvl w:val="0"/>
                <w:numId w:val="0"/>
              </w:numPr>
              <w:ind w:left="833"/>
              <w:rPr>
                <w:lang w:val="de-DE"/>
              </w:rPr>
            </w:pPr>
          </w:p>
        </w:tc>
        <w:tc>
          <w:tcPr>
            <w:tcW w:w="1463" w:type="dxa"/>
          </w:tcPr>
          <w:p>
            <w:pPr>
              <w:rPr>
                <w:sz w:val="22"/>
                <w:szCs w:val="22"/>
              </w:rPr>
            </w:pPr>
          </w:p>
          <w:p>
            <w:pPr>
              <w:rPr>
                <w:sz w:val="22"/>
                <w:szCs w:val="22"/>
              </w:rPr>
            </w:pPr>
          </w:p>
          <w:p>
            <w:pPr>
              <w:rPr>
                <w:i/>
                <w:sz w:val="22"/>
                <w:szCs w:val="22"/>
              </w:rPr>
            </w:pPr>
            <w:r>
              <w:rPr>
                <w:i/>
                <w:sz w:val="22"/>
                <w:szCs w:val="22"/>
              </w:rPr>
              <w:t>Haas</w:t>
            </w:r>
          </w:p>
        </w:tc>
      </w:tr>
      <w:tr>
        <w:tc>
          <w:tcPr>
            <w:tcW w:w="684" w:type="dxa"/>
          </w:tcPr>
          <w:p>
            <w:pPr>
              <w:rPr>
                <w:b/>
              </w:rPr>
            </w:pPr>
            <w:r>
              <w:rPr>
                <w:b/>
              </w:rPr>
              <w:t>3</w:t>
            </w:r>
          </w:p>
        </w:tc>
        <w:tc>
          <w:tcPr>
            <w:tcW w:w="6824" w:type="dxa"/>
          </w:tcPr>
          <w:p>
            <w:pPr>
              <w:spacing w:line="276" w:lineRule="auto"/>
              <w:rPr>
                <w:rStyle w:val="TagFrZchn"/>
              </w:rPr>
            </w:pPr>
            <w:r>
              <w:rPr>
                <w:rStyle w:val="1Zchn"/>
              </w:rPr>
              <w:t>Update Impfen</w:t>
            </w:r>
            <w:r>
              <w:rPr>
                <w:b/>
                <w:sz w:val="28"/>
              </w:rPr>
              <w:t xml:space="preserve"> </w:t>
            </w:r>
          </w:p>
          <w:p>
            <w:pPr>
              <w:pStyle w:val="Liste1"/>
              <w:rPr>
                <w:rStyle w:val="1Zchn"/>
                <w:b w:val="0"/>
                <w:sz w:val="22"/>
              </w:rPr>
            </w:pPr>
            <w:r>
              <w:t>(nicht berichtet)</w:t>
            </w:r>
          </w:p>
        </w:tc>
        <w:tc>
          <w:tcPr>
            <w:tcW w:w="1463" w:type="dxa"/>
          </w:tcPr>
          <w:p>
            <w:pPr>
              <w:rPr>
                <w:sz w:val="22"/>
                <w:szCs w:val="22"/>
              </w:rPr>
            </w:pPr>
          </w:p>
          <w:p>
            <w:pPr>
              <w:rPr>
                <w:sz w:val="22"/>
                <w:szCs w:val="22"/>
              </w:rPr>
            </w:pPr>
            <w:r>
              <w:rPr>
                <w:sz w:val="22"/>
                <w:szCs w:val="22"/>
              </w:rPr>
              <w:t>FG 33</w:t>
            </w:r>
          </w:p>
          <w:p>
            <w:pPr>
              <w:rPr>
                <w:sz w:val="22"/>
                <w:szCs w:val="22"/>
              </w:rPr>
            </w:pPr>
          </w:p>
        </w:tc>
      </w:tr>
      <w:tr>
        <w:tc>
          <w:tcPr>
            <w:tcW w:w="684" w:type="dxa"/>
          </w:tcPr>
          <w:p>
            <w:pPr>
              <w:rPr>
                <w:b/>
              </w:rPr>
            </w:pPr>
            <w:r>
              <w:rPr>
                <w:b/>
              </w:rPr>
              <w:t>4</w:t>
            </w:r>
          </w:p>
        </w:tc>
        <w:tc>
          <w:tcPr>
            <w:tcW w:w="6824" w:type="dxa"/>
          </w:tcPr>
          <w:p>
            <w:pPr>
              <w:spacing w:line="276" w:lineRule="auto"/>
              <w:rPr>
                <w:rStyle w:val="TagFrZchn"/>
              </w:rPr>
            </w:pPr>
            <w:r>
              <w:rPr>
                <w:rStyle w:val="1Zchn"/>
              </w:rPr>
              <w:t>Internationales</w:t>
            </w:r>
            <w:r>
              <w:rPr>
                <w:b/>
                <w:color w:val="FF0000"/>
              </w:rPr>
              <w:t xml:space="preserve"> </w:t>
            </w:r>
          </w:p>
          <w:p>
            <w:pPr>
              <w:pStyle w:val="Liste1"/>
            </w:pPr>
            <w:r>
              <w:t>(nicht berichtet)</w:t>
            </w:r>
          </w:p>
        </w:tc>
        <w:tc>
          <w:tcPr>
            <w:tcW w:w="1463" w:type="dxa"/>
          </w:tcPr>
          <w:p>
            <w:pPr>
              <w:rPr>
                <w:sz w:val="22"/>
                <w:szCs w:val="22"/>
              </w:rPr>
            </w:pPr>
          </w:p>
          <w:p>
            <w:pPr>
              <w:rPr>
                <w:sz w:val="22"/>
                <w:szCs w:val="22"/>
              </w:rPr>
            </w:pPr>
            <w:r>
              <w:rPr>
                <w:sz w:val="22"/>
                <w:szCs w:val="22"/>
              </w:rPr>
              <w:t>ZIG</w:t>
            </w:r>
            <w:r>
              <w:rPr>
                <w:sz w:val="22"/>
                <w:szCs w:val="22"/>
              </w:rPr>
              <w:br/>
            </w:r>
          </w:p>
        </w:tc>
      </w:tr>
      <w:tr>
        <w:tc>
          <w:tcPr>
            <w:tcW w:w="684" w:type="dxa"/>
          </w:tcPr>
          <w:p>
            <w:pPr>
              <w:rPr>
                <w:b/>
              </w:rPr>
            </w:pPr>
            <w:r>
              <w:rPr>
                <w:b/>
              </w:rPr>
              <w:t>5</w:t>
            </w:r>
          </w:p>
        </w:tc>
        <w:tc>
          <w:tcPr>
            <w:tcW w:w="6824" w:type="dxa"/>
          </w:tcPr>
          <w:p>
            <w:pPr>
              <w:spacing w:line="276" w:lineRule="auto"/>
              <w:rPr>
                <w:b/>
                <w:sz w:val="28"/>
              </w:rPr>
            </w:pPr>
            <w:r>
              <w:rPr>
                <w:rStyle w:val="1Zchn"/>
              </w:rPr>
              <w:t>Update digitale Projekte</w:t>
            </w:r>
            <w:r>
              <w:rPr>
                <w:b/>
                <w:sz w:val="28"/>
              </w:rPr>
              <w:t xml:space="preserve"> </w:t>
            </w:r>
          </w:p>
          <w:p>
            <w:pPr>
              <w:pStyle w:val="Liste1"/>
            </w:pPr>
            <w:r>
              <w:t xml:space="preserve">Update zu den Pandemie-Apps: CWA und </w:t>
            </w:r>
            <w:proofErr w:type="spellStart"/>
            <w:r>
              <w:t>CovPass</w:t>
            </w:r>
            <w:proofErr w:type="spellEnd"/>
            <w:r>
              <w:t xml:space="preserve"> (Folien </w:t>
            </w:r>
            <w:hyperlink r:id="rId17" w:history="1">
              <w:r>
                <w:rPr>
                  <w:rStyle w:val="Hyperlink"/>
                </w:rPr>
                <w:t>hier</w:t>
              </w:r>
            </w:hyperlink>
            <w:r>
              <w:t>)</w:t>
            </w:r>
          </w:p>
          <w:p>
            <w:pPr>
              <w:pStyle w:val="Liste2"/>
              <w:rPr>
                <w:lang w:val="de-DE"/>
              </w:rPr>
            </w:pPr>
            <w:r>
              <w:rPr>
                <w:lang w:val="de-DE"/>
              </w:rPr>
              <w:t xml:space="preserve">Weiterhin mehrere Apps mit teilweise überschneidenden Funktionen, CWA soll bis Ende Mai 2023, </w:t>
            </w:r>
            <w:proofErr w:type="spellStart"/>
            <w:r>
              <w:rPr>
                <w:lang w:val="de-DE"/>
              </w:rPr>
              <w:t>CovPass</w:t>
            </w:r>
            <w:proofErr w:type="spellEnd"/>
            <w:r>
              <w:rPr>
                <w:lang w:val="de-DE"/>
              </w:rPr>
              <w:t xml:space="preserve"> bis Mitte 2023 </w:t>
            </w:r>
            <w:proofErr w:type="gramStart"/>
            <w:r>
              <w:rPr>
                <w:lang w:val="de-DE"/>
              </w:rPr>
              <w:t>weiterlaufen .</w:t>
            </w:r>
            <w:proofErr w:type="gramEnd"/>
          </w:p>
          <w:p>
            <w:pPr>
              <w:pStyle w:val="Liste2"/>
              <w:rPr>
                <w:lang w:val="de-DE"/>
              </w:rPr>
            </w:pPr>
            <w:r>
              <w:rPr>
                <w:lang w:val="de-DE"/>
              </w:rPr>
              <w:t>Keine Weiterentwicklung der Kernfunktionalitäten, stattdessen Ad-hoc Anforderungen für Zusatzfunktionen</w:t>
            </w:r>
          </w:p>
          <w:p>
            <w:pPr>
              <w:pStyle w:val="Liste2"/>
              <w:rPr>
                <w:lang w:val="de-DE"/>
              </w:rPr>
            </w:pPr>
            <w:r>
              <w:rPr>
                <w:lang w:val="de-DE"/>
              </w:rPr>
              <w:t>Teststrategie &amp; Selbsttests</w:t>
            </w:r>
          </w:p>
          <w:p>
            <w:pPr>
              <w:pStyle w:val="Liste3"/>
            </w:pPr>
            <w:r>
              <w:t>Anbindung neuer Labore und Teststellen wurde vor Monaten gestoppt.</w:t>
            </w:r>
          </w:p>
          <w:p>
            <w:pPr>
              <w:pStyle w:val="Liste3"/>
            </w:pPr>
            <w:r>
              <w:t>TAN-Hotline soll auslaufen, stattdessen nicht-verifizierte Warnungen bei positiven Testergebnissen von nicht-registrierten Schnelltests und Labor-PCR-Tests, auch von Selbsttests.</w:t>
            </w:r>
          </w:p>
          <w:p>
            <w:pPr>
              <w:pStyle w:val="Liste2"/>
              <w:rPr>
                <w:lang w:val="de-DE"/>
              </w:rPr>
            </w:pPr>
            <w:r>
              <w:rPr>
                <w:lang w:val="de-DE"/>
              </w:rPr>
              <w:t>Missbrauchsbeschränkung notwendig</w:t>
            </w:r>
          </w:p>
          <w:p>
            <w:pPr>
              <w:pStyle w:val="Liste3"/>
            </w:pPr>
            <w:r>
              <w:t>Rate-</w:t>
            </w:r>
            <w:proofErr w:type="spellStart"/>
            <w:r>
              <w:t>Limiting</w:t>
            </w:r>
            <w:proofErr w:type="spellEnd"/>
            <w:r>
              <w:t>: Was für eine Karenzzeit soll eingehalten werden? Vorschlag 3 Monate</w:t>
            </w:r>
          </w:p>
          <w:p>
            <w:pPr>
              <w:pStyle w:val="Liste3"/>
            </w:pPr>
            <w:r>
              <w:t>Mindestbetriebszeit der CWA-Installation: Warnung erst nach n Tagen/Wochen möglich? Vorschlag 7 Tage</w:t>
            </w:r>
          </w:p>
          <w:p>
            <w:pPr>
              <w:pStyle w:val="Liste3"/>
            </w:pPr>
            <w:r>
              <w:t>Weitere Hürden zur Missbrauchsbeschränkungen nötig?</w:t>
            </w:r>
          </w:p>
          <w:p>
            <w:pPr>
              <w:pStyle w:val="Liste2"/>
              <w:rPr>
                <w:lang w:val="de-DE"/>
              </w:rPr>
            </w:pPr>
            <w:r>
              <w:rPr>
                <w:lang w:val="de-DE"/>
              </w:rPr>
              <w:t>Informationsangebote für CWA-Nutzende</w:t>
            </w:r>
          </w:p>
          <w:p>
            <w:pPr>
              <w:pStyle w:val="Liste3"/>
            </w:pPr>
            <w:r>
              <w:t>Pandemieradar: Dashboard-Replikation oder Verlinkung auf RKI-Dashboard?</w:t>
            </w:r>
          </w:p>
          <w:p>
            <w:pPr>
              <w:pStyle w:val="Liste3"/>
            </w:pPr>
            <w:r>
              <w:t>Übersetzung von Pandemieradar als „</w:t>
            </w:r>
            <w:proofErr w:type="spellStart"/>
            <w:r>
              <w:t>Pandemic</w:t>
            </w:r>
            <w:proofErr w:type="spellEnd"/>
            <w:r>
              <w:t xml:space="preserve"> Key </w:t>
            </w:r>
            <w:proofErr w:type="spellStart"/>
            <w:r>
              <w:t>Indicators</w:t>
            </w:r>
            <w:proofErr w:type="spellEnd"/>
            <w:r>
              <w:t>“?</w:t>
            </w:r>
          </w:p>
          <w:p>
            <w:pPr>
              <w:pStyle w:val="Liste3"/>
            </w:pPr>
            <w:r>
              <w:t xml:space="preserve">BZgA-Impfcheck: Wunsch der Verlinkung von BZgA und BMG, aber RKI-Bedenken. </w:t>
            </w:r>
          </w:p>
          <w:p>
            <w:pPr>
              <w:pStyle w:val="Liste3"/>
            </w:pPr>
            <w:r>
              <w:t>Verlinkung in CWA oder in FAQ oder keine Verlinkung?</w:t>
            </w:r>
          </w:p>
          <w:p>
            <w:pPr>
              <w:pStyle w:val="Liste2"/>
              <w:rPr>
                <w:lang w:val="de-DE"/>
              </w:rPr>
            </w:pPr>
            <w:r>
              <w:rPr>
                <w:lang w:val="de-DE"/>
              </w:rPr>
              <w:t>Prüfszenarien</w:t>
            </w:r>
          </w:p>
          <w:p>
            <w:pPr>
              <w:pStyle w:val="Liste3"/>
            </w:pPr>
            <w:r>
              <w:t>Bundeslandspezifische Maskenpflichten und Maskenpflichtbefreiungen: implementiert, aber noch nicht aktiviert</w:t>
            </w:r>
          </w:p>
          <w:p>
            <w:pPr>
              <w:pStyle w:val="Liste3"/>
            </w:pPr>
            <w:r>
              <w:t>Funktionspostfach für noch zu benennende BL-AP</w:t>
            </w:r>
          </w:p>
          <w:p>
            <w:pPr>
              <w:pStyle w:val="Liste3"/>
            </w:pPr>
            <w:r>
              <w:lastRenderedPageBreak/>
              <w:t>Vollständiger Impfschutz: implementiert als Selbstauskunft, noch nicht zur Fremdprüfung</w:t>
            </w:r>
          </w:p>
          <w:p>
            <w:pPr>
              <w:pStyle w:val="Liste3"/>
            </w:pPr>
            <w:r>
              <w:t>Anwendungsszenarien unklar</w:t>
            </w:r>
          </w:p>
          <w:p>
            <w:pPr>
              <w:pStyle w:val="Liste3"/>
            </w:pPr>
            <w:r>
              <w:t>Probleme: Diskrepanz IfSG und STIKO Empfehlungen (insbesondere für Kinder 6-11 Jahre)</w:t>
            </w:r>
          </w:p>
          <w:p>
            <w:pPr>
              <w:pStyle w:val="Liste3"/>
            </w:pPr>
            <w:r>
              <w:t>Umgang mit IfSG-Vorgaben zu Impfstoffen der WHO-Emergency-List</w:t>
            </w:r>
          </w:p>
          <w:p>
            <w:pPr>
              <w:pStyle w:val="Liste2"/>
              <w:rPr>
                <w:lang w:val="de-DE"/>
              </w:rPr>
            </w:pPr>
            <w:r>
              <w:rPr>
                <w:lang w:val="de-DE"/>
              </w:rPr>
              <w:t>Prüfszenarien Einreiseregeln</w:t>
            </w:r>
          </w:p>
          <w:p>
            <w:pPr>
              <w:pStyle w:val="Liste3"/>
            </w:pPr>
            <w:r>
              <w:t>Aktiv, aber derzeit keine Regeln, zukünftige Regeln können eingefügt werden.</w:t>
            </w:r>
          </w:p>
          <w:p>
            <w:pPr>
              <w:pStyle w:val="Liste3"/>
            </w:pPr>
            <w:r>
              <w:t>Einreiseregeln für Virusvariantengebiete sind nicht implementiert, aber in Diskussion, sehr komplex und speziell</w:t>
            </w:r>
          </w:p>
          <w:p>
            <w:pPr>
              <w:pStyle w:val="Liste2"/>
              <w:rPr>
                <w:lang w:val="de-DE"/>
              </w:rPr>
            </w:pPr>
            <w:r>
              <w:rPr>
                <w:lang w:val="de-DE"/>
              </w:rPr>
              <w:t>Ausstehende Problemlösungen:</w:t>
            </w:r>
          </w:p>
          <w:p>
            <w:pPr>
              <w:pStyle w:val="Liste3"/>
            </w:pPr>
            <w:proofErr w:type="spellStart"/>
            <w:r>
              <w:t>Genesenenzertifikate</w:t>
            </w:r>
            <w:proofErr w:type="spellEnd"/>
            <w:r>
              <w:t xml:space="preserve"> für Infektionen, deren Nachweis länger als 180 Tage zurückliegt, können im Moment nicht ausgestellt werden.</w:t>
            </w:r>
          </w:p>
          <w:p>
            <w:pPr>
              <w:pStyle w:val="Liste3"/>
            </w:pPr>
            <w:r>
              <w:t>Diskrepanz zwischen IfSG und STIKO Empfehlungen</w:t>
            </w:r>
          </w:p>
          <w:p>
            <w:pPr>
              <w:pStyle w:val="Liste3"/>
            </w:pPr>
            <w:r>
              <w:t>Unklare Vorgaben an DCC Ausgebende zur Kodierung von Auffrischimpfungen</w:t>
            </w:r>
          </w:p>
          <w:p>
            <w:pPr>
              <w:pStyle w:val="Liste3"/>
            </w:pPr>
            <w:r>
              <w:t>Hintergrund: Zuständigkeit zahlreicher BMG-Referate ohne Koordination</w:t>
            </w:r>
          </w:p>
          <w:p>
            <w:pPr>
              <w:pStyle w:val="Liste3"/>
              <w:numPr>
                <w:ilvl w:val="0"/>
                <w:numId w:val="0"/>
              </w:numPr>
              <w:ind w:left="1193"/>
            </w:pPr>
          </w:p>
          <w:p>
            <w:pPr>
              <w:pStyle w:val="Liste2"/>
              <w:rPr>
                <w:lang w:val="de-DE"/>
              </w:rPr>
            </w:pPr>
            <w:r>
              <w:rPr>
                <w:lang w:val="de-DE"/>
              </w:rPr>
              <w:t>„</w:t>
            </w:r>
            <w:proofErr w:type="spellStart"/>
            <w:r>
              <w:rPr>
                <w:lang w:val="de-DE"/>
              </w:rPr>
              <w:t>Pandemic</w:t>
            </w:r>
            <w:proofErr w:type="spellEnd"/>
            <w:r>
              <w:rPr>
                <w:lang w:val="de-DE"/>
              </w:rPr>
              <w:t xml:space="preserve"> Key </w:t>
            </w:r>
            <w:proofErr w:type="spellStart"/>
            <w:r>
              <w:rPr>
                <w:lang w:val="de-DE"/>
              </w:rPr>
              <w:t>Indicators</w:t>
            </w:r>
            <w:proofErr w:type="spellEnd"/>
            <w:r>
              <w:rPr>
                <w:lang w:val="de-DE"/>
              </w:rPr>
              <w:t>“ ist keine gute Übersetzung, Begriff ist international anders besetzt.</w:t>
            </w:r>
          </w:p>
          <w:p>
            <w:pPr>
              <w:pStyle w:val="Liste3"/>
            </w:pPr>
            <w:r>
              <w:t>Das Wort „</w:t>
            </w:r>
            <w:proofErr w:type="spellStart"/>
            <w:r>
              <w:t>pandemic</w:t>
            </w:r>
            <w:proofErr w:type="spellEnd"/>
            <w:r>
              <w:t xml:space="preserve"> </w:t>
            </w:r>
            <w:proofErr w:type="spellStart"/>
            <w:r>
              <w:t>radar</w:t>
            </w:r>
            <w:proofErr w:type="spellEnd"/>
            <w:r>
              <w:t>“ hat Minister erfunden, sollte nicht geändert werden.</w:t>
            </w:r>
          </w:p>
          <w:p>
            <w:pPr>
              <w:pStyle w:val="Liste2"/>
              <w:rPr>
                <w:lang w:val="de-DE"/>
              </w:rPr>
            </w:pPr>
            <w:r>
              <w:rPr>
                <w:lang w:val="de-DE"/>
              </w:rPr>
              <w:t>Kontakte über Selbsttests zu informieren ist als Vorbereitung auf zukünftige Pandemien sicher sinnvoll, bei breiter Community Transmission nicht mehr. Zeitpunkt zu spät, zum jetzigen Zeitpunkt würde die App gar nicht mehr grün werden.</w:t>
            </w:r>
          </w:p>
          <w:p>
            <w:pPr>
              <w:pStyle w:val="Liste3"/>
            </w:pPr>
            <w:r>
              <w:t>Sensitiveres Detektieren wurde bereits vor einem ¾ Jahr vorgeschlagen. Minister ist stark an Produkt interessiert, finanzielle Ressourcen jedoch limitiert. Fachaufsichten haben eigene Vorstellungen.</w:t>
            </w:r>
          </w:p>
          <w:p>
            <w:pPr>
              <w:pStyle w:val="Liste3"/>
            </w:pPr>
            <w:r>
              <w:t xml:space="preserve">Integration von Selbsttest nötig, um CWA weiterhin als Werkzeug zur Pandemiebekämpfungen einsetzen zu können. Menschen verändern deshalb ihr Verhalten (im </w:t>
            </w:r>
            <w:proofErr w:type="spellStart"/>
            <w:r>
              <w:t>science</w:t>
            </w:r>
            <w:proofErr w:type="spellEnd"/>
            <w:r>
              <w:t xml:space="preserve"> </w:t>
            </w:r>
            <w:proofErr w:type="spellStart"/>
            <w:r>
              <w:t>blog</w:t>
            </w:r>
            <w:proofErr w:type="spellEnd"/>
            <w:r>
              <w:t xml:space="preserve"> nachzulesen) </w:t>
            </w:r>
          </w:p>
          <w:p>
            <w:pPr>
              <w:pStyle w:val="Liste2"/>
              <w:rPr>
                <w:lang w:val="de-DE"/>
              </w:rPr>
            </w:pPr>
            <w:r>
              <w:rPr>
                <w:lang w:val="de-DE"/>
              </w:rPr>
              <w:t>Die Diskussion ist wichtig, zeitlich in diesem Rahmen nicht möglich.</w:t>
            </w:r>
          </w:p>
          <w:p>
            <w:pPr>
              <w:pStyle w:val="Liste2"/>
              <w:numPr>
                <w:ilvl w:val="0"/>
                <w:numId w:val="0"/>
              </w:numPr>
              <w:ind w:left="360" w:hanging="360"/>
              <w:rPr>
                <w:i/>
                <w:lang w:val="de-DE"/>
              </w:rPr>
            </w:pPr>
            <w:proofErr w:type="spellStart"/>
            <w:r>
              <w:rPr>
                <w:i/>
                <w:lang w:val="de-DE"/>
              </w:rPr>
              <w:t>ToDo</w:t>
            </w:r>
            <w:proofErr w:type="spellEnd"/>
            <w:r>
              <w:rPr>
                <w:i/>
                <w:lang w:val="de-DE"/>
              </w:rPr>
              <w:t>: Einladung zu extra Termin zur Diskussion der offenen Punkte</w:t>
            </w:r>
          </w:p>
          <w:p>
            <w:pPr>
              <w:pStyle w:val="Liste2"/>
              <w:rPr>
                <w:lang w:val="de-DE"/>
              </w:rPr>
            </w:pPr>
            <w:r>
              <w:rPr>
                <w:lang w:val="de-DE"/>
              </w:rPr>
              <w:t xml:space="preserve">Angegebene Eckdaten zur Missbrauchsbeschränkung sinnvoll. </w:t>
            </w:r>
          </w:p>
        </w:tc>
        <w:tc>
          <w:tcPr>
            <w:tcW w:w="1463" w:type="dxa"/>
          </w:tcPr>
          <w:p>
            <w:pPr>
              <w:rPr>
                <w:sz w:val="22"/>
                <w:szCs w:val="22"/>
              </w:rPr>
            </w:pPr>
          </w:p>
          <w:p>
            <w:pPr>
              <w:rPr>
                <w:sz w:val="22"/>
                <w:szCs w:val="22"/>
              </w:rPr>
            </w:pPr>
            <w:r>
              <w:rPr>
                <w:sz w:val="22"/>
                <w:szCs w:val="22"/>
              </w:rPr>
              <w:t>FG21</w:t>
            </w:r>
          </w:p>
          <w:p>
            <w:pPr>
              <w:rPr>
                <w:sz w:val="22"/>
                <w:szCs w:val="22"/>
              </w:rPr>
            </w:pPr>
            <w:r>
              <w:rPr>
                <w:sz w:val="22"/>
                <w:szCs w:val="22"/>
              </w:rPr>
              <w:t>(Benzler)</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i/>
                <w:sz w:val="22"/>
                <w:szCs w:val="22"/>
              </w:rPr>
            </w:pPr>
            <w:r>
              <w:rPr>
                <w:i/>
                <w:sz w:val="22"/>
                <w:szCs w:val="22"/>
              </w:rPr>
              <w:t>Haas</w:t>
            </w:r>
          </w:p>
          <w:p>
            <w:pPr>
              <w:rPr>
                <w:sz w:val="22"/>
                <w:szCs w:val="22"/>
              </w:rPr>
            </w:pPr>
          </w:p>
          <w:p>
            <w:pPr>
              <w:rPr>
                <w:sz w:val="22"/>
                <w:szCs w:val="22"/>
              </w:rPr>
            </w:pPr>
          </w:p>
          <w:p>
            <w:pPr>
              <w:rPr>
                <w:sz w:val="22"/>
                <w:szCs w:val="22"/>
              </w:rPr>
            </w:pPr>
          </w:p>
          <w:p>
            <w:pPr>
              <w:rPr>
                <w:sz w:val="22"/>
                <w:szCs w:val="22"/>
              </w:rPr>
            </w:pPr>
          </w:p>
          <w:p>
            <w:pPr>
              <w:rPr>
                <w:i/>
                <w:sz w:val="22"/>
                <w:szCs w:val="22"/>
              </w:rPr>
            </w:pPr>
            <w:r>
              <w:rPr>
                <w:i/>
                <w:sz w:val="22"/>
                <w:szCs w:val="22"/>
              </w:rPr>
              <w:t>Schmich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i/>
                <w:sz w:val="22"/>
                <w:szCs w:val="22"/>
              </w:rPr>
            </w:pPr>
            <w:r>
              <w:rPr>
                <w:i/>
                <w:sz w:val="22"/>
                <w:szCs w:val="22"/>
              </w:rPr>
              <w:t>Mielke</w:t>
            </w:r>
          </w:p>
          <w:p>
            <w:pPr>
              <w:rPr>
                <w:sz w:val="22"/>
                <w:szCs w:val="22"/>
              </w:rPr>
            </w:pPr>
          </w:p>
          <w:p>
            <w:pPr>
              <w:rPr>
                <w:sz w:val="22"/>
                <w:szCs w:val="22"/>
              </w:rPr>
            </w:pPr>
          </w:p>
        </w:tc>
      </w:tr>
      <w:tr>
        <w:tc>
          <w:tcPr>
            <w:tcW w:w="684" w:type="dxa"/>
          </w:tcPr>
          <w:p>
            <w:pPr>
              <w:rPr>
                <w:b/>
              </w:rPr>
            </w:pPr>
            <w:r>
              <w:rPr>
                <w:b/>
              </w:rPr>
              <w:lastRenderedPageBreak/>
              <w:t>6</w:t>
            </w:r>
          </w:p>
        </w:tc>
        <w:tc>
          <w:tcPr>
            <w:tcW w:w="6824" w:type="dxa"/>
          </w:tcPr>
          <w:p>
            <w:pPr>
              <w:spacing w:line="276" w:lineRule="auto"/>
              <w:rPr>
                <w:rStyle w:val="TagFrZchn"/>
              </w:rPr>
            </w:pPr>
            <w:r>
              <w:rPr>
                <w:rStyle w:val="1Zchn"/>
              </w:rPr>
              <w:t>Daten aus der Gesundheitsberichterstattung</w:t>
            </w:r>
            <w:r>
              <w:rPr>
                <w:b/>
                <w:color w:val="FF0000"/>
              </w:rPr>
              <w:t xml:space="preserve"> </w:t>
            </w:r>
          </w:p>
          <w:p>
            <w:pPr>
              <w:pStyle w:val="Liste1"/>
              <w:rPr>
                <w:b/>
              </w:rPr>
            </w:pPr>
            <w:r>
              <w:t>Ergebnisse aus der Mental Health Surveillance (</w:t>
            </w:r>
            <w:hyperlink r:id="rId18" w:history="1">
              <w:r>
                <w:rPr>
                  <w:rStyle w:val="Hyperlink"/>
                </w:rPr>
                <w:t>hier</w:t>
              </w:r>
            </w:hyperlink>
            <w:r>
              <w:t>)</w:t>
            </w:r>
          </w:p>
          <w:p>
            <w:pPr>
              <w:pStyle w:val="Liste2"/>
              <w:rPr>
                <w:lang w:val="de-DE"/>
              </w:rPr>
            </w:pPr>
            <w:r>
              <w:rPr>
                <w:lang w:val="de-DE"/>
              </w:rPr>
              <w:t xml:space="preserve">Literaturreview zur Entwicklung der psychischen Gesundheit der erwachsenen Bevölkerung während der COVID-19-Pandemie </w:t>
            </w:r>
          </w:p>
          <w:p>
            <w:pPr>
              <w:pStyle w:val="Liste2"/>
              <w:rPr>
                <w:lang w:val="de-DE"/>
              </w:rPr>
            </w:pPr>
            <w:r>
              <w:rPr>
                <w:lang w:val="de-DE"/>
              </w:rPr>
              <w:t xml:space="preserve">Hintergrund: Auswertung GEDA-Daten (Erhebung und Auswertung von Daten) und Anfang 2021 Literaturreview. </w:t>
            </w:r>
            <w:r>
              <w:rPr>
                <w:lang w:val="de-DE"/>
              </w:rPr>
              <w:lastRenderedPageBreak/>
              <w:t>BMG wurde umfassender Bericht vorgelegt, auch zu Kindern und Jugendlichen.</w:t>
            </w:r>
          </w:p>
          <w:p>
            <w:pPr>
              <w:pStyle w:val="Liste3"/>
            </w:pPr>
            <w:r>
              <w:t xml:space="preserve">Fokus </w:t>
            </w:r>
            <w:r>
              <w:rPr>
                <w:rStyle w:val="Liste3Zchn"/>
              </w:rPr>
              <w:t>war Einschätzung der Verlässlichkeit der eingeschlossenen Studien: wie aussagekräftig wird in Deutschland</w:t>
            </w:r>
            <w:r>
              <w:t xml:space="preserve"> zur psychischen Gesundheit geforscht.</w:t>
            </w:r>
          </w:p>
          <w:p>
            <w:pPr>
              <w:pStyle w:val="Liste3"/>
            </w:pPr>
            <w:r>
              <w:t>Kategorie I: Primärdaten zur psychischen Gesundheit</w:t>
            </w:r>
          </w:p>
          <w:p>
            <w:pPr>
              <w:pStyle w:val="Liste3"/>
            </w:pPr>
            <w:r>
              <w:t>Kategorie II: Routinedaten und versorgungsbezogene Primärdaten</w:t>
            </w:r>
          </w:p>
          <w:p>
            <w:pPr>
              <w:pStyle w:val="Liste3"/>
            </w:pPr>
            <w:r>
              <w:t>-&gt; Kontinuierliches Literaturreview</w:t>
            </w:r>
          </w:p>
          <w:p>
            <w:pPr>
              <w:pStyle w:val="Liste2"/>
              <w:rPr>
                <w:lang w:val="de-DE"/>
              </w:rPr>
            </w:pPr>
            <w:r>
              <w:rPr>
                <w:lang w:val="de-DE"/>
              </w:rPr>
              <w:t>Beobachtungszeiträume von allen Studien</w:t>
            </w:r>
          </w:p>
          <w:p>
            <w:pPr>
              <w:pStyle w:val="Liste3"/>
            </w:pPr>
            <w:r>
              <w:t>Vor allem zu Beginn der Pandemie viel Forschung</w:t>
            </w:r>
          </w:p>
          <w:p>
            <w:pPr>
              <w:pStyle w:val="Liste2"/>
              <w:rPr>
                <w:lang w:val="de-DE"/>
              </w:rPr>
            </w:pPr>
            <w:r>
              <w:rPr>
                <w:lang w:val="de-DE"/>
              </w:rPr>
              <w:t xml:space="preserve">Inhaltliches Spektrum der </w:t>
            </w:r>
            <w:proofErr w:type="spellStart"/>
            <w:r>
              <w:t>Studien</w:t>
            </w:r>
            <w:proofErr w:type="spellEnd"/>
            <w:r>
              <w:rPr>
                <w:lang w:val="de-DE"/>
              </w:rPr>
              <w:t xml:space="preserve"> </w:t>
            </w:r>
          </w:p>
          <w:p>
            <w:pPr>
              <w:pStyle w:val="Liste3"/>
            </w:pPr>
            <w:r>
              <w:t>Indikatoren umfassen verschiedene Outcomes</w:t>
            </w:r>
          </w:p>
          <w:p>
            <w:pPr>
              <w:pStyle w:val="Liste3"/>
            </w:pPr>
            <w:r>
              <w:t>Vor allem Ergebnisse zum Versorgungsgeschehen und Mortalität (46%), außerdem zur aktuellen Symptomatik einer psychischen Störung (29%), zur positiven psychischen Gesundheit (13%) und zur psychischen Belastung (12%)</w:t>
            </w:r>
          </w:p>
          <w:p>
            <w:pPr>
              <w:pStyle w:val="Liste2"/>
              <w:rPr>
                <w:lang w:val="de-DE"/>
              </w:rPr>
            </w:pPr>
            <w:r>
              <w:rPr>
                <w:lang w:val="de-DE"/>
              </w:rPr>
              <w:t>Synthese “Aktuelle Symptomatik einer psychischen Störung“ - Vergleiche zu präpandemischen Vergleichswerten</w:t>
            </w:r>
          </w:p>
          <w:p>
            <w:pPr>
              <w:pStyle w:val="Liste3"/>
            </w:pPr>
            <w:r>
              <w:t>Auffallend: vor allen für frühe Pandemiezeiträumen werden Ergebnisse berichtet.</w:t>
            </w:r>
          </w:p>
          <w:p>
            <w:pPr>
              <w:pStyle w:val="Liste2"/>
              <w:rPr>
                <w:lang w:val="de-DE"/>
              </w:rPr>
            </w:pPr>
            <w:r>
              <w:rPr>
                <w:lang w:val="de-DE"/>
              </w:rPr>
              <w:t>Vergleich der GEDA-Auswertung mit Literaturreview</w:t>
            </w:r>
          </w:p>
          <w:p>
            <w:pPr>
              <w:pStyle w:val="Liste3"/>
            </w:pPr>
            <w:r>
              <w:t xml:space="preserve">Kein Anstieg in 1.Welle, in Plateauphase 2020 gleichbleibend oder rückläufig, Anstieg von akuter Symptomatik im Herbst 2020, dann uneindeutig, Anstieg in anderen Studien nur bis Mitte 2021. </w:t>
            </w:r>
          </w:p>
          <w:p>
            <w:pPr>
              <w:pStyle w:val="Liste2"/>
              <w:rPr>
                <w:lang w:val="de-DE"/>
              </w:rPr>
            </w:pPr>
            <w:r>
              <w:rPr>
                <w:lang w:val="de-DE"/>
              </w:rPr>
              <w:t>Zu neueren Messzeitpunkten wird es bald ein Update im Krisenstab geben.</w:t>
            </w:r>
          </w:p>
          <w:p>
            <w:pPr>
              <w:pStyle w:val="Liste2"/>
              <w:rPr>
                <w:lang w:val="de-DE"/>
              </w:rPr>
            </w:pPr>
            <w:r>
              <w:rPr>
                <w:lang w:val="de-DE"/>
              </w:rPr>
              <w:t>Fazit</w:t>
            </w:r>
          </w:p>
          <w:p>
            <w:pPr>
              <w:pStyle w:val="Liste3"/>
            </w:pPr>
            <w:r>
              <w:t>Daten zu psychischer Gesundheit decken Pandemie</w:t>
            </w:r>
            <w:r>
              <w:softHyphen/>
              <w:t>verlauf nicht umfassend ab.</w:t>
            </w:r>
          </w:p>
          <w:p>
            <w:pPr>
              <w:pStyle w:val="Liste3"/>
            </w:pPr>
            <w:r>
              <w:t>Aussagekräftige Studien bzw. Publikationen über Entwicklungen in der Bevölkerung sind selten.</w:t>
            </w:r>
          </w:p>
          <w:p>
            <w:pPr>
              <w:pStyle w:val="Liste3"/>
            </w:pPr>
            <w:r>
              <w:t>Aktualität veröffentlichter Ergebnisse ist gering.</w:t>
            </w:r>
          </w:p>
          <w:p>
            <w:pPr>
              <w:pStyle w:val="Liste2"/>
              <w:rPr>
                <w:lang w:val="de-DE"/>
              </w:rPr>
            </w:pPr>
            <w:r>
              <w:rPr>
                <w:lang w:val="de-DE"/>
              </w:rPr>
              <w:t>Projektförderung bis Mitte nächsten Jahres, monatliche Berichte ans BMG, 2023 soll Projekt mit Publikation abgeschlossen werden.</w:t>
            </w:r>
          </w:p>
          <w:p>
            <w:pPr>
              <w:pStyle w:val="Liste2"/>
              <w:rPr>
                <w:lang w:val="de-DE"/>
              </w:rPr>
            </w:pPr>
            <w:r>
              <w:rPr>
                <w:lang w:val="de-DE"/>
              </w:rPr>
              <w:t>Weitere Förderung ab Mitte 2023 unklar</w:t>
            </w:r>
          </w:p>
          <w:p>
            <w:pPr>
              <w:pStyle w:val="Liste2"/>
              <w:numPr>
                <w:ilvl w:val="0"/>
                <w:numId w:val="0"/>
              </w:numPr>
              <w:ind w:left="833"/>
              <w:rPr>
                <w:lang w:val="de-DE"/>
              </w:rPr>
            </w:pPr>
          </w:p>
          <w:p>
            <w:pPr>
              <w:pStyle w:val="Liste1"/>
            </w:pPr>
            <w:r>
              <w:t>Erste Ergebnisse der Follow-</w:t>
            </w:r>
            <w:proofErr w:type="spellStart"/>
            <w:r>
              <w:t>up</w:t>
            </w:r>
            <w:proofErr w:type="spellEnd"/>
            <w:r>
              <w:t xml:space="preserve">-Befragungen in den Corona-Monitoring Studien (Long COVID in </w:t>
            </w:r>
            <w:proofErr w:type="spellStart"/>
            <w:r>
              <w:t>CoMoBu</w:t>
            </w:r>
            <w:proofErr w:type="spellEnd"/>
            <w:r>
              <w:t>-II)</w:t>
            </w:r>
          </w:p>
          <w:p>
            <w:pPr>
              <w:pStyle w:val="Liste2"/>
              <w:rPr>
                <w:lang w:val="de-DE"/>
              </w:rPr>
            </w:pPr>
            <w:r>
              <w:rPr>
                <w:lang w:val="de-DE"/>
              </w:rPr>
              <w:t>Wurde auf Lage-AG-Sitzung am 26.10. verschoben</w:t>
            </w:r>
          </w:p>
        </w:tc>
        <w:tc>
          <w:tcPr>
            <w:tcW w:w="1463" w:type="dxa"/>
          </w:tcPr>
          <w:p>
            <w:pPr>
              <w:rPr>
                <w:sz w:val="22"/>
                <w:szCs w:val="22"/>
              </w:rPr>
            </w:pPr>
          </w:p>
          <w:p>
            <w:pPr>
              <w:rPr>
                <w:sz w:val="22"/>
                <w:szCs w:val="22"/>
              </w:rPr>
            </w:pPr>
            <w:r>
              <w:rPr>
                <w:sz w:val="22"/>
                <w:szCs w:val="22"/>
              </w:rPr>
              <w:t>FG26</w:t>
            </w:r>
          </w:p>
          <w:p>
            <w:pPr>
              <w:rPr>
                <w:sz w:val="22"/>
                <w:szCs w:val="22"/>
              </w:rPr>
            </w:pPr>
            <w:r>
              <w:rPr>
                <w:sz w:val="22"/>
                <w:szCs w:val="22"/>
              </w:rPr>
              <w:t>(</w:t>
            </w:r>
            <w:r>
              <w:rPr>
                <w:i/>
                <w:sz w:val="22"/>
                <w:szCs w:val="22"/>
              </w:rPr>
              <w:t>Eicher</w:t>
            </w:r>
            <w:r>
              <w:rPr>
                <w:sz w:val="22"/>
                <w:szCs w:val="22"/>
              </w:rPr>
              <w:t>)</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FG25</w:t>
            </w:r>
          </w:p>
          <w:p>
            <w:pPr>
              <w:rPr>
                <w:sz w:val="22"/>
                <w:szCs w:val="22"/>
              </w:rPr>
            </w:pPr>
            <w:r>
              <w:rPr>
                <w:sz w:val="22"/>
                <w:szCs w:val="22"/>
              </w:rPr>
              <w:t>(</w:t>
            </w:r>
            <w:proofErr w:type="spellStart"/>
            <w:r>
              <w:rPr>
                <w:i/>
                <w:sz w:val="22"/>
                <w:szCs w:val="22"/>
              </w:rPr>
              <w:t>Poethko</w:t>
            </w:r>
            <w:proofErr w:type="spellEnd"/>
            <w:r>
              <w:rPr>
                <w:i/>
                <w:sz w:val="22"/>
                <w:szCs w:val="22"/>
              </w:rPr>
              <w:t>-Mueller</w:t>
            </w:r>
            <w:r>
              <w:rPr>
                <w:sz w:val="22"/>
                <w:szCs w:val="22"/>
              </w:rPr>
              <w:t xml:space="preserve">) </w:t>
            </w:r>
          </w:p>
          <w:p>
            <w:pPr>
              <w:rPr>
                <w:sz w:val="22"/>
                <w:szCs w:val="22"/>
              </w:rPr>
            </w:pPr>
          </w:p>
        </w:tc>
      </w:tr>
      <w:tr>
        <w:tc>
          <w:tcPr>
            <w:tcW w:w="684" w:type="dxa"/>
          </w:tcPr>
          <w:p>
            <w:pPr>
              <w:rPr>
                <w:b/>
              </w:rPr>
            </w:pPr>
            <w:r>
              <w:rPr>
                <w:b/>
              </w:rPr>
              <w:lastRenderedPageBreak/>
              <w:t>7</w:t>
            </w:r>
          </w:p>
        </w:tc>
        <w:tc>
          <w:tcPr>
            <w:tcW w:w="6824" w:type="dxa"/>
          </w:tcPr>
          <w:p>
            <w:pPr>
              <w:pStyle w:val="1"/>
            </w:pPr>
            <w:r>
              <w:t>Aktuelle Risikobewertung</w:t>
            </w:r>
          </w:p>
          <w:p>
            <w:pPr>
              <w:pStyle w:val="Liste1"/>
            </w:pPr>
            <w:r>
              <w:t xml:space="preserve">Diskussion der Änderungsvorschläge zur Risikobewertung </w:t>
            </w:r>
          </w:p>
          <w:p>
            <w:pPr>
              <w:pStyle w:val="Liste2"/>
              <w:rPr>
                <w:lang w:val="de-DE"/>
              </w:rPr>
            </w:pPr>
            <w:r>
              <w:rPr>
                <w:lang w:val="de-DE"/>
              </w:rPr>
              <w:t>kein Anpassungsbedarf</w:t>
            </w:r>
          </w:p>
          <w:p>
            <w:pPr>
              <w:pStyle w:val="Liste2"/>
              <w:rPr>
                <w:lang w:val="de-DE"/>
              </w:rPr>
            </w:pPr>
            <w:r>
              <w:rPr>
                <w:lang w:val="de-DE"/>
              </w:rPr>
              <w:t>Belastung Gesundheitswesen sollte im weiteren Verlauf evtl. angepasst werden.</w:t>
            </w: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8</w:t>
            </w:r>
          </w:p>
        </w:tc>
        <w:tc>
          <w:tcPr>
            <w:tcW w:w="6824" w:type="dxa"/>
          </w:tcPr>
          <w:p>
            <w:pPr>
              <w:pStyle w:val="1"/>
              <w:spacing w:after="0"/>
            </w:pPr>
            <w:r>
              <w:t xml:space="preserve">Expertenbeirat </w:t>
            </w:r>
            <w:r>
              <w:rPr>
                <w:i/>
                <w:color w:val="95B3D7" w:themeColor="accent1" w:themeTint="99"/>
                <w:sz w:val="20"/>
              </w:rPr>
              <w:t>(montags Vor-, mittwochs Nachbereitung)</w:t>
            </w:r>
          </w:p>
          <w:p>
            <w:pPr>
              <w:pStyle w:val="Liste1"/>
            </w:pPr>
            <w:r>
              <w:t xml:space="preserve">  (nicht berichtet)</w:t>
            </w:r>
          </w:p>
        </w:tc>
        <w:tc>
          <w:tcPr>
            <w:tcW w:w="1463" w:type="dxa"/>
          </w:tcPr>
          <w:p>
            <w:pPr>
              <w:rPr>
                <w:sz w:val="22"/>
                <w:szCs w:val="22"/>
              </w:rPr>
            </w:pPr>
          </w:p>
          <w:p>
            <w:pPr>
              <w:rPr>
                <w:sz w:val="22"/>
                <w:szCs w:val="22"/>
              </w:rPr>
            </w:pPr>
          </w:p>
        </w:tc>
      </w:tr>
      <w:tr>
        <w:trPr>
          <w:trHeight w:val="518"/>
        </w:trPr>
        <w:tc>
          <w:tcPr>
            <w:tcW w:w="684" w:type="dxa"/>
          </w:tcPr>
          <w:p>
            <w:pPr>
              <w:rPr>
                <w:b/>
              </w:rPr>
            </w:pPr>
            <w:r>
              <w:rPr>
                <w:b/>
              </w:rPr>
              <w:lastRenderedPageBreak/>
              <w:t>9</w:t>
            </w:r>
          </w:p>
        </w:tc>
        <w:tc>
          <w:tcPr>
            <w:tcW w:w="6824" w:type="dxa"/>
          </w:tcPr>
          <w:p>
            <w:pPr>
              <w:pStyle w:val="1"/>
            </w:pPr>
            <w:r>
              <w:t>Kommunikation</w:t>
            </w:r>
          </w:p>
          <w:p>
            <w:pPr>
              <w:pStyle w:val="2"/>
              <w:spacing w:after="0"/>
            </w:pPr>
            <w:r>
              <w:t>BZgA</w:t>
            </w:r>
          </w:p>
          <w:p>
            <w:pPr>
              <w:pStyle w:val="Liste1"/>
            </w:pPr>
            <w:r>
              <w:t>Gemeinsame Grippekampagne mit RKI startet demnächst</w:t>
            </w:r>
          </w:p>
          <w:p>
            <w:pPr>
              <w:pStyle w:val="Liste1"/>
            </w:pPr>
            <w:r>
              <w:t>Am 20. Oktober Pressemitteilung hierzu</w:t>
            </w:r>
          </w:p>
          <w:p>
            <w:pPr>
              <w:pStyle w:val="2"/>
              <w:spacing w:after="0"/>
            </w:pPr>
            <w:r>
              <w:t>Presse</w:t>
            </w:r>
          </w:p>
          <w:p>
            <w:pPr>
              <w:pStyle w:val="Liste1"/>
            </w:pPr>
            <w:r>
              <w:t>(nicht berichtet)</w:t>
            </w:r>
          </w:p>
          <w:p>
            <w:pPr>
              <w:pStyle w:val="2"/>
              <w:spacing w:after="0"/>
            </w:pPr>
            <w:r>
              <w:t>P1</w:t>
            </w:r>
          </w:p>
          <w:p>
            <w:pPr>
              <w:pStyle w:val="Liste1"/>
              <w:ind w:left="470" w:hanging="357"/>
              <w:rPr>
                <w:i/>
              </w:rPr>
            </w:pPr>
            <w:r>
              <w:t>(nicht berichtet)</w:t>
            </w:r>
            <w:r>
              <w:br/>
            </w:r>
          </w:p>
        </w:tc>
        <w:tc>
          <w:tcPr>
            <w:tcW w:w="1463" w:type="dxa"/>
          </w:tcPr>
          <w:p>
            <w:pPr>
              <w:rPr>
                <w:sz w:val="22"/>
                <w:szCs w:val="22"/>
              </w:rPr>
            </w:pPr>
          </w:p>
          <w:p>
            <w:pPr>
              <w:rPr>
                <w:sz w:val="22"/>
                <w:szCs w:val="22"/>
              </w:rPr>
            </w:pPr>
          </w:p>
          <w:p>
            <w:pPr>
              <w:rPr>
                <w:sz w:val="22"/>
                <w:szCs w:val="22"/>
              </w:rPr>
            </w:pPr>
            <w:r>
              <w:rPr>
                <w:sz w:val="22"/>
                <w:szCs w:val="22"/>
              </w:rPr>
              <w:t xml:space="preserve">BZgA </w:t>
            </w:r>
          </w:p>
          <w:p>
            <w:pPr>
              <w:rPr>
                <w:sz w:val="22"/>
                <w:szCs w:val="22"/>
              </w:rPr>
            </w:pPr>
            <w:r>
              <w:rPr>
                <w:sz w:val="22"/>
                <w:szCs w:val="22"/>
              </w:rPr>
              <w:t>(Ommen)</w:t>
            </w:r>
            <w:r>
              <w:rPr>
                <w:sz w:val="22"/>
                <w:szCs w:val="22"/>
              </w:rPr>
              <w:br/>
            </w:r>
          </w:p>
          <w:p>
            <w:pPr>
              <w:rPr>
                <w:sz w:val="22"/>
                <w:szCs w:val="22"/>
              </w:rPr>
            </w:pPr>
          </w:p>
          <w:p>
            <w:pPr>
              <w:rPr>
                <w:sz w:val="22"/>
                <w:szCs w:val="22"/>
              </w:rPr>
            </w:pPr>
            <w:r>
              <w:rPr>
                <w:sz w:val="22"/>
                <w:szCs w:val="22"/>
              </w:rPr>
              <w:t>Presse</w:t>
            </w:r>
            <w:r>
              <w:rPr>
                <w:sz w:val="22"/>
                <w:szCs w:val="22"/>
              </w:rPr>
              <w:br/>
            </w:r>
          </w:p>
          <w:p>
            <w:pPr>
              <w:rPr>
                <w:sz w:val="22"/>
                <w:szCs w:val="22"/>
              </w:rPr>
            </w:pPr>
          </w:p>
          <w:p>
            <w:pPr>
              <w:rPr>
                <w:sz w:val="22"/>
                <w:szCs w:val="22"/>
              </w:rPr>
            </w:pPr>
            <w:r>
              <w:rPr>
                <w:sz w:val="22"/>
                <w:szCs w:val="22"/>
              </w:rPr>
              <w:t>P1</w:t>
            </w:r>
            <w:r>
              <w:rPr>
                <w:sz w:val="22"/>
                <w:szCs w:val="22"/>
              </w:rPr>
              <w:br/>
            </w:r>
          </w:p>
        </w:tc>
      </w:tr>
      <w:tr>
        <w:tc>
          <w:tcPr>
            <w:tcW w:w="684" w:type="dxa"/>
          </w:tcPr>
          <w:p>
            <w:pPr>
              <w:rPr>
                <w:b/>
              </w:rPr>
            </w:pPr>
            <w:r>
              <w:rPr>
                <w:b/>
              </w:rPr>
              <w:t>10</w:t>
            </w:r>
          </w:p>
        </w:tc>
        <w:tc>
          <w:tcPr>
            <w:tcW w:w="6824" w:type="dxa"/>
          </w:tcPr>
          <w:p>
            <w:pPr>
              <w:pStyle w:val="1"/>
            </w:pPr>
            <w:r>
              <w:t>RKI-Strategie Fragen</w:t>
            </w:r>
          </w:p>
          <w:p>
            <w:pPr>
              <w:pStyle w:val="2"/>
              <w:spacing w:after="0"/>
            </w:pPr>
            <w:r>
              <w:t>Allgemein</w:t>
            </w:r>
          </w:p>
          <w:p>
            <w:pPr>
              <w:pStyle w:val="Liste1"/>
            </w:pPr>
            <w:r>
              <w:t>(nicht berichtet)</w:t>
            </w:r>
          </w:p>
          <w:p>
            <w:pPr>
              <w:pStyle w:val="2"/>
              <w:spacing w:after="0"/>
              <w:rPr>
                <w:i/>
              </w:rPr>
            </w:pPr>
            <w:r>
              <w:t>RKI-intern</w:t>
            </w:r>
          </w:p>
          <w:p>
            <w:pPr>
              <w:pStyle w:val="Liste1"/>
            </w:pPr>
            <w:r>
              <w:t>(nicht berichtet)</w:t>
            </w: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lang w:val="en-GB"/>
              </w:rPr>
            </w:pPr>
            <w:r>
              <w:rPr>
                <w:sz w:val="22"/>
                <w:szCs w:val="22"/>
                <w:lang w:val="en-GB"/>
              </w:rPr>
              <w:t>Abt. 3</w:t>
            </w:r>
            <w:r>
              <w:rPr>
                <w:sz w:val="22"/>
                <w:szCs w:val="22"/>
                <w:lang w:val="en-GB"/>
              </w:rPr>
              <w:br/>
            </w:r>
          </w:p>
          <w:p>
            <w:pPr>
              <w:rPr>
                <w:sz w:val="22"/>
                <w:szCs w:val="22"/>
                <w:lang w:val="en-GB"/>
              </w:rPr>
            </w:pPr>
          </w:p>
        </w:tc>
      </w:tr>
      <w:tr>
        <w:tc>
          <w:tcPr>
            <w:tcW w:w="684" w:type="dxa"/>
          </w:tcPr>
          <w:p>
            <w:pPr>
              <w:rPr>
                <w:b/>
              </w:rPr>
            </w:pPr>
            <w:r>
              <w:rPr>
                <w:b/>
              </w:rPr>
              <w:t>11</w:t>
            </w:r>
          </w:p>
        </w:tc>
        <w:tc>
          <w:tcPr>
            <w:tcW w:w="6824" w:type="dxa"/>
          </w:tcPr>
          <w:p>
            <w:pPr>
              <w:spacing w:line="276" w:lineRule="auto"/>
              <w:rPr>
                <w:b/>
                <w:sz w:val="28"/>
              </w:rPr>
            </w:pPr>
            <w:r>
              <w:rPr>
                <w:b/>
                <w:sz w:val="28"/>
              </w:rPr>
              <w:t>Dokumente</w:t>
            </w:r>
          </w:p>
          <w:p>
            <w:pPr>
              <w:pStyle w:val="Liste1"/>
            </w:pPr>
            <w:r>
              <w:t>Stand der Dokumente für Einrichtungen im Gesundheitswesen und Alten- und Pflegeeinrichtungen</w:t>
            </w:r>
          </w:p>
          <w:p>
            <w:pPr>
              <w:pStyle w:val="Liste2"/>
              <w:rPr>
                <w:lang w:val="de-DE"/>
              </w:rPr>
            </w:pPr>
            <w:r>
              <w:rPr>
                <w:lang w:val="de-DE"/>
              </w:rPr>
              <w:t>Im Zuge der IfSG-Änderungen sollten Dokumente rechtzeitig angepasst werden. Wird noch zurückgehalten.</w:t>
            </w:r>
          </w:p>
          <w:p>
            <w:pPr>
              <w:pStyle w:val="Liste2"/>
              <w:rPr>
                <w:lang w:val="de-DE"/>
              </w:rPr>
            </w:pPr>
            <w:r>
              <w:rPr>
                <w:lang w:val="de-DE"/>
              </w:rPr>
              <w:t>Gesetzlicher Standard ist, dass FFP-2 Masken auch von Betreuten getragen werden sollen. Noch gibt es Auslegungsdifferenzen und Interpretationsspielraum.</w:t>
            </w:r>
          </w:p>
          <w:p>
            <w:pPr>
              <w:pStyle w:val="Liste2"/>
              <w:rPr>
                <w:lang w:val="de-DE"/>
              </w:rPr>
            </w:pPr>
            <w:r>
              <w:rPr>
                <w:lang w:val="de-DE"/>
              </w:rPr>
              <w:t>Vom BMG wurde Handreichung für Ländern, wie mit Maskenpflicht umgegangen werden soll, versprochen. Wartet noch auf Freigabe, Unmut in Ländern.</w:t>
            </w:r>
          </w:p>
          <w:p>
            <w:pPr>
              <w:pStyle w:val="Liste2"/>
              <w:rPr>
                <w:lang w:val="de-DE"/>
              </w:rPr>
            </w:pPr>
            <w:r>
              <w:rPr>
                <w:lang w:val="de-DE"/>
              </w:rPr>
              <w:t xml:space="preserve">Auch das Dokument zum </w:t>
            </w:r>
            <w:proofErr w:type="spellStart"/>
            <w:r>
              <w:rPr>
                <w:lang w:val="de-DE"/>
              </w:rPr>
              <w:t>Entlassmanagement</w:t>
            </w:r>
            <w:proofErr w:type="spellEnd"/>
            <w:r>
              <w:rPr>
                <w:lang w:val="de-DE"/>
              </w:rPr>
              <w:t xml:space="preserve"> wurde in Frage gestellt. Es gibt keine Anzeichen, dass Impfungen an Ausscheidungen etwas ändern. Keine Evidenz für Änderungen.</w:t>
            </w:r>
          </w:p>
          <w:p>
            <w:pPr>
              <w:pStyle w:val="Liste2"/>
              <w:rPr>
                <w:lang w:val="de-DE"/>
              </w:rPr>
            </w:pPr>
            <w:r>
              <w:rPr>
                <w:lang w:val="de-DE"/>
              </w:rPr>
              <w:t>Weitere Dokumente werden überarbeitet, §28b IfSG ist schwierig einzuarbeiten.</w:t>
            </w:r>
          </w:p>
          <w:p>
            <w:pPr>
              <w:pStyle w:val="Liste2"/>
              <w:rPr>
                <w:lang w:val="de-DE"/>
              </w:rPr>
            </w:pPr>
            <w:r>
              <w:rPr>
                <w:lang w:val="de-DE"/>
              </w:rPr>
              <w:t xml:space="preserve">Bewertung ist aus fachlicher Sicht immer noch richtig. </w:t>
            </w:r>
          </w:p>
          <w:p>
            <w:pPr>
              <w:pStyle w:val="Liste2"/>
              <w:rPr>
                <w:lang w:val="de-DE"/>
              </w:rPr>
            </w:pPr>
            <w:r>
              <w:rPr>
                <w:lang w:val="de-DE"/>
              </w:rPr>
              <w:t xml:space="preserve">Die fachlichen Empfehlungen werden beibehalten, solange es keine anderslautende Anweisung vom BMG gibt. </w:t>
            </w:r>
          </w:p>
          <w:p>
            <w:pPr>
              <w:pStyle w:val="Liste2"/>
              <w:rPr>
                <w:lang w:val="de-DE"/>
              </w:rPr>
            </w:pPr>
            <w:r>
              <w:rPr>
                <w:lang w:val="de-DE"/>
              </w:rPr>
              <w:t>Dokumente werden im Moment so belassen, auch noch keine Sprachregelung im BMG.</w:t>
            </w:r>
          </w:p>
          <w:p>
            <w:pPr>
              <w:pStyle w:val="Liste2"/>
              <w:numPr>
                <w:ilvl w:val="0"/>
                <w:numId w:val="0"/>
              </w:numPr>
              <w:ind w:left="473"/>
              <w:rPr>
                <w:lang w:val="de-DE"/>
              </w:rPr>
            </w:pPr>
          </w:p>
        </w:tc>
        <w:tc>
          <w:tcPr>
            <w:tcW w:w="1463" w:type="dxa"/>
          </w:tcPr>
          <w:p>
            <w:pPr>
              <w:rPr>
                <w:sz w:val="22"/>
                <w:szCs w:val="22"/>
              </w:rPr>
            </w:pPr>
          </w:p>
          <w:p>
            <w:pPr>
              <w:rPr>
                <w:i/>
                <w:sz w:val="22"/>
                <w:szCs w:val="22"/>
              </w:rPr>
            </w:pPr>
          </w:p>
          <w:p>
            <w:pPr>
              <w:rPr>
                <w:i/>
                <w:sz w:val="22"/>
                <w:szCs w:val="22"/>
                <w:lang w:val="nb-NO"/>
              </w:rPr>
            </w:pPr>
            <w:r>
              <w:rPr>
                <w:i/>
                <w:sz w:val="22"/>
                <w:szCs w:val="22"/>
                <w:lang w:val="nb-NO"/>
              </w:rPr>
              <w:t>Abu Sin</w:t>
            </w:r>
          </w:p>
          <w:p>
            <w:pPr>
              <w:rPr>
                <w:i/>
                <w:sz w:val="22"/>
                <w:szCs w:val="22"/>
                <w:lang w:val="nb-NO"/>
              </w:rPr>
            </w:pPr>
          </w:p>
          <w:p>
            <w:pPr>
              <w:rPr>
                <w:i/>
                <w:sz w:val="22"/>
                <w:szCs w:val="22"/>
                <w:lang w:val="nb-NO"/>
              </w:rPr>
            </w:pPr>
          </w:p>
          <w:p>
            <w:pPr>
              <w:rPr>
                <w:i/>
                <w:sz w:val="22"/>
                <w:szCs w:val="22"/>
                <w:lang w:val="nb-NO"/>
              </w:rPr>
            </w:pPr>
          </w:p>
          <w:p>
            <w:pPr>
              <w:rPr>
                <w:i/>
                <w:sz w:val="22"/>
                <w:szCs w:val="22"/>
                <w:lang w:val="nb-NO"/>
              </w:rPr>
            </w:pPr>
          </w:p>
          <w:p>
            <w:pPr>
              <w:rPr>
                <w:i/>
                <w:sz w:val="22"/>
                <w:szCs w:val="22"/>
                <w:lang w:val="nb-NO"/>
              </w:rPr>
            </w:pPr>
          </w:p>
          <w:p>
            <w:pPr>
              <w:rPr>
                <w:i/>
                <w:sz w:val="22"/>
                <w:szCs w:val="22"/>
                <w:lang w:val="nb-NO"/>
              </w:rPr>
            </w:pPr>
          </w:p>
          <w:p>
            <w:pPr>
              <w:rPr>
                <w:i/>
                <w:sz w:val="22"/>
                <w:szCs w:val="22"/>
                <w:lang w:val="nb-NO"/>
              </w:rPr>
            </w:pPr>
          </w:p>
          <w:p>
            <w:pPr>
              <w:rPr>
                <w:i/>
                <w:sz w:val="22"/>
                <w:szCs w:val="22"/>
                <w:lang w:val="nb-NO"/>
              </w:rPr>
            </w:pPr>
          </w:p>
          <w:p>
            <w:pPr>
              <w:rPr>
                <w:i/>
                <w:sz w:val="22"/>
                <w:szCs w:val="22"/>
                <w:lang w:val="nb-NO"/>
              </w:rPr>
            </w:pPr>
          </w:p>
          <w:p>
            <w:pPr>
              <w:rPr>
                <w:i/>
                <w:sz w:val="22"/>
                <w:szCs w:val="22"/>
                <w:lang w:val="nb-NO"/>
              </w:rPr>
            </w:pPr>
          </w:p>
          <w:p>
            <w:pPr>
              <w:rPr>
                <w:i/>
                <w:sz w:val="22"/>
                <w:szCs w:val="22"/>
                <w:lang w:val="nb-NO"/>
              </w:rPr>
            </w:pPr>
          </w:p>
          <w:p>
            <w:pPr>
              <w:rPr>
                <w:i/>
                <w:sz w:val="22"/>
                <w:szCs w:val="22"/>
                <w:lang w:val="nb-NO"/>
              </w:rPr>
            </w:pPr>
          </w:p>
          <w:p>
            <w:pPr>
              <w:rPr>
                <w:i/>
                <w:sz w:val="22"/>
                <w:szCs w:val="22"/>
                <w:lang w:val="nb-NO"/>
              </w:rPr>
            </w:pPr>
            <w:r>
              <w:rPr>
                <w:i/>
                <w:sz w:val="22"/>
                <w:szCs w:val="22"/>
                <w:lang w:val="nb-NO"/>
              </w:rPr>
              <w:t>Brunke</w:t>
            </w:r>
          </w:p>
          <w:p>
            <w:pPr>
              <w:rPr>
                <w:i/>
                <w:sz w:val="22"/>
                <w:szCs w:val="22"/>
                <w:lang w:val="nb-NO"/>
              </w:rPr>
            </w:pPr>
            <w:r>
              <w:rPr>
                <w:i/>
                <w:sz w:val="22"/>
                <w:szCs w:val="22"/>
                <w:lang w:val="nb-NO"/>
              </w:rPr>
              <w:t>Arvand</w:t>
            </w:r>
          </w:p>
          <w:p>
            <w:pPr>
              <w:rPr>
                <w:i/>
                <w:sz w:val="22"/>
                <w:szCs w:val="22"/>
                <w:lang w:val="nb-NO"/>
              </w:rPr>
            </w:pPr>
          </w:p>
          <w:p>
            <w:pPr>
              <w:rPr>
                <w:i/>
                <w:sz w:val="22"/>
                <w:szCs w:val="22"/>
                <w:lang w:val="nb-NO"/>
              </w:rPr>
            </w:pPr>
            <w:r>
              <w:rPr>
                <w:i/>
                <w:sz w:val="22"/>
                <w:szCs w:val="22"/>
                <w:lang w:val="nb-NO"/>
              </w:rPr>
              <w:t>Mielke</w:t>
            </w:r>
          </w:p>
          <w:p>
            <w:pPr>
              <w:rPr>
                <w:i/>
                <w:sz w:val="22"/>
                <w:szCs w:val="22"/>
                <w:lang w:val="nb-NO"/>
              </w:rPr>
            </w:pPr>
            <w:r>
              <w:rPr>
                <w:i/>
                <w:sz w:val="22"/>
                <w:szCs w:val="22"/>
                <w:lang w:val="nb-NO"/>
              </w:rPr>
              <w:t>Hamouda</w:t>
            </w:r>
          </w:p>
          <w:p>
            <w:pPr>
              <w:rPr>
                <w:i/>
                <w:sz w:val="22"/>
                <w:szCs w:val="22"/>
                <w:lang w:val="nb-NO"/>
              </w:rPr>
            </w:pPr>
          </w:p>
          <w:p>
            <w:pPr>
              <w:rPr>
                <w:i/>
                <w:sz w:val="22"/>
                <w:szCs w:val="22"/>
              </w:rPr>
            </w:pPr>
            <w:r>
              <w:rPr>
                <w:i/>
                <w:sz w:val="22"/>
                <w:szCs w:val="22"/>
              </w:rPr>
              <w:t>Abu Sin</w:t>
            </w:r>
          </w:p>
        </w:tc>
      </w:tr>
      <w:tr>
        <w:tc>
          <w:tcPr>
            <w:tcW w:w="684" w:type="dxa"/>
          </w:tcPr>
          <w:p>
            <w:pPr>
              <w:rPr>
                <w:b/>
              </w:rPr>
            </w:pPr>
            <w:r>
              <w:rPr>
                <w:b/>
              </w:rPr>
              <w:t>12</w:t>
            </w:r>
          </w:p>
        </w:tc>
        <w:tc>
          <w:tcPr>
            <w:tcW w:w="6824" w:type="dxa"/>
          </w:tcPr>
          <w:p>
            <w:pPr>
              <w:pStyle w:val="1"/>
            </w:pPr>
            <w:r>
              <w:t>Labordiagnostik</w:t>
            </w:r>
          </w:p>
          <w:p>
            <w:pPr>
              <w:pStyle w:val="Liste1"/>
            </w:pPr>
            <w:r>
              <w:t>(nicht berichtet)</w:t>
            </w:r>
          </w:p>
        </w:tc>
        <w:tc>
          <w:tcPr>
            <w:tcW w:w="1463" w:type="dxa"/>
          </w:tcPr>
          <w:p>
            <w:pPr>
              <w:rPr>
                <w:sz w:val="22"/>
                <w:szCs w:val="22"/>
              </w:rPr>
            </w:pPr>
          </w:p>
          <w:p>
            <w:pPr>
              <w:rPr>
                <w:sz w:val="22"/>
                <w:szCs w:val="22"/>
              </w:rPr>
            </w:pPr>
            <w:r>
              <w:rPr>
                <w:sz w:val="22"/>
                <w:szCs w:val="22"/>
              </w:rPr>
              <w:t>FG17/ZBS1</w:t>
            </w:r>
            <w:r>
              <w:rPr>
                <w:sz w:val="22"/>
                <w:szCs w:val="22"/>
              </w:rPr>
              <w:br/>
            </w:r>
          </w:p>
          <w:p>
            <w:pPr>
              <w:rPr>
                <w:sz w:val="22"/>
                <w:szCs w:val="22"/>
              </w:rPr>
            </w:pPr>
          </w:p>
        </w:tc>
      </w:tr>
      <w:tr>
        <w:tc>
          <w:tcPr>
            <w:tcW w:w="684" w:type="dxa"/>
          </w:tcPr>
          <w:p>
            <w:pPr>
              <w:rPr>
                <w:b/>
              </w:rPr>
            </w:pPr>
            <w:r>
              <w:rPr>
                <w:b/>
              </w:rPr>
              <w:t>13</w:t>
            </w:r>
          </w:p>
        </w:tc>
        <w:tc>
          <w:tcPr>
            <w:tcW w:w="6824" w:type="dxa"/>
          </w:tcPr>
          <w:p>
            <w:pPr>
              <w:pStyle w:val="1"/>
            </w:pPr>
            <w:r>
              <w:t>Klinisches Management/Entlassungsmanagement</w:t>
            </w:r>
          </w:p>
          <w:p>
            <w:pPr>
              <w:pStyle w:val="Liste1"/>
            </w:pPr>
            <w:r>
              <w:t>Abschließende Beratung: Testanlässe/ Testkriterien: Anpassung der Testanlässe und Flussschema für Ärzte (</w:t>
            </w:r>
            <w:hyperlink r:id="rId19" w:history="1">
              <w:r>
                <w:rPr>
                  <w:rStyle w:val="Hyperlink"/>
                </w:rPr>
                <w:t>hier</w:t>
              </w:r>
            </w:hyperlink>
            <w:r>
              <w:t>)</w:t>
            </w:r>
          </w:p>
          <w:p>
            <w:pPr>
              <w:pStyle w:val="Liste2"/>
              <w:rPr>
                <w:lang w:val="de-DE"/>
              </w:rPr>
            </w:pPr>
            <w:r>
              <w:rPr>
                <w:lang w:val="de-DE"/>
              </w:rPr>
              <w:t>2 Dokumente: Flussdiagramm zu Testkriterien und erläuternder Text</w:t>
            </w:r>
          </w:p>
          <w:p>
            <w:pPr>
              <w:pStyle w:val="Liste2"/>
              <w:rPr>
                <w:lang w:val="de-DE"/>
              </w:rPr>
            </w:pPr>
            <w:r>
              <w:rPr>
                <w:lang w:val="de-DE"/>
              </w:rPr>
              <w:lastRenderedPageBreak/>
              <w:t>Wurde in AG Diagnostik geprüft, Anpassungen an Lage sinnvoll</w:t>
            </w:r>
          </w:p>
          <w:p>
            <w:pPr>
              <w:pStyle w:val="Liste2"/>
              <w:rPr>
                <w:lang w:val="de-DE"/>
              </w:rPr>
            </w:pPr>
            <w:r>
              <w:rPr>
                <w:lang w:val="de-DE"/>
              </w:rPr>
              <w:t>Zur Kenntnis: Punkt 5 bei Testkriterien wurde gekürzt</w:t>
            </w:r>
          </w:p>
          <w:p>
            <w:pPr>
              <w:pStyle w:val="Liste2"/>
              <w:rPr>
                <w:lang w:val="de-DE"/>
              </w:rPr>
            </w:pPr>
            <w:r>
              <w:rPr>
                <w:lang w:val="de-DE"/>
              </w:rPr>
              <w:t>„Verdachtsfall meldepflichtig“ soll blau und nicht rot sein.</w:t>
            </w:r>
          </w:p>
          <w:p>
            <w:pPr>
              <w:pStyle w:val="Liste2"/>
              <w:rPr>
                <w:lang w:val="de-DE"/>
              </w:rPr>
            </w:pPr>
            <w:r>
              <w:rPr>
                <w:lang w:val="de-DE"/>
              </w:rPr>
              <w:t>Ausfall statt Störung des Geruchs- und Geschmackssinns</w:t>
            </w:r>
          </w:p>
          <w:p>
            <w:pPr>
              <w:pStyle w:val="Liste2"/>
              <w:rPr>
                <w:lang w:val="de-DE"/>
              </w:rPr>
            </w:pPr>
            <w:r>
              <w:rPr>
                <w:lang w:val="de-DE"/>
              </w:rPr>
              <w:t>Indikation zur antiviralen Therapie bei ambulantem Management ergänzt</w:t>
            </w:r>
          </w:p>
          <w:p>
            <w:pPr>
              <w:pStyle w:val="Liste2"/>
              <w:rPr>
                <w:lang w:val="de-DE"/>
              </w:rPr>
            </w:pPr>
            <w:r>
              <w:rPr>
                <w:lang w:val="de-DE"/>
              </w:rPr>
              <w:t xml:space="preserve">Maßnahmen bei Symptomen: häusliche Isolierung für 5 Tage. </w:t>
            </w:r>
          </w:p>
          <w:p>
            <w:pPr>
              <w:pStyle w:val="Liste3"/>
            </w:pPr>
            <w:r>
              <w:t xml:space="preserve">Es geht um nicht nachgewiesene COVID-Infektionen, im Wochenbericht Formulierung 3-5 Tage </w:t>
            </w:r>
          </w:p>
          <w:p>
            <w:pPr>
              <w:pStyle w:val="Liste2"/>
              <w:numPr>
                <w:ilvl w:val="0"/>
                <w:numId w:val="0"/>
              </w:numPr>
              <w:ind w:left="360" w:hanging="360"/>
              <w:rPr>
                <w:i/>
                <w:lang w:val="de-DE"/>
              </w:rPr>
            </w:pPr>
            <w:proofErr w:type="spellStart"/>
            <w:r>
              <w:rPr>
                <w:i/>
                <w:lang w:val="de-DE"/>
              </w:rPr>
              <w:t>ToDo</w:t>
            </w:r>
            <w:proofErr w:type="spellEnd"/>
            <w:r>
              <w:rPr>
                <w:i/>
                <w:lang w:val="de-DE"/>
              </w:rPr>
              <w:t>: Damit Formulierung einheitlich ist, schickt Hr. Haas Hr. Mielke genaue Formulierung zu.</w:t>
            </w:r>
          </w:p>
          <w:p>
            <w:pPr>
              <w:pStyle w:val="Liste2"/>
              <w:rPr>
                <w:lang w:val="de-DE"/>
              </w:rPr>
            </w:pPr>
            <w:r>
              <w:rPr>
                <w:lang w:val="de-DE"/>
              </w:rPr>
              <w:t>Anschließend über Fr. Niebank zur Aktualisierung an Webmaster</w:t>
            </w:r>
          </w:p>
        </w:tc>
        <w:tc>
          <w:tcPr>
            <w:tcW w:w="1463" w:type="dxa"/>
          </w:tcPr>
          <w:p>
            <w:pPr>
              <w:rPr>
                <w:sz w:val="22"/>
                <w:szCs w:val="22"/>
              </w:rPr>
            </w:pPr>
          </w:p>
          <w:p>
            <w:pPr>
              <w:rPr>
                <w:sz w:val="22"/>
                <w:szCs w:val="22"/>
              </w:rPr>
            </w:pPr>
            <w:r>
              <w:rPr>
                <w:sz w:val="22"/>
                <w:szCs w:val="22"/>
              </w:rPr>
              <w:t>ZBS7/ FG36</w:t>
            </w:r>
            <w:r>
              <w:rPr>
                <w:sz w:val="22"/>
                <w:szCs w:val="22"/>
              </w:rPr>
              <w:br/>
              <w:t>(</w:t>
            </w:r>
            <w:r>
              <w:rPr>
                <w:i/>
                <w:sz w:val="22"/>
                <w:szCs w:val="22"/>
              </w:rPr>
              <w:t>Mielke</w:t>
            </w:r>
            <w:r>
              <w:rPr>
                <w:sz w:val="22"/>
                <w:szCs w:val="22"/>
              </w:rPr>
              <w:t>)</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i/>
                <w:sz w:val="22"/>
                <w:szCs w:val="22"/>
              </w:rPr>
            </w:pPr>
            <w:r>
              <w:rPr>
                <w:i/>
                <w:sz w:val="22"/>
                <w:szCs w:val="22"/>
              </w:rPr>
              <w:t>Haas</w:t>
            </w: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tc>
      </w:tr>
      <w:tr>
        <w:tc>
          <w:tcPr>
            <w:tcW w:w="684" w:type="dxa"/>
          </w:tcPr>
          <w:p>
            <w:pPr>
              <w:rPr>
                <w:b/>
              </w:rPr>
            </w:pPr>
            <w:r>
              <w:rPr>
                <w:b/>
              </w:rPr>
              <w:lastRenderedPageBreak/>
              <w:t>14</w:t>
            </w:r>
          </w:p>
        </w:tc>
        <w:tc>
          <w:tcPr>
            <w:tcW w:w="6824" w:type="dxa"/>
          </w:tcPr>
          <w:p>
            <w:pPr>
              <w:pStyle w:val="1"/>
              <w:spacing w:after="0"/>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p>
            <w:pPr>
              <w:rPr>
                <w:sz w:val="22"/>
                <w:szCs w:val="22"/>
              </w:rPr>
            </w:pPr>
          </w:p>
        </w:tc>
      </w:tr>
      <w:tr>
        <w:tc>
          <w:tcPr>
            <w:tcW w:w="684" w:type="dxa"/>
          </w:tcPr>
          <w:p>
            <w:pPr>
              <w:rPr>
                <w:b/>
              </w:rPr>
            </w:pPr>
            <w:r>
              <w:rPr>
                <w:b/>
              </w:rPr>
              <w:t>15</w:t>
            </w:r>
          </w:p>
        </w:tc>
        <w:tc>
          <w:tcPr>
            <w:tcW w:w="6824" w:type="dxa"/>
          </w:tcPr>
          <w:p>
            <w:pPr>
              <w:pStyle w:val="1"/>
              <w:spacing w:after="0"/>
              <w:rPr>
                <w:sz w:val="22"/>
              </w:rPr>
            </w:pPr>
            <w:r>
              <w:t>Surveillance</w:t>
            </w:r>
          </w:p>
          <w:p>
            <w:pPr>
              <w:pStyle w:val="Liste1"/>
            </w:pPr>
            <w:r>
              <w:t>nicht berichtet</w:t>
            </w:r>
          </w:p>
        </w:tc>
        <w:tc>
          <w:tcPr>
            <w:tcW w:w="1463"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t>16</w:t>
            </w:r>
          </w:p>
        </w:tc>
        <w:tc>
          <w:tcPr>
            <w:tcW w:w="6824" w:type="dxa"/>
          </w:tcPr>
          <w:p>
            <w:pPr>
              <w:spacing w:line="276" w:lineRule="auto"/>
              <w:rPr>
                <w:b/>
                <w:sz w:val="28"/>
              </w:rPr>
            </w:pPr>
            <w:r>
              <w:rPr>
                <w:rStyle w:val="1Zchn"/>
              </w:rPr>
              <w:t>Transport und Grenzübergangsstellen</w:t>
            </w:r>
            <w:r>
              <w:rPr>
                <w:b/>
                <w:sz w:val="28"/>
              </w:rPr>
              <w:t xml:space="preserve"> </w:t>
            </w:r>
          </w:p>
          <w:p>
            <w:pPr>
              <w:pStyle w:val="Liste1"/>
            </w:pPr>
            <w:r>
              <w:t>nicht berichtet</w:t>
            </w:r>
          </w:p>
        </w:tc>
        <w:tc>
          <w:tcPr>
            <w:tcW w:w="1463" w:type="dxa"/>
          </w:tcPr>
          <w:p>
            <w:pPr>
              <w:rPr>
                <w:sz w:val="22"/>
                <w:szCs w:val="22"/>
              </w:rPr>
            </w:pPr>
          </w:p>
          <w:p>
            <w:pPr>
              <w:rPr>
                <w:sz w:val="22"/>
                <w:szCs w:val="22"/>
              </w:rPr>
            </w:pPr>
            <w:r>
              <w:rPr>
                <w:sz w:val="22"/>
                <w:szCs w:val="22"/>
              </w:rPr>
              <w:t xml:space="preserve">FG38 </w:t>
            </w:r>
          </w:p>
          <w:p>
            <w:pPr>
              <w:rPr>
                <w:sz w:val="22"/>
                <w:szCs w:val="22"/>
              </w:rPr>
            </w:pPr>
          </w:p>
        </w:tc>
      </w:tr>
      <w:tr>
        <w:tc>
          <w:tcPr>
            <w:tcW w:w="684" w:type="dxa"/>
          </w:tcPr>
          <w:p>
            <w:pPr>
              <w:rPr>
                <w:b/>
              </w:rPr>
            </w:pPr>
            <w:r>
              <w:rPr>
                <w:b/>
              </w:rPr>
              <w:t>17</w:t>
            </w:r>
          </w:p>
        </w:tc>
        <w:tc>
          <w:tcPr>
            <w:tcW w:w="6824" w:type="dxa"/>
          </w:tcPr>
          <w:p>
            <w:pPr>
              <w:spacing w:line="276" w:lineRule="auto"/>
              <w:rPr>
                <w:rStyle w:val="TagFrZchn"/>
              </w:rPr>
            </w:pPr>
            <w:r>
              <w:rPr>
                <w:rStyle w:val="1Zchn"/>
              </w:rPr>
              <w:t>Information aus der Koordinierungsstelle</w:t>
            </w:r>
            <w:r>
              <w:rPr>
                <w:b/>
                <w:sz w:val="28"/>
              </w:rPr>
              <w:t xml:space="preserve"> </w:t>
            </w:r>
          </w:p>
          <w:p>
            <w:pPr>
              <w:pStyle w:val="Liste1"/>
            </w:pPr>
            <w:r>
              <w:t>nicht berichtet</w:t>
            </w:r>
          </w:p>
        </w:tc>
        <w:tc>
          <w:tcPr>
            <w:tcW w:w="1463"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18</w:t>
            </w:r>
          </w:p>
        </w:tc>
        <w:tc>
          <w:tcPr>
            <w:tcW w:w="6824" w:type="dxa"/>
          </w:tcPr>
          <w:p>
            <w:pPr>
              <w:pStyle w:val="1"/>
              <w:spacing w:after="0"/>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19</w:t>
            </w:r>
          </w:p>
        </w:tc>
        <w:tc>
          <w:tcPr>
            <w:tcW w:w="6824" w:type="dxa"/>
          </w:tcPr>
          <w:p>
            <w:pPr>
              <w:pStyle w:val="1"/>
            </w:pPr>
            <w:r>
              <w:t>Andere Themen</w:t>
            </w:r>
          </w:p>
          <w:p>
            <w:pPr>
              <w:pStyle w:val="Liste1"/>
            </w:pPr>
            <w:r>
              <w:t>Nächste Sitzung: Wochentag, 26.10.2022, 11:00 Uhr, via Webex</w:t>
            </w:r>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12:59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2"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Koordinierungsstelle des RKI </w:t>
    </w:r>
    <w:r>
      <w:rPr>
        <w:color w:val="1F497D" w:themeColor="text2"/>
      </w:rPr>
      <w:tab/>
    </w:r>
    <w:r>
      <w:rPr>
        <w:color w:val="1F497D" w:themeColor="text2"/>
      </w:rPr>
      <w:tab/>
      <w:t>Protokoll der COVID-19-Lage-AG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AC5A26"/>
    <w:multiLevelType w:val="hybridMultilevel"/>
    <w:tmpl w:val="9858F654"/>
    <w:lvl w:ilvl="0" w:tplc="EB4451E8">
      <w:start w:val="1"/>
      <w:numFmt w:val="bullet"/>
      <w:pStyle w:val="Liste1"/>
      <w:lvlText w:val=""/>
      <w:lvlJc w:val="left"/>
      <w:pPr>
        <w:ind w:left="473" w:hanging="360"/>
      </w:pPr>
      <w:rPr>
        <w:rFonts w:ascii="Symbol" w:hAnsi="Symbol" w:hint="default"/>
      </w:rPr>
    </w:lvl>
    <w:lvl w:ilvl="1" w:tplc="7A4C4BB4">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3"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8AB08AF"/>
    <w:multiLevelType w:val="hybridMultilevel"/>
    <w:tmpl w:val="A0926B72"/>
    <w:lvl w:ilvl="0" w:tplc="71F40AC2">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6"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3"/>
  </w:num>
  <w:num w:numId="6">
    <w:abstractNumId w:val="2"/>
  </w:num>
  <w:num w:numId="7">
    <w:abstractNumId w:val="5"/>
  </w:num>
  <w:num w:numId="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8396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3969"/>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2022-10-12_Intensivregister_SPoCK.pptx" TargetMode="External"/><Relationship Id="rId18" Type="http://schemas.openxmlformats.org/officeDocument/2006/relationships/hyperlink" Target="MHS_Lit_Review_Lage%20AG.pptx"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LageNational_2022-10-12_draft.pptx" TargetMode="External"/><Relationship Id="rId17" Type="http://schemas.openxmlformats.org/officeDocument/2006/relationships/hyperlink" Target="Pandemie-Apps_Update_2022-10-12.pptx" TargetMode="External"/><Relationship Id="rId2" Type="http://schemas.openxmlformats.org/officeDocument/2006/relationships/numbering" Target="numbering.xml"/><Relationship Id="rId16" Type="http://schemas.openxmlformats.org/officeDocument/2006/relationships/hyperlink" Target="2022-10_11_LageAG-VOC.ppt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VID-19_internat.%20Lage_2022-10-12.pptx" TargetMode="External"/><Relationship Id="rId5" Type="http://schemas.openxmlformats.org/officeDocument/2006/relationships/webSettings" Target="webSettings.xml"/><Relationship Id="rId15" Type="http://schemas.openxmlformats.org/officeDocument/2006/relationships/hyperlink" Target="Testzahlerfassung%20am%20RKI_2022_10-05.pptx" TargetMode="External"/><Relationship Id="rId10" Type="http://schemas.openxmlformats.org/officeDocument/2006/relationships/footer" Target="footer2.xml"/><Relationship Id="rId19" Type="http://schemas.openxmlformats.org/officeDocument/2006/relationships/hyperlink" Target="22_0487_Orientierungshilfe_Aerzte_A3_V2.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syndrom-ARE-SARI-COVID_bis_KW40_2022_f&#252;r-Krisenstab.ppt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EA0B9-9A97-4A4A-80F9-62CF42A5E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2906</Words>
  <Characters>18315</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Püschel, Nadine</cp:lastModifiedBy>
  <cp:revision>50</cp:revision>
  <cp:lastPrinted>2020-05-06T16:43:00Z</cp:lastPrinted>
  <dcterms:created xsi:type="dcterms:W3CDTF">2022-10-12T11:27:00Z</dcterms:created>
  <dcterms:modified xsi:type="dcterms:W3CDTF">2022-11-24T15:43:00Z</dcterms:modified>
</cp:coreProperties>
</file>