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26.10.2022,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spacing w:after="0"/>
        <w:rPr>
          <w:b/>
          <w:sz w:val="22"/>
        </w:rPr>
      </w:pP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FG11</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1"/>
          <w:numId w:val="2"/>
        </w:numPr>
        <w:spacing w:after="0" w:line="233" w:lineRule="auto"/>
        <w:contextualSpacing w:val="0"/>
        <w:rPr>
          <w:sz w:val="22"/>
          <w:szCs w:val="22"/>
        </w:rPr>
      </w:pPr>
      <w:r>
        <w:rPr>
          <w:sz w:val="22"/>
          <w:szCs w:val="22"/>
        </w:rPr>
        <w:t>Sebastian Voigt</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rStyle w:val="highlight"/>
          <w:sz w:val="22"/>
          <w:szCs w:val="22"/>
        </w:rPr>
      </w:pPr>
      <w:r>
        <w:rPr>
          <w:sz w:val="22"/>
          <w:szCs w:val="22"/>
        </w:rPr>
        <w:t xml:space="preserve">Wolfgang </w:t>
      </w:r>
      <w:r>
        <w:rPr>
          <w:rStyle w:val="highlight"/>
          <w:sz w:val="22"/>
          <w:szCs w:val="22"/>
        </w:rPr>
        <w:t>Scheida</w:t>
      </w:r>
    </w:p>
    <w:p>
      <w:pPr>
        <w:pStyle w:val="Listenabsatz"/>
        <w:numPr>
          <w:ilvl w:val="1"/>
          <w:numId w:val="2"/>
        </w:numPr>
        <w:spacing w:after="0"/>
        <w:contextualSpacing w:val="0"/>
        <w:rPr>
          <w:sz w:val="22"/>
          <w:szCs w:val="22"/>
        </w:rPr>
      </w:pPr>
      <w:r>
        <w:rPr>
          <w:sz w:val="22"/>
          <w:szCs w:val="22"/>
        </w:rPr>
        <w:t>Justus Benzler</w:t>
      </w:r>
    </w:p>
    <w:p>
      <w:pPr>
        <w:pStyle w:val="Listenabsatz"/>
        <w:numPr>
          <w:ilvl w:val="0"/>
          <w:numId w:val="2"/>
        </w:numPr>
        <w:spacing w:after="0"/>
        <w:contextualSpacing w:val="0"/>
        <w:rPr>
          <w:sz w:val="22"/>
          <w:szCs w:val="22"/>
        </w:rPr>
      </w:pPr>
      <w:r>
        <w:rPr>
          <w:sz w:val="22"/>
          <w:szCs w:val="22"/>
        </w:rPr>
        <w:t>FG23</w:t>
      </w:r>
    </w:p>
    <w:p>
      <w:pPr>
        <w:pStyle w:val="Listenabsatz"/>
        <w:numPr>
          <w:ilvl w:val="0"/>
          <w:numId w:val="2"/>
        </w:numPr>
        <w:spacing w:after="0"/>
        <w:contextualSpacing w:val="0"/>
        <w:rPr>
          <w:sz w:val="22"/>
          <w:szCs w:val="22"/>
        </w:rPr>
      </w:pPr>
      <w:r>
        <w:rPr>
          <w:sz w:val="22"/>
          <w:szCs w:val="22"/>
        </w:rPr>
        <w:t xml:space="preserve">FG 24 </w:t>
      </w:r>
    </w:p>
    <w:p>
      <w:pPr>
        <w:pStyle w:val="Listenabsatz"/>
        <w:numPr>
          <w:ilvl w:val="1"/>
          <w:numId w:val="2"/>
        </w:numPr>
        <w:spacing w:after="0"/>
        <w:contextualSpacing w:val="0"/>
        <w:rPr>
          <w:sz w:val="22"/>
          <w:szCs w:val="22"/>
        </w:rPr>
      </w:pPr>
      <w:r>
        <w:rPr>
          <w:sz w:val="22"/>
          <w:szCs w:val="22"/>
        </w:rPr>
        <w:t>Thomas Ziese</w:t>
      </w:r>
    </w:p>
    <w:p>
      <w:pPr>
        <w:pStyle w:val="Listenabsatz"/>
        <w:numPr>
          <w:ilvl w:val="1"/>
          <w:numId w:val="2"/>
        </w:numPr>
        <w:spacing w:after="0"/>
        <w:contextualSpacing w:val="0"/>
        <w:rPr>
          <w:sz w:val="22"/>
          <w:szCs w:val="22"/>
        </w:rPr>
      </w:pPr>
      <w:r>
        <w:rPr>
          <w:sz w:val="22"/>
          <w:szCs w:val="22"/>
        </w:rPr>
        <w:t>Anke Christine Saß</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Christina </w:t>
      </w:r>
      <w:proofErr w:type="spellStart"/>
      <w:r>
        <w:rPr>
          <w:sz w:val="22"/>
          <w:szCs w:val="22"/>
        </w:rPr>
        <w:t>Poethko</w:t>
      </w:r>
      <w:proofErr w:type="spellEnd"/>
      <w:r>
        <w:rPr>
          <w:sz w:val="22"/>
          <w:szCs w:val="22"/>
        </w:rPr>
        <w:t>-Müller</w:t>
      </w:r>
    </w:p>
    <w:p>
      <w:pPr>
        <w:pStyle w:val="Listenabsatz"/>
        <w:numPr>
          <w:ilvl w:val="1"/>
          <w:numId w:val="2"/>
        </w:numPr>
        <w:spacing w:after="0"/>
        <w:contextualSpacing w:val="0"/>
        <w:rPr>
          <w:rStyle w:val="highlight"/>
          <w:sz w:val="22"/>
          <w:szCs w:val="22"/>
        </w:rPr>
      </w:pPr>
      <w:r>
        <w:rPr>
          <w:rStyle w:val="highlight"/>
          <w:sz w:val="22"/>
          <w:szCs w:val="22"/>
        </w:rPr>
        <w:t>Christa Scheidt-Nave</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Antonia Hilbig</w:t>
      </w:r>
    </w:p>
    <w:p>
      <w:pPr>
        <w:pStyle w:val="Listenabsatz"/>
        <w:numPr>
          <w:ilvl w:val="1"/>
          <w:numId w:val="2"/>
        </w:numPr>
        <w:spacing w:after="0"/>
        <w:contextualSpacing w:val="0"/>
        <w:rPr>
          <w:sz w:val="22"/>
          <w:szCs w:val="22"/>
        </w:rPr>
      </w:pPr>
      <w:r>
        <w:rPr>
          <w:sz w:val="22"/>
          <w:szCs w:val="22"/>
        </w:rPr>
        <w:t>Claudia Siffczyk</w:t>
      </w:r>
    </w:p>
    <w:p>
      <w:pPr>
        <w:pStyle w:val="Listenabsatz"/>
        <w:spacing w:after="0"/>
        <w:ind w:left="1440"/>
        <w:contextualSpacing w:val="0"/>
        <w:rPr>
          <w:sz w:val="22"/>
          <w:szCs w:val="22"/>
        </w:rPr>
      </w:pP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Claudia Sievers</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rPr>
      </w:pPr>
      <w:r>
        <w:rPr>
          <w:sz w:val="22"/>
          <w:szCs w:val="22"/>
        </w:rPr>
        <w:t>Jonathan Fischer-Fels</w:t>
      </w:r>
    </w:p>
    <w:p>
      <w:pPr>
        <w:pStyle w:val="Listenabsatz"/>
        <w:numPr>
          <w:ilvl w:val="0"/>
          <w:numId w:val="4"/>
        </w:numPr>
        <w:spacing w:after="0"/>
        <w:contextualSpacing w:val="0"/>
        <w:rPr>
          <w:sz w:val="22"/>
          <w:szCs w:val="22"/>
        </w:rPr>
      </w:pPr>
      <w:r>
        <w:rPr>
          <w:sz w:val="22"/>
          <w:szCs w:val="22"/>
        </w:rPr>
        <w:t>FG34</w:t>
      </w:r>
    </w:p>
    <w:p>
      <w:pPr>
        <w:pStyle w:val="Listenabsatz"/>
        <w:numPr>
          <w:ilvl w:val="0"/>
          <w:numId w:val="2"/>
        </w:numPr>
        <w:spacing w:after="0"/>
        <w:contextualSpacing w:val="0"/>
        <w:rPr>
          <w:sz w:val="22"/>
          <w:szCs w:val="22"/>
        </w:rPr>
      </w:pPr>
      <w:r>
        <w:rPr>
          <w:sz w:val="22"/>
          <w:szCs w:val="22"/>
        </w:rPr>
        <w:t>FG35</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0"/>
          <w:numId w:val="3"/>
        </w:numPr>
        <w:spacing w:after="0"/>
        <w:contextualSpacing w:val="0"/>
        <w:rPr>
          <w:sz w:val="22"/>
          <w:szCs w:val="22"/>
        </w:rPr>
      </w:pPr>
      <w:r>
        <w:rPr>
          <w:sz w:val="22"/>
          <w:szCs w:val="22"/>
        </w:rPr>
        <w:t>ZBS1</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MF3</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rStyle w:val="highlight"/>
          <w:sz w:val="22"/>
          <w:szCs w:val="22"/>
        </w:rPr>
      </w:pPr>
      <w:r>
        <w:rPr>
          <w:rStyle w:val="highlight"/>
          <w:sz w:val="22"/>
          <w:szCs w:val="22"/>
        </w:rPr>
        <w:t>ZIG2</w:t>
      </w:r>
    </w:p>
    <w:p>
      <w:pPr>
        <w:pStyle w:val="Listenabsatz"/>
        <w:numPr>
          <w:ilvl w:val="0"/>
          <w:numId w:val="2"/>
        </w:numPr>
        <w:spacing w:after="0"/>
        <w:contextualSpacing w:val="0"/>
        <w:rPr>
          <w:rStyle w:val="highlight"/>
          <w:sz w:val="22"/>
          <w:szCs w:val="22"/>
        </w:rPr>
      </w:pPr>
      <w:r>
        <w:rPr>
          <w:rStyle w:val="highlight"/>
          <w:sz w:val="22"/>
          <w:szCs w:val="22"/>
        </w:rPr>
        <w:t>ZIG4</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rPr>
        <w:t>Linda Seefeld</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sz w:val="22"/>
                <w:szCs w:val="22"/>
              </w:rPr>
            </w:pPr>
            <w:r>
              <w:rPr>
                <w:b/>
                <w:sz w:val="22"/>
                <w:szCs w:val="22"/>
              </w:rPr>
              <w:t>1</w:t>
            </w:r>
          </w:p>
        </w:tc>
        <w:tc>
          <w:tcPr>
            <w:tcW w:w="6824" w:type="dxa"/>
          </w:tcPr>
          <w:p>
            <w:pPr>
              <w:pStyle w:val="1"/>
              <w:rPr>
                <w:sz w:val="22"/>
                <w:szCs w:val="22"/>
              </w:rPr>
            </w:pPr>
            <w:r>
              <w:rPr>
                <w:sz w:val="22"/>
                <w:szCs w:val="22"/>
              </w:rPr>
              <w:t xml:space="preserve">Aktuelle Lage </w:t>
            </w:r>
          </w:p>
          <w:p>
            <w:pPr>
              <w:spacing w:line="276" w:lineRule="auto"/>
              <w:rPr>
                <w:rStyle w:val="TagMiZchn"/>
                <w:bCs/>
                <w:sz w:val="22"/>
                <w:szCs w:val="22"/>
              </w:rPr>
            </w:pPr>
            <w:r>
              <w:rPr>
                <w:rStyle w:val="2Zchn"/>
                <w:sz w:val="22"/>
                <w:szCs w:val="22"/>
              </w:rPr>
              <w:t>International</w:t>
            </w:r>
            <w:r>
              <w:rPr>
                <w:rStyle w:val="TagMiZchn"/>
                <w:bCs/>
                <w:sz w:val="22"/>
                <w:szCs w:val="22"/>
              </w:rPr>
              <w:t xml:space="preserve"> </w:t>
            </w:r>
          </w:p>
          <w:p>
            <w:pPr>
              <w:spacing w:line="276" w:lineRule="auto"/>
              <w:rPr>
                <w:sz w:val="22"/>
                <w:szCs w:val="22"/>
              </w:rPr>
            </w:pPr>
            <w:r>
              <w:rPr>
                <w:sz w:val="22"/>
                <w:szCs w:val="22"/>
              </w:rPr>
              <w:t>(nicht berichtet)</w:t>
            </w:r>
          </w:p>
          <w:p>
            <w:pPr>
              <w:pStyle w:val="Liste2"/>
            </w:pPr>
            <w:r>
              <w:t xml:space="preserve">Folien </w:t>
            </w:r>
            <w:hyperlink r:id="rId11" w:history="1">
              <w:proofErr w:type="spellStart"/>
              <w:r>
                <w:rPr>
                  <w:rStyle w:val="Hyperlink"/>
                </w:rPr>
                <w:t>hi</w:t>
              </w:r>
              <w:r>
                <w:rPr>
                  <w:rStyle w:val="Hyperlink"/>
                </w:rPr>
                <w:t>e</w:t>
              </w:r>
              <w:r>
                <w:rPr>
                  <w:rStyle w:val="Hyperlink"/>
                </w:rPr>
                <w:t>r</w:t>
              </w:r>
              <w:proofErr w:type="spellEnd"/>
            </w:hyperlink>
          </w:p>
          <w:p>
            <w:pPr>
              <w:pStyle w:val="Liste2"/>
            </w:pPr>
            <w:proofErr w:type="spellStart"/>
            <w:r>
              <w:t>Weltweit</w:t>
            </w:r>
            <w:proofErr w:type="spellEnd"/>
            <w:r>
              <w:t xml:space="preserve">: </w:t>
            </w:r>
            <w:proofErr w:type="spellStart"/>
            <w:r>
              <w:t>Fälle</w:t>
            </w:r>
            <w:proofErr w:type="spellEnd"/>
            <w:r>
              <w:t xml:space="preserve">, </w:t>
            </w:r>
            <w:proofErr w:type="spellStart"/>
            <w:r>
              <w:t>Todesfälle</w:t>
            </w:r>
            <w:proofErr w:type="spellEnd"/>
          </w:p>
          <w:p>
            <w:pPr>
              <w:pStyle w:val="Liste2"/>
            </w:pPr>
            <w:proofErr w:type="spellStart"/>
            <w:r>
              <w:t>Datenstand</w:t>
            </w:r>
            <w:proofErr w:type="spellEnd"/>
            <w:r>
              <w:t>: WHO, 25.10.2022</w:t>
            </w:r>
          </w:p>
          <w:p>
            <w:pPr>
              <w:pStyle w:val="Liste2"/>
              <w:rPr>
                <w:lang w:val="de-DE"/>
              </w:rPr>
            </w:pPr>
            <w:r>
              <w:rPr>
                <w:lang w:val="de-DE"/>
              </w:rPr>
              <w:t xml:space="preserve">Übersicht der Prozent-Veränderungen in den letzten 7 Tagen: Global betrachtet sinken die Fall- und Todesfallzahlen </w:t>
            </w:r>
          </w:p>
          <w:p>
            <w:pPr>
              <w:pStyle w:val="Liste2"/>
              <w:rPr>
                <w:lang w:val="de-DE"/>
              </w:rPr>
            </w:pPr>
            <w:r>
              <w:rPr>
                <w:lang w:val="de-DE"/>
              </w:rPr>
              <w:t>Amerika (+3.5%, aufgrund der Anstiege in Inselstaaten, und Anstieg in Chile); Asien: Anstieg Todesfallzahlen</w:t>
            </w:r>
          </w:p>
          <w:p>
            <w:pPr>
              <w:pStyle w:val="Liste2"/>
              <w:rPr>
                <w:lang w:val="de-DE"/>
              </w:rPr>
            </w:pPr>
            <w:r>
              <w:rPr>
                <w:lang w:val="de-DE"/>
              </w:rPr>
              <w:t xml:space="preserve">Situation in Europa: höchste 7TI in Österreich, gefolgt von D und F, Fallzahlen insgesamt sinkend (verschiedene Teststrategien spielen hier </w:t>
            </w:r>
            <w:proofErr w:type="gramStart"/>
            <w:r>
              <w:rPr>
                <w:lang w:val="de-DE"/>
              </w:rPr>
              <w:t>mit eine Rolle</w:t>
            </w:r>
            <w:proofErr w:type="gramEnd"/>
            <w:r>
              <w:rPr>
                <w:lang w:val="de-DE"/>
              </w:rPr>
              <w:t>)</w:t>
            </w:r>
          </w:p>
          <w:p>
            <w:pPr>
              <w:pStyle w:val="Liste2"/>
              <w:rPr>
                <w:lang w:val="de-DE"/>
              </w:rPr>
            </w:pPr>
            <w:r>
              <w:rPr>
                <w:lang w:val="de-DE"/>
              </w:rPr>
              <w:t xml:space="preserve">ECDC Information/Einschätzung: nur wenige Länder melden noch Anstiege; In Ländern, in denen Anstiege zu verzeichnen sind, verlangsamen sich diese. Situation Ü65: Fallzahlen steigen; erhöhte Transmission und Todesfälle in Langzeitpflegeeinrichtungen. </w:t>
            </w:r>
          </w:p>
          <w:p>
            <w:pPr>
              <w:pStyle w:val="Liste2"/>
              <w:rPr>
                <w:lang w:val="de-DE"/>
              </w:rPr>
            </w:pPr>
            <w:r>
              <w:rPr>
                <w:lang w:val="de-DE"/>
              </w:rPr>
              <w:t>BQ.1 (</w:t>
            </w:r>
            <w:proofErr w:type="spellStart"/>
            <w:r>
              <w:rPr>
                <w:lang w:val="de-DE"/>
              </w:rPr>
              <w:t>Sublinie</w:t>
            </w:r>
            <w:proofErr w:type="spellEnd"/>
            <w:r>
              <w:rPr>
                <w:lang w:val="de-DE"/>
              </w:rPr>
              <w:t xml:space="preserve"> von BA.5): am 20.10 von der ECDC als Variant </w:t>
            </w:r>
            <w:proofErr w:type="spellStart"/>
            <w:r>
              <w:rPr>
                <w:lang w:val="de-DE"/>
              </w:rPr>
              <w:t>of</w:t>
            </w:r>
            <w:proofErr w:type="spellEnd"/>
            <w:r>
              <w:rPr>
                <w:lang w:val="de-DE"/>
              </w:rPr>
              <w:t xml:space="preserve"> Interest eingestuft. In F Anteil im Vergleich zu anderen Ländern mit 19% am höchsten; USA; 11%; Immunevasion als Ursache für Anstieg (2 zusätzliche Mutationen im Spike-Protein); eine erhöhte Krankheitsschwere ist bisher nicht zu beobachten; Modellierung ECDC: eine Dominanz von BQ.1 in Europa wird für Mitte Nov/Anfang Dez erwartet; </w:t>
            </w:r>
          </w:p>
          <w:p>
            <w:pPr>
              <w:pStyle w:val="Liste2"/>
              <w:numPr>
                <w:ilvl w:val="0"/>
                <w:numId w:val="0"/>
              </w:numPr>
              <w:ind w:left="833"/>
              <w:rPr>
                <w:lang w:val="de-DE"/>
              </w:rPr>
            </w:pPr>
          </w:p>
          <w:p>
            <w:pPr>
              <w:pStyle w:val="2"/>
              <w:rPr>
                <w:sz w:val="22"/>
                <w:szCs w:val="22"/>
              </w:rPr>
            </w:pPr>
            <w:r>
              <w:rPr>
                <w:sz w:val="22"/>
                <w:szCs w:val="22"/>
              </w:rPr>
              <w:t xml:space="preserve">National </w:t>
            </w:r>
          </w:p>
          <w:p>
            <w:pPr>
              <w:pStyle w:val="Liste2"/>
            </w:pPr>
            <w:r>
              <w:t xml:space="preserve">Fallzahlen, Todesfälle, Trend, Folien </w:t>
            </w:r>
            <w:hyperlink r:id="rId12" w:history="1">
              <w:proofErr w:type="spellStart"/>
              <w:r>
                <w:rPr>
                  <w:rStyle w:val="Hyperlink"/>
                </w:rPr>
                <w:t>h</w:t>
              </w:r>
              <w:r>
                <w:rPr>
                  <w:rStyle w:val="Hyperlink"/>
                </w:rPr>
                <w:t>ier</w:t>
              </w:r>
              <w:proofErr w:type="spellEnd"/>
            </w:hyperlink>
          </w:p>
          <w:p>
            <w:pPr>
              <w:pStyle w:val="Liste2"/>
              <w:rPr>
                <w:lang w:val="de-DE"/>
              </w:rPr>
            </w:pPr>
            <w:proofErr w:type="spellStart"/>
            <w:r>
              <w:rPr>
                <w:lang w:val="de-DE"/>
              </w:rPr>
              <w:t>SurvNet</w:t>
            </w:r>
            <w:proofErr w:type="spellEnd"/>
            <w:r>
              <w:rPr>
                <w:lang w:val="de-DE"/>
              </w:rPr>
              <w:t xml:space="preserve"> übermittelt: 35.383.015 (+94.787), davon 152.997 (+242) Todesfälle </w:t>
            </w:r>
          </w:p>
          <w:p>
            <w:pPr>
              <w:pStyle w:val="Liste2"/>
            </w:pPr>
            <w:r>
              <w:t xml:space="preserve">7-Tage-Inzidenz: 528/100.000 </w:t>
            </w:r>
            <w:proofErr w:type="spellStart"/>
            <w:r>
              <w:t>Einw</w:t>
            </w:r>
            <w:proofErr w:type="spellEnd"/>
            <w:r>
              <w:t>.</w:t>
            </w:r>
          </w:p>
          <w:p>
            <w:pPr>
              <w:pStyle w:val="Liste2"/>
            </w:pPr>
            <w:r>
              <w:t xml:space="preserve">7-Tages-Hospital.Inzidenz: 10,6/100.000 </w:t>
            </w:r>
            <w:proofErr w:type="spellStart"/>
            <w:r>
              <w:t>Einw</w:t>
            </w:r>
            <w:proofErr w:type="spellEnd"/>
            <w:r>
              <w:t>.</w:t>
            </w:r>
          </w:p>
          <w:p>
            <w:pPr>
              <w:pStyle w:val="Liste2"/>
              <w:numPr>
                <w:ilvl w:val="0"/>
                <w:numId w:val="10"/>
              </w:numPr>
              <w:ind w:left="828" w:hanging="357"/>
              <w:rPr>
                <w:lang w:val="de-DE"/>
              </w:rPr>
            </w:pPr>
            <w:r>
              <w:rPr>
                <w:lang w:val="de-DE"/>
              </w:rPr>
              <w:t>Die Anzahl der aktiven Fälle nimmt ab, Anzahl Hospitalisierte pro Tag ebenfalls rückläufig. Bei Verstorbenen bisher kein Rückgang.</w:t>
            </w:r>
          </w:p>
          <w:p>
            <w:pPr>
              <w:pStyle w:val="Liste2"/>
              <w:numPr>
                <w:ilvl w:val="0"/>
                <w:numId w:val="10"/>
              </w:numPr>
              <w:ind w:left="828" w:hanging="357"/>
              <w:rPr>
                <w:lang w:val="de-DE"/>
              </w:rPr>
            </w:pPr>
            <w:r>
              <w:rPr>
                <w:lang w:val="de-DE"/>
              </w:rPr>
              <w:t xml:space="preserve">Rückgang 7TI in allen BL zu beobachten, Peak wurde vor 2 Wochen erreicht. </w:t>
            </w:r>
          </w:p>
          <w:p>
            <w:pPr>
              <w:pStyle w:val="Liste2"/>
              <w:numPr>
                <w:ilvl w:val="0"/>
                <w:numId w:val="10"/>
              </w:numPr>
              <w:ind w:left="828" w:hanging="357"/>
              <w:rPr>
                <w:lang w:val="de-DE"/>
              </w:rPr>
            </w:pPr>
            <w:proofErr w:type="spellStart"/>
            <w:r>
              <w:rPr>
                <w:lang w:val="de-DE"/>
              </w:rPr>
              <w:t>Heatmap</w:t>
            </w:r>
            <w:proofErr w:type="spellEnd"/>
            <w:r>
              <w:rPr>
                <w:lang w:val="de-DE"/>
              </w:rPr>
              <w:t xml:space="preserve"> Altersgruppen: In D anderer Trend als in übrigen </w:t>
            </w:r>
            <w:proofErr w:type="spellStart"/>
            <w:r>
              <w:rPr>
                <w:lang w:val="de-DE"/>
              </w:rPr>
              <w:t>europ</w:t>
            </w:r>
            <w:proofErr w:type="spellEnd"/>
            <w:r>
              <w:rPr>
                <w:lang w:val="de-DE"/>
              </w:rPr>
              <w:t xml:space="preserve">. Ländern: in allen Altersgruppen Rückgang zu beobachten im Vergleich zur KW40. </w:t>
            </w:r>
          </w:p>
          <w:p>
            <w:pPr>
              <w:pStyle w:val="Liste2"/>
              <w:numPr>
                <w:ilvl w:val="0"/>
                <w:numId w:val="10"/>
              </w:numPr>
              <w:ind w:left="828" w:hanging="357"/>
              <w:rPr>
                <w:lang w:val="de-DE"/>
              </w:rPr>
            </w:pPr>
            <w:r>
              <w:rPr>
                <w:lang w:val="de-DE"/>
              </w:rPr>
              <w:t>Bei Todesfallzahlen ist noch kein Rückgang bemerkbar;</w:t>
            </w:r>
          </w:p>
          <w:p>
            <w:pPr>
              <w:pStyle w:val="Liste2"/>
              <w:numPr>
                <w:ilvl w:val="0"/>
                <w:numId w:val="10"/>
              </w:numPr>
              <w:ind w:left="828" w:hanging="357"/>
              <w:rPr>
                <w:lang w:val="de-DE"/>
              </w:rPr>
            </w:pPr>
            <w:r>
              <w:rPr>
                <w:lang w:val="de-DE"/>
              </w:rPr>
              <w:t>Destatis: nichts Auffälliges</w:t>
            </w:r>
          </w:p>
          <w:p>
            <w:pPr>
              <w:pStyle w:val="Liste2"/>
              <w:numPr>
                <w:ilvl w:val="0"/>
                <w:numId w:val="0"/>
              </w:numPr>
              <w:ind w:left="833" w:hanging="360"/>
              <w:rPr>
                <w:lang w:val="de-DE"/>
              </w:rPr>
            </w:pPr>
          </w:p>
          <w:p>
            <w:pPr>
              <w:pStyle w:val="Liste2"/>
              <w:numPr>
                <w:ilvl w:val="0"/>
                <w:numId w:val="0"/>
              </w:numPr>
              <w:rPr>
                <w:bCs/>
                <w:i/>
                <w:color w:val="D99594" w:themeColor="accent2" w:themeTint="99"/>
                <w:lang w:val="de-DE"/>
              </w:rPr>
            </w:pPr>
            <w:r>
              <w:rPr>
                <w:u w:val="single"/>
                <w:lang w:val="de-DE"/>
              </w:rPr>
              <w:t>Zahlen zum DIVI-Intensivregister ,</w:t>
            </w:r>
            <w:r>
              <w:rPr>
                <w:lang w:val="de-DE"/>
              </w:rPr>
              <w:t xml:space="preserve"> Folien </w:t>
            </w:r>
            <w:hyperlink r:id="rId13" w:history="1">
              <w:r>
                <w:rPr>
                  <w:rStyle w:val="Hyperlink"/>
                  <w:highlight w:val="yellow"/>
                  <w:lang w:val="de-DE"/>
                </w:rPr>
                <w:t>hi</w:t>
              </w:r>
              <w:r>
                <w:rPr>
                  <w:rStyle w:val="Hyperlink"/>
                  <w:highlight w:val="yellow"/>
                  <w:lang w:val="de-DE"/>
                </w:rPr>
                <w:t>er</w:t>
              </w:r>
            </w:hyperlink>
          </w:p>
          <w:p>
            <w:pPr>
              <w:pStyle w:val="Liste2"/>
              <w:numPr>
                <w:ilvl w:val="0"/>
                <w:numId w:val="11"/>
              </w:numPr>
              <w:ind w:left="828" w:hanging="357"/>
              <w:rPr>
                <w:rStyle w:val="TagMiZchn"/>
                <w:b w:val="0"/>
                <w:bCs/>
                <w:i w:val="0"/>
                <w:color w:val="auto"/>
                <w:lang w:val="de-DE"/>
              </w:rPr>
            </w:pPr>
            <w:r>
              <w:rPr>
                <w:rStyle w:val="TagMiZchn"/>
                <w:b w:val="0"/>
                <w:bCs/>
                <w:i w:val="0"/>
                <w:color w:val="auto"/>
                <w:lang w:val="de-DE"/>
              </w:rPr>
              <w:t>Stand 26.10.22: 1729 COVID Patientinnen auf IST</w:t>
            </w:r>
          </w:p>
          <w:p>
            <w:pPr>
              <w:pStyle w:val="Liste2"/>
              <w:numPr>
                <w:ilvl w:val="0"/>
                <w:numId w:val="11"/>
              </w:numPr>
              <w:ind w:left="828" w:hanging="357"/>
              <w:rPr>
                <w:rStyle w:val="TagMiZchn"/>
                <w:b w:val="0"/>
                <w:bCs/>
                <w:i w:val="0"/>
                <w:color w:val="auto"/>
                <w:lang w:val="de-DE"/>
              </w:rPr>
            </w:pPr>
            <w:r>
              <w:rPr>
                <w:rStyle w:val="TagMiZchn"/>
                <w:b w:val="0"/>
                <w:bCs/>
                <w:i w:val="0"/>
                <w:color w:val="auto"/>
                <w:lang w:val="de-DE"/>
              </w:rPr>
              <w:t>Anstieg bzw. Seitwärtsbewegung der COVID-ITS-Belegung</w:t>
            </w:r>
          </w:p>
          <w:p>
            <w:pPr>
              <w:pStyle w:val="Liste2"/>
              <w:numPr>
                <w:ilvl w:val="0"/>
                <w:numId w:val="11"/>
              </w:numPr>
              <w:ind w:left="828" w:hanging="357"/>
              <w:rPr>
                <w:rStyle w:val="TagMiZchn"/>
                <w:b w:val="0"/>
                <w:bCs/>
                <w:lang w:val="de-DE"/>
              </w:rPr>
            </w:pPr>
            <w:r>
              <w:rPr>
                <w:rStyle w:val="TagMiZchn"/>
                <w:b w:val="0"/>
                <w:bCs/>
                <w:i w:val="0"/>
                <w:color w:val="auto"/>
                <w:lang w:val="de-DE"/>
              </w:rPr>
              <w:t>ITS-COVID-Neuaufnahmen mit +1.503 in den letzten 7 Tagen. Auch hier Rückgang.</w:t>
            </w:r>
            <w:r>
              <w:rPr>
                <w:rStyle w:val="TagMiZchn"/>
                <w:b w:val="0"/>
                <w:bCs/>
                <w:lang w:val="de-DE"/>
              </w:rPr>
              <w:t xml:space="preserve"> </w:t>
            </w:r>
          </w:p>
          <w:p>
            <w:pPr>
              <w:pStyle w:val="Liste2"/>
              <w:numPr>
                <w:ilvl w:val="0"/>
                <w:numId w:val="11"/>
              </w:numPr>
              <w:rPr>
                <w:lang w:val="de-DE"/>
              </w:rPr>
            </w:pPr>
            <w:proofErr w:type="spellStart"/>
            <w:r>
              <w:rPr>
                <w:lang w:val="de-DE"/>
              </w:rPr>
              <w:lastRenderedPageBreak/>
              <w:t>Verstorbenenzahlen</w:t>
            </w:r>
            <w:proofErr w:type="spellEnd"/>
            <w:r>
              <w:rPr>
                <w:lang w:val="de-DE"/>
              </w:rPr>
              <w:t xml:space="preserve">: noch auf Plateau. </w:t>
            </w:r>
          </w:p>
          <w:p>
            <w:pPr>
              <w:pStyle w:val="Liste2"/>
              <w:numPr>
                <w:ilvl w:val="0"/>
                <w:numId w:val="11"/>
              </w:numPr>
              <w:rPr>
                <w:lang w:val="de-DE"/>
              </w:rPr>
            </w:pPr>
            <w:r>
              <w:rPr>
                <w:lang w:val="de-DE"/>
              </w:rPr>
              <w:t xml:space="preserve">Behandlungsbelegung: Viele Patientinnen mit resp. Unterstützung im Vergleich zu den Vorwellen (nur Winter 2020/21 war höher). Anzahl ECMO-Behandlungen hat leicht zugenommen, ebenfalls Zunahme bei leichter Unterstützung und </w:t>
            </w:r>
            <w:proofErr w:type="spellStart"/>
            <w:r>
              <w:rPr>
                <w:lang w:val="de-DE"/>
              </w:rPr>
              <w:t>Highflow</w:t>
            </w:r>
            <w:proofErr w:type="spellEnd"/>
            <w:r>
              <w:rPr>
                <w:lang w:val="de-DE"/>
              </w:rPr>
              <w:t xml:space="preserve">. </w:t>
            </w:r>
          </w:p>
          <w:p>
            <w:pPr>
              <w:pStyle w:val="Liste2"/>
              <w:numPr>
                <w:ilvl w:val="0"/>
                <w:numId w:val="11"/>
              </w:numPr>
              <w:rPr>
                <w:lang w:val="de-DE"/>
              </w:rPr>
            </w:pPr>
            <w:r>
              <w:rPr>
                <w:lang w:val="de-DE"/>
              </w:rPr>
              <w:t xml:space="preserve">Ein relativ großer Teil an unbekannten Behandlungen zu verzeichnen. Nebenbefunde? Kann nicht differenziert werden. </w:t>
            </w:r>
          </w:p>
          <w:p>
            <w:pPr>
              <w:pStyle w:val="Liste2"/>
              <w:numPr>
                <w:ilvl w:val="0"/>
                <w:numId w:val="11"/>
              </w:numPr>
              <w:rPr>
                <w:lang w:val="de-DE"/>
              </w:rPr>
            </w:pPr>
            <w:r>
              <w:rPr>
                <w:lang w:val="de-DE"/>
              </w:rPr>
              <w:t>Einschätzung der Betriebssituation: 64% teilweise bzw. stark eingeschränkt. Hauptgründe: Personalausfälle durch Krankheit</w:t>
            </w:r>
          </w:p>
          <w:p>
            <w:pPr>
              <w:pStyle w:val="Liste2"/>
              <w:numPr>
                <w:ilvl w:val="0"/>
                <w:numId w:val="11"/>
              </w:numPr>
              <w:rPr>
                <w:lang w:val="de-DE"/>
              </w:rPr>
            </w:pPr>
            <w:r>
              <w:rPr>
                <w:lang w:val="de-DE"/>
              </w:rPr>
              <w:t xml:space="preserve">Altersverteilung: Belegungen werden dominiert (wie zuvor auch) durch 70-79 und Ü80-Jährige; </w:t>
            </w:r>
          </w:p>
          <w:p>
            <w:pPr>
              <w:pStyle w:val="Liste2"/>
              <w:numPr>
                <w:ilvl w:val="0"/>
                <w:numId w:val="11"/>
              </w:numPr>
              <w:rPr>
                <w:lang w:val="de-DE"/>
              </w:rPr>
            </w:pPr>
            <w:r>
              <w:rPr>
                <w:lang w:val="de-DE"/>
              </w:rPr>
              <w:t xml:space="preserve">Seitwärtsbewegung in </w:t>
            </w:r>
            <w:proofErr w:type="spellStart"/>
            <w:r>
              <w:rPr>
                <w:lang w:val="de-DE"/>
              </w:rPr>
              <w:t>SPoCK</w:t>
            </w:r>
            <w:proofErr w:type="spellEnd"/>
            <w:r>
              <w:rPr>
                <w:lang w:val="de-DE"/>
              </w:rPr>
              <w:t xml:space="preserve"> prognostiziert. </w:t>
            </w:r>
          </w:p>
          <w:p>
            <w:pPr>
              <w:pStyle w:val="Liste2"/>
              <w:numPr>
                <w:ilvl w:val="0"/>
                <w:numId w:val="0"/>
              </w:numPr>
              <w:ind w:left="833" w:hanging="360"/>
              <w:rPr>
                <w:lang w:val="de-DE"/>
              </w:rPr>
            </w:pPr>
          </w:p>
          <w:p>
            <w:pPr>
              <w:pStyle w:val="Liste2"/>
              <w:numPr>
                <w:ilvl w:val="0"/>
                <w:numId w:val="0"/>
              </w:numPr>
              <w:rPr>
                <w:rStyle w:val="TagMiZchn"/>
                <w:b w:val="0"/>
                <w:bCs/>
                <w:u w:val="single"/>
                <w:lang w:val="de-DE"/>
              </w:rPr>
            </w:pPr>
            <w:r>
              <w:rPr>
                <w:rStyle w:val="3Zchn"/>
                <w:b w:val="0"/>
                <w:u w:val="single"/>
                <w:lang w:val="de-DE"/>
              </w:rPr>
              <w:t>Testkapazität und Testungen</w:t>
            </w:r>
            <w:r>
              <w:rPr>
                <w:u w:val="single"/>
                <w:lang w:val="de-DE"/>
              </w:rPr>
              <w:t xml:space="preserve"> </w:t>
            </w:r>
          </w:p>
          <w:p>
            <w:pPr>
              <w:pStyle w:val="Liste2"/>
            </w:pPr>
            <w:r>
              <w:t>(nicht berichtet)</w:t>
            </w:r>
          </w:p>
          <w:p>
            <w:pPr>
              <w:pStyle w:val="Liste2"/>
              <w:numPr>
                <w:ilvl w:val="0"/>
                <w:numId w:val="0"/>
              </w:numPr>
              <w:rPr>
                <w:u w:val="single"/>
              </w:rPr>
            </w:pPr>
            <w:r>
              <w:rPr>
                <w:u w:val="single"/>
              </w:rPr>
              <w:t xml:space="preserve">ARS-Daten </w:t>
            </w:r>
          </w:p>
          <w:p>
            <w:pPr>
              <w:pStyle w:val="Liste2"/>
            </w:pPr>
            <w:r>
              <w:t>(nicht berichtet)</w:t>
            </w:r>
          </w:p>
          <w:p>
            <w:pPr>
              <w:pStyle w:val="Liste2"/>
              <w:numPr>
                <w:ilvl w:val="0"/>
                <w:numId w:val="0"/>
              </w:numPr>
              <w:ind w:left="833"/>
            </w:pPr>
          </w:p>
          <w:p>
            <w:pPr>
              <w:pStyle w:val="Liste2"/>
              <w:numPr>
                <w:ilvl w:val="0"/>
                <w:numId w:val="0"/>
              </w:numPr>
              <w:rPr>
                <w:lang w:val="de-DE"/>
              </w:rPr>
            </w:pPr>
            <w:r>
              <w:rPr>
                <w:u w:val="single"/>
                <w:lang w:val="de-DE"/>
              </w:rPr>
              <w:t>VOC und Molekulare Surveillance</w:t>
            </w:r>
            <w:r>
              <w:rPr>
                <w:lang w:val="de-DE"/>
              </w:rPr>
              <w:t xml:space="preserve">, Folien </w:t>
            </w:r>
            <w:hyperlink r:id="rId14" w:history="1">
              <w:r>
                <w:rPr>
                  <w:rStyle w:val="Hyperlink"/>
                  <w:lang w:val="de-DE"/>
                </w:rPr>
                <w:t>h</w:t>
              </w:r>
              <w:r>
                <w:rPr>
                  <w:rStyle w:val="Hyperlink"/>
                  <w:lang w:val="de-DE"/>
                </w:rPr>
                <w:t>ier</w:t>
              </w:r>
            </w:hyperlink>
            <w:r>
              <w:rPr>
                <w:lang w:val="de-DE"/>
              </w:rPr>
              <w:t xml:space="preserve"> </w:t>
            </w:r>
          </w:p>
          <w:p>
            <w:pPr>
              <w:pStyle w:val="Liste2"/>
              <w:numPr>
                <w:ilvl w:val="0"/>
                <w:numId w:val="12"/>
              </w:numPr>
              <w:ind w:left="828" w:hanging="357"/>
              <w:rPr>
                <w:lang w:val="de-DE"/>
              </w:rPr>
            </w:pPr>
            <w:r>
              <w:rPr>
                <w:lang w:val="de-DE"/>
              </w:rPr>
              <w:t xml:space="preserve">Leichter Rückgang bei Anteil an Genomsequenzierungen: unter 1%; </w:t>
            </w:r>
          </w:p>
          <w:p>
            <w:pPr>
              <w:pStyle w:val="Liste2"/>
              <w:numPr>
                <w:ilvl w:val="0"/>
                <w:numId w:val="12"/>
              </w:numPr>
              <w:ind w:left="828" w:hanging="357"/>
              <w:rPr>
                <w:lang w:val="de-DE"/>
              </w:rPr>
            </w:pPr>
            <w:r>
              <w:rPr>
                <w:lang w:val="de-DE"/>
              </w:rPr>
              <w:t xml:space="preserve">Anteile für einzelne Varianten: Bild weiterhin stabil: BA.5 dominiert mit über 96%, BA.2 leichte Zunahme. BA.4 rückläufig. </w:t>
            </w:r>
          </w:p>
          <w:p>
            <w:pPr>
              <w:pStyle w:val="Liste2"/>
              <w:numPr>
                <w:ilvl w:val="0"/>
                <w:numId w:val="12"/>
              </w:numPr>
              <w:ind w:left="828" w:hanging="357"/>
              <w:rPr>
                <w:lang w:val="de-DE"/>
              </w:rPr>
            </w:pPr>
            <w:r>
              <w:rPr>
                <w:lang w:val="de-DE"/>
              </w:rPr>
              <w:t>BF.7 (</w:t>
            </w:r>
            <w:proofErr w:type="spellStart"/>
            <w:r>
              <w:rPr>
                <w:lang w:val="de-DE"/>
              </w:rPr>
              <w:t>Sublinie</w:t>
            </w:r>
            <w:proofErr w:type="spellEnd"/>
            <w:r>
              <w:rPr>
                <w:lang w:val="de-DE"/>
              </w:rPr>
              <w:t xml:space="preserve"> von BA.5): höchsten Anteil an allen BA.5 Sublinien (16%); alle anderen Sublinien recht stabil. </w:t>
            </w:r>
          </w:p>
          <w:p>
            <w:pPr>
              <w:pStyle w:val="Liste2"/>
              <w:numPr>
                <w:ilvl w:val="0"/>
                <w:numId w:val="12"/>
              </w:numPr>
              <w:ind w:left="828" w:hanging="357"/>
              <w:rPr>
                <w:lang w:val="de-DE"/>
              </w:rPr>
            </w:pPr>
            <w:proofErr w:type="spellStart"/>
            <w:r>
              <w:rPr>
                <w:lang w:val="de-DE"/>
              </w:rPr>
              <w:t>Pangolin</w:t>
            </w:r>
            <w:proofErr w:type="spellEnd"/>
            <w:r>
              <w:rPr>
                <w:lang w:val="de-DE"/>
              </w:rPr>
              <w:t xml:space="preserve"> Update hat einige Linien in Sublinien aufgeteilt. </w:t>
            </w:r>
          </w:p>
          <w:p>
            <w:pPr>
              <w:pStyle w:val="Liste2"/>
              <w:numPr>
                <w:ilvl w:val="0"/>
                <w:numId w:val="12"/>
              </w:numPr>
              <w:ind w:left="828" w:hanging="357"/>
              <w:rPr>
                <w:lang w:val="de-DE"/>
              </w:rPr>
            </w:pPr>
            <w:r>
              <w:rPr>
                <w:lang w:val="de-DE"/>
              </w:rPr>
              <w:t xml:space="preserve">BQ1.1 und BQ1: deutliche Zunahme zu beobachten. </w:t>
            </w:r>
          </w:p>
          <w:p>
            <w:pPr>
              <w:pStyle w:val="Liste2"/>
              <w:numPr>
                <w:ilvl w:val="0"/>
                <w:numId w:val="12"/>
              </w:numPr>
              <w:ind w:left="828" w:hanging="357"/>
              <w:rPr>
                <w:lang w:val="de-DE"/>
              </w:rPr>
            </w:pPr>
            <w:r>
              <w:rPr>
                <w:lang w:val="de-DE"/>
              </w:rPr>
              <w:t>BF.7, BA.275.2 und BQ1.1: dieselbe Spike-Mutation</w:t>
            </w:r>
          </w:p>
          <w:p>
            <w:pPr>
              <w:pStyle w:val="Liste2"/>
              <w:numPr>
                <w:ilvl w:val="0"/>
                <w:numId w:val="0"/>
              </w:numPr>
              <w:ind w:left="833" w:hanging="360"/>
              <w:rPr>
                <w:lang w:val="de-DE"/>
              </w:rPr>
            </w:pPr>
          </w:p>
          <w:p>
            <w:pPr>
              <w:pStyle w:val="Liste2"/>
              <w:numPr>
                <w:ilvl w:val="0"/>
                <w:numId w:val="0"/>
              </w:numPr>
              <w:rPr>
                <w:rStyle w:val="TagMiZchn"/>
                <w:b w:val="0"/>
                <w:i w:val="0"/>
                <w:color w:val="auto"/>
                <w:lang w:val="de-DE"/>
              </w:rPr>
            </w:pPr>
            <w:proofErr w:type="spellStart"/>
            <w:r>
              <w:rPr>
                <w:u w:val="single"/>
                <w:lang w:val="de-DE"/>
              </w:rPr>
              <w:t>Syndromische</w:t>
            </w:r>
            <w:proofErr w:type="spellEnd"/>
            <w:r>
              <w:rPr>
                <w:u w:val="single"/>
                <w:lang w:val="de-DE"/>
              </w:rPr>
              <w:t xml:space="preserve"> und virologische ARE-Surveillance</w:t>
            </w:r>
            <w:r>
              <w:rPr>
                <w:lang w:val="de-DE"/>
              </w:rPr>
              <w:t xml:space="preserve">, Folien </w:t>
            </w:r>
            <w:hyperlink r:id="rId15" w:history="1">
              <w:r>
                <w:rPr>
                  <w:rStyle w:val="Hyperlink"/>
                  <w:lang w:val="de-DE"/>
                </w:rPr>
                <w:t>hi</w:t>
              </w:r>
              <w:r>
                <w:rPr>
                  <w:rStyle w:val="Hyperlink"/>
                  <w:lang w:val="de-DE"/>
                </w:rPr>
                <w:t>er</w:t>
              </w:r>
            </w:hyperlink>
            <w:r>
              <w:rPr>
                <w:rStyle w:val="TagMiZchn"/>
                <w:lang w:val="de-DE"/>
              </w:rPr>
              <w:t xml:space="preserve"> </w:t>
            </w:r>
          </w:p>
          <w:p>
            <w:pPr>
              <w:pStyle w:val="Liste2"/>
              <w:numPr>
                <w:ilvl w:val="0"/>
                <w:numId w:val="13"/>
              </w:numPr>
              <w:rPr>
                <w:lang w:val="de-DE"/>
              </w:rPr>
            </w:pPr>
            <w:r>
              <w:rPr>
                <w:lang w:val="de-DE"/>
              </w:rPr>
              <w:t>ARE Rate geht deutlich zurück.</w:t>
            </w:r>
          </w:p>
          <w:p>
            <w:pPr>
              <w:pStyle w:val="Liste2"/>
              <w:numPr>
                <w:ilvl w:val="0"/>
                <w:numId w:val="13"/>
              </w:numPr>
              <w:rPr>
                <w:lang w:val="de-DE"/>
              </w:rPr>
            </w:pPr>
            <w:proofErr w:type="spellStart"/>
            <w:r>
              <w:rPr>
                <w:lang w:val="de-DE"/>
              </w:rPr>
              <w:t>GrippeWeb</w:t>
            </w:r>
            <w:proofErr w:type="spellEnd"/>
            <w:r>
              <w:rPr>
                <w:lang w:val="de-DE"/>
              </w:rPr>
              <w:t xml:space="preserve">: 6.700 ARE (Vorwoche: 7.300) pro 100.000 EinwohnerInnen; Entspricht einer Gesamtzahl von </w:t>
            </w:r>
          </w:p>
          <w:p>
            <w:pPr>
              <w:pStyle w:val="Liste2"/>
              <w:numPr>
                <w:ilvl w:val="0"/>
                <w:numId w:val="0"/>
              </w:numPr>
              <w:ind w:left="1193"/>
              <w:rPr>
                <w:lang w:val="de-DE"/>
              </w:rPr>
            </w:pPr>
            <w:r>
              <w:rPr>
                <w:lang w:val="de-DE"/>
              </w:rPr>
              <w:t>5,6 Mio. ARE in Deutschland, unabhängig von einem Arztbesuch (41. KW: ca. 6,1 Millionen)</w:t>
            </w:r>
          </w:p>
          <w:p>
            <w:pPr>
              <w:pStyle w:val="Liste2"/>
              <w:numPr>
                <w:ilvl w:val="0"/>
                <w:numId w:val="13"/>
              </w:numPr>
              <w:rPr>
                <w:lang w:val="de-DE"/>
              </w:rPr>
            </w:pPr>
            <w:r>
              <w:rPr>
                <w:lang w:val="de-DE"/>
              </w:rPr>
              <w:t>ARE-Rate: Im Vergleich zur Vorwoche:</w:t>
            </w:r>
            <w:r>
              <w:rPr>
                <w:sz w:val="24"/>
                <w:szCs w:val="24"/>
                <w:lang w:val="de-DE"/>
              </w:rPr>
              <w:t xml:space="preserve"> Anstieg bei Kleinkindern und jungen Erwachsenen, in allen anderen Altersgruppen gesunken</w:t>
            </w:r>
          </w:p>
          <w:p>
            <w:pPr>
              <w:pStyle w:val="Liste2"/>
              <w:numPr>
                <w:ilvl w:val="0"/>
                <w:numId w:val="13"/>
              </w:numPr>
              <w:rPr>
                <w:lang w:val="de-DE"/>
              </w:rPr>
            </w:pPr>
            <w:r>
              <w:rPr>
                <w:lang w:val="de-DE"/>
              </w:rPr>
              <w:t>AGI- ARE Konsultationen: Im Vergleich zur 41. KW 2022:</w:t>
            </w:r>
          </w:p>
          <w:p>
            <w:pPr>
              <w:pStyle w:val="Liste2"/>
              <w:numPr>
                <w:ilvl w:val="0"/>
                <w:numId w:val="0"/>
              </w:numPr>
              <w:ind w:left="1193"/>
              <w:rPr>
                <w:lang w:val="de-DE"/>
              </w:rPr>
            </w:pPr>
            <w:r>
              <w:rPr>
                <w:lang w:val="de-DE"/>
              </w:rPr>
              <w:t xml:space="preserve">Insgesamt deutlich gesunken; ca. 1.800 Arztkonsultationen wegen ARE pro 100.000 EW </w:t>
            </w:r>
          </w:p>
          <w:p>
            <w:pPr>
              <w:pStyle w:val="Liste2"/>
              <w:numPr>
                <w:ilvl w:val="0"/>
                <w:numId w:val="0"/>
              </w:numPr>
              <w:ind w:left="1193"/>
              <w:rPr>
                <w:sz w:val="24"/>
                <w:szCs w:val="24"/>
                <w:lang w:val="de-DE"/>
              </w:rPr>
            </w:pPr>
            <w:r>
              <w:rPr>
                <w:sz w:val="24"/>
                <w:szCs w:val="24"/>
                <w:lang w:val="de-DE"/>
              </w:rPr>
              <w:t>(42. KW 2022: ca. 1,5 Mio. Arztbesuche wegen ARE)</w:t>
            </w:r>
          </w:p>
          <w:p>
            <w:pPr>
              <w:pStyle w:val="Liste2"/>
              <w:numPr>
                <w:ilvl w:val="0"/>
                <w:numId w:val="13"/>
              </w:numPr>
              <w:rPr>
                <w:lang w:val="de-DE"/>
              </w:rPr>
            </w:pPr>
            <w:r>
              <w:rPr>
                <w:lang w:val="de-DE"/>
              </w:rPr>
              <w:t xml:space="preserve">ICOSARI: SARI Fälle insg. rückläufig. Auch im </w:t>
            </w:r>
            <w:proofErr w:type="spellStart"/>
            <w:r>
              <w:rPr>
                <w:lang w:val="de-DE"/>
              </w:rPr>
              <w:t>Intensivmed</w:t>
            </w:r>
            <w:proofErr w:type="spellEnd"/>
            <w:r>
              <w:rPr>
                <w:lang w:val="de-DE"/>
              </w:rPr>
              <w:t xml:space="preserve">. Bereich. </w:t>
            </w:r>
          </w:p>
          <w:p>
            <w:pPr>
              <w:pStyle w:val="Liste2"/>
              <w:numPr>
                <w:ilvl w:val="0"/>
                <w:numId w:val="13"/>
              </w:numPr>
              <w:rPr>
                <w:lang w:val="de-DE"/>
              </w:rPr>
            </w:pPr>
            <w:r>
              <w:rPr>
                <w:lang w:val="de-DE"/>
              </w:rPr>
              <w:t>Anteil COVID an SARI: stabil geblieben</w:t>
            </w:r>
          </w:p>
          <w:p>
            <w:pPr>
              <w:pStyle w:val="Liste2"/>
              <w:numPr>
                <w:ilvl w:val="0"/>
                <w:numId w:val="13"/>
              </w:numPr>
              <w:rPr>
                <w:lang w:val="de-DE"/>
              </w:rPr>
            </w:pPr>
            <w:r>
              <w:rPr>
                <w:lang w:val="de-DE"/>
              </w:rPr>
              <w:t>Anteil COVID an SARI mit Intensivbehandlung: ebenfalls stabil (Influenza: leichter Anstieg aber auf niedrigem Niveau).</w:t>
            </w:r>
          </w:p>
          <w:p>
            <w:pPr>
              <w:pStyle w:val="Liste2"/>
              <w:numPr>
                <w:ilvl w:val="0"/>
                <w:numId w:val="14"/>
              </w:numPr>
              <w:rPr>
                <w:lang w:val="de-DE"/>
              </w:rPr>
            </w:pPr>
            <w:r>
              <w:rPr>
                <w:lang w:val="de-DE"/>
              </w:rPr>
              <w:lastRenderedPageBreak/>
              <w:t xml:space="preserve">0-4-Jährige: RSV-Diagnosen stark angestiegen in den letzten Wochen (20%); SARS-CoV-2: 5%, zunehmend Influenza detektiert (wenn auch noch wenige Fälle, 4%); Influenza bei 5-14-Jährige: 10% </w:t>
            </w:r>
          </w:p>
          <w:p>
            <w:pPr>
              <w:pStyle w:val="Liste2"/>
              <w:numPr>
                <w:ilvl w:val="0"/>
                <w:numId w:val="14"/>
              </w:numPr>
              <w:rPr>
                <w:rStyle w:val="TagMiZchn"/>
                <w:b w:val="0"/>
                <w:i w:val="0"/>
                <w:color w:val="auto"/>
                <w:lang w:val="de-DE"/>
              </w:rPr>
            </w:pPr>
            <w:r>
              <w:rPr>
                <w:rStyle w:val="TagMiZchn"/>
                <w:b w:val="0"/>
                <w:i w:val="0"/>
                <w:color w:val="auto"/>
                <w:lang w:val="de-DE"/>
              </w:rPr>
              <w:t xml:space="preserve">Virologische Surveillance: Leichter Rückgang SARS-COV2 insgesamt zu verzeichnen. SARS-CoV-2: 34-60-Jährige und Ü60-Jährige am stärksten betroffen; Bei endemischen Coronaviren sehr wenig Aktivität. Deutlicher Anstieg der Influenza (H3N2); </w:t>
            </w:r>
            <w:proofErr w:type="spellStart"/>
            <w:r>
              <w:rPr>
                <w:rStyle w:val="TagMiZchn"/>
                <w:b w:val="0"/>
                <w:i w:val="0"/>
                <w:color w:val="auto"/>
                <w:lang w:val="de-DE"/>
              </w:rPr>
              <w:t>Positivenrate</w:t>
            </w:r>
            <w:proofErr w:type="spellEnd"/>
            <w:r>
              <w:rPr>
                <w:rStyle w:val="TagMiZchn"/>
                <w:b w:val="0"/>
                <w:i w:val="0"/>
                <w:color w:val="auto"/>
                <w:lang w:val="de-DE"/>
              </w:rPr>
              <w:t xml:space="preserve"> 16% - stärkstes Virus im Sentinel in KW42; Schüler am stärksten betroffen, aber Ausbreitung auf andere Altersgruppen zu beobachten. Bisher kein Nachweis bei Ü60; </w:t>
            </w:r>
            <w:proofErr w:type="spellStart"/>
            <w:r>
              <w:rPr>
                <w:rStyle w:val="TagMiZchn"/>
                <w:b w:val="0"/>
                <w:i w:val="0"/>
                <w:color w:val="auto"/>
                <w:lang w:val="de-DE"/>
              </w:rPr>
              <w:t>Rhinoviren</w:t>
            </w:r>
            <w:proofErr w:type="spellEnd"/>
            <w:r>
              <w:rPr>
                <w:rStyle w:val="TagMiZchn"/>
                <w:b w:val="0"/>
                <w:i w:val="0"/>
                <w:color w:val="auto"/>
                <w:lang w:val="de-DE"/>
              </w:rPr>
              <w:t xml:space="preserve"> und Parainfluenza-Viren gehen zurück, RSV-Anstieg auf 10% (in Übereinstimmung mit </w:t>
            </w:r>
            <w:proofErr w:type="spellStart"/>
            <w:r>
              <w:rPr>
                <w:rStyle w:val="TagMiZchn"/>
                <w:b w:val="0"/>
                <w:i w:val="0"/>
                <w:color w:val="auto"/>
                <w:lang w:val="de-DE"/>
              </w:rPr>
              <w:t>syndr</w:t>
            </w:r>
            <w:proofErr w:type="spellEnd"/>
            <w:r>
              <w:rPr>
                <w:rStyle w:val="TagMiZchn"/>
                <w:b w:val="0"/>
                <w:i w:val="0"/>
                <w:color w:val="auto"/>
                <w:lang w:val="de-DE"/>
              </w:rPr>
              <w:t>. Surveillance)</w:t>
            </w:r>
          </w:p>
          <w:p>
            <w:pPr>
              <w:pStyle w:val="Liste2"/>
              <w:numPr>
                <w:ilvl w:val="0"/>
                <w:numId w:val="0"/>
              </w:numPr>
              <w:rPr>
                <w:rStyle w:val="TagMiZchn"/>
                <w:lang w:val="de-DE"/>
              </w:rPr>
            </w:pPr>
          </w:p>
          <w:p>
            <w:pPr>
              <w:pStyle w:val="Liste2"/>
              <w:numPr>
                <w:ilvl w:val="0"/>
                <w:numId w:val="0"/>
              </w:numPr>
            </w:pPr>
            <w:proofErr w:type="spellStart"/>
            <w:r>
              <w:rPr>
                <w:u w:val="single"/>
              </w:rPr>
              <w:t>Fragen</w:t>
            </w:r>
            <w:proofErr w:type="spellEnd"/>
            <w:r>
              <w:rPr>
                <w:u w:val="single"/>
              </w:rPr>
              <w:t>/</w:t>
            </w:r>
            <w:proofErr w:type="spellStart"/>
            <w:r>
              <w:rPr>
                <w:u w:val="single"/>
              </w:rPr>
              <w:t>Zusätzliche</w:t>
            </w:r>
            <w:proofErr w:type="spellEnd"/>
            <w:r>
              <w:rPr>
                <w:u w:val="single"/>
              </w:rPr>
              <w:t xml:space="preserve"> </w:t>
            </w:r>
            <w:proofErr w:type="spellStart"/>
            <w:proofErr w:type="gramStart"/>
            <w:r>
              <w:rPr>
                <w:u w:val="single"/>
              </w:rPr>
              <w:t>Infos</w:t>
            </w:r>
            <w:proofErr w:type="spellEnd"/>
            <w:r>
              <w:t xml:space="preserve"> :</w:t>
            </w:r>
            <w:proofErr w:type="gramEnd"/>
          </w:p>
          <w:p>
            <w:pPr>
              <w:pStyle w:val="Liste2"/>
              <w:numPr>
                <w:ilvl w:val="0"/>
                <w:numId w:val="9"/>
              </w:numPr>
              <w:rPr>
                <w:lang w:val="de-DE"/>
              </w:rPr>
            </w:pPr>
            <w:r>
              <w:rPr>
                <w:lang w:val="de-DE"/>
              </w:rPr>
              <w:t xml:space="preserve">0-4-Jährige COVID-SARI: sieht aus als ob der Anteil erhöht wäre, aber zusätzlich hat ein gewisser Teil der Kinder eine RSV Diagnose. RSV Welle kündigt sich deutlich früher als in den Vorjahren. </w:t>
            </w:r>
          </w:p>
          <w:p>
            <w:pPr>
              <w:pStyle w:val="Liste2"/>
              <w:numPr>
                <w:ilvl w:val="0"/>
                <w:numId w:val="9"/>
              </w:numPr>
              <w:rPr>
                <w:lang w:val="de-DE"/>
              </w:rPr>
            </w:pPr>
            <w:r>
              <w:rPr>
                <w:lang w:val="de-DE"/>
              </w:rPr>
              <w:t xml:space="preserve">Mit steigender Influenza-Aktivität wird auch hier das Überschreiten der Grenzwerte zeitnah erwartet; RSV und Influenza könnten sich ebenfalls negativ auf negativ auf Bettenkapazitäten in den KH auswirken. </w:t>
            </w:r>
          </w:p>
          <w:p>
            <w:pPr>
              <w:pStyle w:val="Liste2"/>
              <w:numPr>
                <w:ilvl w:val="0"/>
                <w:numId w:val="9"/>
              </w:numPr>
              <w:rPr>
                <w:lang w:val="de-DE"/>
              </w:rPr>
            </w:pPr>
            <w:r>
              <w:rPr>
                <w:lang w:val="de-DE"/>
              </w:rPr>
              <w:t xml:space="preserve">Welche </w:t>
            </w:r>
            <w:proofErr w:type="spellStart"/>
            <w:r>
              <w:rPr>
                <w:lang w:val="de-DE"/>
              </w:rPr>
              <w:t>Sublinie</w:t>
            </w:r>
            <w:proofErr w:type="spellEnd"/>
            <w:r>
              <w:rPr>
                <w:lang w:val="de-DE"/>
              </w:rPr>
              <w:t xml:space="preserve"> könnte sich durchsetzen? – Eine Vorhersage kann momentan nicht getroffen werden; BQ scheint international eher ein Problem zu sein, bei uns momentan eher BF.7. </w:t>
            </w:r>
          </w:p>
          <w:p>
            <w:pPr>
              <w:pStyle w:val="Liste2"/>
              <w:numPr>
                <w:ilvl w:val="0"/>
                <w:numId w:val="9"/>
              </w:numPr>
              <w:rPr>
                <w:lang w:val="de-DE"/>
              </w:rPr>
            </w:pPr>
            <w:r>
              <w:rPr>
                <w:lang w:val="de-DE"/>
              </w:rPr>
              <w:t xml:space="preserve">Aktuelle Publikation in Nature </w:t>
            </w:r>
            <w:proofErr w:type="spellStart"/>
            <w:r>
              <w:rPr>
                <w:lang w:val="de-DE"/>
              </w:rPr>
              <w:t>Microbiology</w:t>
            </w:r>
            <w:proofErr w:type="spellEnd"/>
            <w:r>
              <w:rPr>
                <w:lang w:val="de-DE"/>
              </w:rPr>
              <w:t xml:space="preserve"> </w:t>
            </w:r>
            <w:hyperlink r:id="rId16" w:history="1">
              <w:r>
                <w:rPr>
                  <w:rStyle w:val="Hyperlink"/>
                  <w:lang w:val="de-DE"/>
                </w:rPr>
                <w:t>„</w:t>
              </w:r>
              <w:proofErr w:type="spellStart"/>
              <w:r>
                <w:rPr>
                  <w:rStyle w:val="Hyperlink"/>
                  <w:lang w:val="de-DE"/>
                </w:rPr>
                <w:t>Coinfection</w:t>
              </w:r>
              <w:proofErr w:type="spellEnd"/>
              <w:r>
                <w:rPr>
                  <w:rStyle w:val="Hyperlink"/>
                  <w:lang w:val="de-DE"/>
                </w:rPr>
                <w:t xml:space="preserve"> </w:t>
              </w:r>
              <w:proofErr w:type="spellStart"/>
              <w:r>
                <w:rPr>
                  <w:rStyle w:val="Hyperlink"/>
                  <w:lang w:val="de-DE"/>
                </w:rPr>
                <w:t>by</w:t>
              </w:r>
              <w:proofErr w:type="spellEnd"/>
              <w:r>
                <w:rPr>
                  <w:rStyle w:val="Hyperlink"/>
                  <w:lang w:val="de-DE"/>
                </w:rPr>
                <w:t xml:space="preserve"> </w:t>
              </w:r>
              <w:proofErr w:type="spellStart"/>
              <w:r>
                <w:rPr>
                  <w:rStyle w:val="Hyperlink"/>
                  <w:lang w:val="de-DE"/>
                </w:rPr>
                <w:t>influenza</w:t>
              </w:r>
              <w:proofErr w:type="spellEnd"/>
              <w:r>
                <w:rPr>
                  <w:rStyle w:val="Hyperlink"/>
                  <w:lang w:val="de-DE"/>
                </w:rPr>
                <w:t xml:space="preserve"> A </w:t>
              </w:r>
              <w:proofErr w:type="spellStart"/>
              <w:r>
                <w:rPr>
                  <w:rStyle w:val="Hyperlink"/>
                  <w:lang w:val="de-DE"/>
                </w:rPr>
                <w:t>virus</w:t>
              </w:r>
              <w:proofErr w:type="spellEnd"/>
              <w:r>
                <w:rPr>
                  <w:rStyle w:val="Hyperlink"/>
                  <w:lang w:val="de-DE"/>
                </w:rPr>
                <w:t xml:space="preserve"> and </w:t>
              </w:r>
              <w:proofErr w:type="spellStart"/>
              <w:r>
                <w:rPr>
                  <w:rStyle w:val="Hyperlink"/>
                  <w:lang w:val="de-DE"/>
                </w:rPr>
                <w:t>respiratory</w:t>
              </w:r>
              <w:proofErr w:type="spellEnd"/>
              <w:r>
                <w:rPr>
                  <w:rStyle w:val="Hyperlink"/>
                  <w:lang w:val="de-DE"/>
                </w:rPr>
                <w:t xml:space="preserve"> </w:t>
              </w:r>
              <w:proofErr w:type="spellStart"/>
              <w:r>
                <w:rPr>
                  <w:rStyle w:val="Hyperlink"/>
                  <w:lang w:val="de-DE"/>
                </w:rPr>
                <w:t>syncytial</w:t>
              </w:r>
              <w:proofErr w:type="spellEnd"/>
              <w:r>
                <w:rPr>
                  <w:rStyle w:val="Hyperlink"/>
                  <w:lang w:val="de-DE"/>
                </w:rPr>
                <w:t xml:space="preserve"> </w:t>
              </w:r>
              <w:proofErr w:type="spellStart"/>
              <w:r>
                <w:rPr>
                  <w:rStyle w:val="Hyperlink"/>
                  <w:lang w:val="de-DE"/>
                </w:rPr>
                <w:t>virus</w:t>
              </w:r>
              <w:proofErr w:type="spellEnd"/>
              <w:r>
                <w:rPr>
                  <w:rStyle w:val="Hyperlink"/>
                  <w:lang w:val="de-DE"/>
                </w:rPr>
                <w:t xml:space="preserve"> </w:t>
              </w:r>
              <w:proofErr w:type="spellStart"/>
              <w:r>
                <w:rPr>
                  <w:rStyle w:val="Hyperlink"/>
                  <w:lang w:val="de-DE"/>
                </w:rPr>
                <w:t>produces</w:t>
              </w:r>
              <w:proofErr w:type="spellEnd"/>
              <w:r>
                <w:rPr>
                  <w:rStyle w:val="Hyperlink"/>
                  <w:lang w:val="de-DE"/>
                </w:rPr>
                <w:t xml:space="preserve"> hybrid </w:t>
              </w:r>
              <w:proofErr w:type="spellStart"/>
              <w:r>
                <w:rPr>
                  <w:rStyle w:val="Hyperlink"/>
                  <w:lang w:val="de-DE"/>
                </w:rPr>
                <w:t>virus</w:t>
              </w:r>
              <w:proofErr w:type="spellEnd"/>
              <w:r>
                <w:rPr>
                  <w:rStyle w:val="Hyperlink"/>
                  <w:lang w:val="de-DE"/>
                </w:rPr>
                <w:t xml:space="preserve"> </w:t>
              </w:r>
              <w:proofErr w:type="spellStart"/>
              <w:r>
                <w:rPr>
                  <w:rStyle w:val="Hyperlink"/>
                  <w:lang w:val="de-DE"/>
                </w:rPr>
                <w:t>particles</w:t>
              </w:r>
              <w:proofErr w:type="spellEnd"/>
            </w:hyperlink>
            <w:r>
              <w:rPr>
                <w:lang w:val="de-DE"/>
              </w:rPr>
              <w:t xml:space="preserve">“ : </w:t>
            </w:r>
            <w:proofErr w:type="spellStart"/>
            <w:r>
              <w:rPr>
                <w:lang w:val="de-DE"/>
              </w:rPr>
              <w:t>Coinfektionen</w:t>
            </w:r>
            <w:proofErr w:type="spellEnd"/>
            <w:r>
              <w:rPr>
                <w:lang w:val="de-DE"/>
              </w:rPr>
              <w:t xml:space="preserve"> von </w:t>
            </w:r>
            <w:proofErr w:type="spellStart"/>
            <w:r>
              <w:rPr>
                <w:lang w:val="de-DE"/>
              </w:rPr>
              <w:t>InflA</w:t>
            </w:r>
            <w:proofErr w:type="spellEnd"/>
            <w:r>
              <w:rPr>
                <w:lang w:val="de-DE"/>
              </w:rPr>
              <w:t xml:space="preserve"> und RSV, </w:t>
            </w:r>
            <w:proofErr w:type="spellStart"/>
            <w:r>
              <w:rPr>
                <w:lang w:val="de-DE"/>
              </w:rPr>
              <w:t>hydride</w:t>
            </w:r>
            <w:proofErr w:type="spellEnd"/>
            <w:r>
              <w:rPr>
                <w:lang w:val="de-DE"/>
              </w:rPr>
              <w:t xml:space="preserve"> Viruspartikel infizieren Zellen, die normalerweise nicht durch Influenza infiziert werden würden. , in vitro-Versuche, evtl. auch </w:t>
            </w:r>
            <w:proofErr w:type="spellStart"/>
            <w:r>
              <w:rPr>
                <w:lang w:val="de-DE"/>
              </w:rPr>
              <w:t>relevanr</w:t>
            </w:r>
            <w:proofErr w:type="spellEnd"/>
            <w:r>
              <w:rPr>
                <w:lang w:val="de-DE"/>
              </w:rPr>
              <w:t xml:space="preserve"> für </w:t>
            </w:r>
            <w:proofErr w:type="spellStart"/>
            <w:r>
              <w:rPr>
                <w:lang w:val="de-DE"/>
              </w:rPr>
              <w:t>Coinfektionen</w:t>
            </w:r>
            <w:proofErr w:type="spellEnd"/>
            <w:r>
              <w:rPr>
                <w:lang w:val="de-DE"/>
              </w:rPr>
              <w:t xml:space="preserve"> in vivo? – bisher keine Aussage darüber zu treffen</w:t>
            </w:r>
          </w:p>
          <w:p>
            <w:pPr>
              <w:pStyle w:val="Liste2"/>
              <w:numPr>
                <w:ilvl w:val="0"/>
                <w:numId w:val="0"/>
              </w:numPr>
              <w:ind w:left="720"/>
              <w:rPr>
                <w:lang w:val="de-DE"/>
              </w:rPr>
            </w:pPr>
          </w:p>
          <w:p>
            <w:pPr>
              <w:pStyle w:val="Liste2"/>
              <w:numPr>
                <w:ilvl w:val="0"/>
                <w:numId w:val="0"/>
              </w:numPr>
              <w:ind w:left="473"/>
              <w:rPr>
                <w:lang w:val="de-DE"/>
              </w:rPr>
            </w:pPr>
            <w:r>
              <w:rPr>
                <w:u w:val="single"/>
                <w:lang w:val="de-DE"/>
              </w:rPr>
              <w:t>Message für den Wochenbericht</w:t>
            </w:r>
            <w:r>
              <w:rPr>
                <w:lang w:val="de-DE"/>
              </w:rPr>
              <w:t xml:space="preserve">: Gewisse Entspannung zu sehen (Ferien in einigen BL); es kann keine Vorhersage getroffen werden, ob es so weitergeht. Im Winter steigt saisonales ARE Geschehen normalerweise nochmal an. Tal oder Ende der Welle? Noch nicht klar. Info aus ARE-Berichten: Influenza und RSV steigen deutlich an; ARE-Gesamtsituation durch ARE nicht mehr alleine durch COVID bestimmt und Schutzmaßnehmen und Prävention auch bei anderen Erregern zu beachten. </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t>MF4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r>
              <w:lastRenderedPageBreak/>
              <w:t>2</w:t>
            </w:r>
          </w:p>
        </w:tc>
        <w:tc>
          <w:tcPr>
            <w:tcW w:w="6824" w:type="dxa"/>
          </w:tcPr>
          <w:p>
            <w:pPr>
              <w:rPr>
                <w:b/>
              </w:rPr>
            </w:pPr>
            <w:r>
              <w:rPr>
                <w:b/>
              </w:rPr>
              <w:t>Wichtige Punkte für den Wochenbericht</w:t>
            </w:r>
          </w:p>
          <w:p>
            <w:pPr>
              <w:pStyle w:val="Listenabsatz"/>
              <w:numPr>
                <w:ilvl w:val="0"/>
                <w:numId w:val="6"/>
              </w:numPr>
              <w:rPr>
                <w:sz w:val="22"/>
                <w:szCs w:val="22"/>
              </w:rPr>
            </w:pPr>
            <w:r>
              <w:rPr>
                <w:sz w:val="22"/>
                <w:szCs w:val="22"/>
              </w:rPr>
              <w:t xml:space="preserve">Absatz zu Impfstatus Neuaufnahme PatientInnen auf ITS: einziger Abschnitt zum Thema Impfen, der noch im Wochenbericht drin ist. </w:t>
            </w:r>
          </w:p>
          <w:p>
            <w:pPr>
              <w:pStyle w:val="Listenabsatz"/>
              <w:numPr>
                <w:ilvl w:val="0"/>
                <w:numId w:val="6"/>
              </w:numPr>
              <w:rPr>
                <w:sz w:val="22"/>
                <w:szCs w:val="22"/>
              </w:rPr>
            </w:pPr>
            <w:r>
              <w:rPr>
                <w:sz w:val="22"/>
                <w:szCs w:val="22"/>
              </w:rPr>
              <w:t xml:space="preserve">Letzte Woche wurden die Daten rausgenommen, was in sozialen Netzwerken stark diskutiert wurde. Abschnitt wieder mit aufnehmen? </w:t>
            </w:r>
          </w:p>
          <w:p>
            <w:pPr>
              <w:pStyle w:val="Listenabsatz"/>
              <w:numPr>
                <w:ilvl w:val="0"/>
                <w:numId w:val="6"/>
              </w:numPr>
              <w:rPr>
                <w:sz w:val="22"/>
                <w:szCs w:val="22"/>
              </w:rPr>
            </w:pPr>
            <w:r>
              <w:rPr>
                <w:sz w:val="22"/>
                <w:szCs w:val="22"/>
              </w:rPr>
              <w:lastRenderedPageBreak/>
              <w:t>Optionen: Aufnahme in Wochenbericht, auf DIVI-Seite oder im monatlichen Impfbericht</w:t>
            </w:r>
          </w:p>
          <w:p>
            <w:pPr>
              <w:pStyle w:val="Listenabsatz"/>
              <w:numPr>
                <w:ilvl w:val="0"/>
                <w:numId w:val="6"/>
              </w:numPr>
              <w:rPr>
                <w:sz w:val="22"/>
                <w:szCs w:val="22"/>
              </w:rPr>
            </w:pPr>
            <w:r>
              <w:rPr>
                <w:sz w:val="22"/>
                <w:szCs w:val="22"/>
              </w:rPr>
              <w:t>BMG möchte die Daten beibehalten, und Meldung in VO drin</w:t>
            </w:r>
          </w:p>
          <w:p>
            <w:pPr>
              <w:pStyle w:val="Listenabsatz"/>
              <w:numPr>
                <w:ilvl w:val="0"/>
                <w:numId w:val="6"/>
              </w:numPr>
              <w:rPr>
                <w:sz w:val="22"/>
                <w:szCs w:val="22"/>
              </w:rPr>
            </w:pPr>
            <w:r>
              <w:rPr>
                <w:sz w:val="22"/>
                <w:szCs w:val="22"/>
              </w:rPr>
              <w:t xml:space="preserve">DIVI: Impfstatus der Neuaufnahmen; hat mit Belegung/Belastung nichts zu tun. Hohes Risiko der </w:t>
            </w:r>
            <w:proofErr w:type="spellStart"/>
            <w:r>
              <w:rPr>
                <w:sz w:val="22"/>
                <w:szCs w:val="22"/>
              </w:rPr>
              <w:t>Misinterpretation</w:t>
            </w:r>
            <w:proofErr w:type="spellEnd"/>
            <w:r>
              <w:rPr>
                <w:sz w:val="22"/>
                <w:szCs w:val="22"/>
              </w:rPr>
              <w:t xml:space="preserve"> wenn Daten auf DIVI-Seite veröffentlich werden. </w:t>
            </w:r>
          </w:p>
          <w:p>
            <w:pPr>
              <w:pStyle w:val="Listenabsatz"/>
              <w:rPr>
                <w:sz w:val="22"/>
                <w:szCs w:val="22"/>
              </w:rPr>
            </w:pPr>
          </w:p>
          <w:p>
            <w:pPr>
              <w:rPr>
                <w:sz w:val="22"/>
                <w:szCs w:val="22"/>
                <w:u w:val="single"/>
              </w:rPr>
            </w:pPr>
            <w:r>
              <w:rPr>
                <w:sz w:val="22"/>
                <w:szCs w:val="22"/>
                <w:u w:val="single"/>
              </w:rPr>
              <w:t xml:space="preserve">Entscheidung und </w:t>
            </w:r>
            <w:proofErr w:type="spellStart"/>
            <w:r>
              <w:rPr>
                <w:sz w:val="22"/>
                <w:szCs w:val="22"/>
                <w:u w:val="single"/>
              </w:rPr>
              <w:t>To</w:t>
            </w:r>
            <w:proofErr w:type="spellEnd"/>
            <w:r>
              <w:rPr>
                <w:sz w:val="22"/>
                <w:szCs w:val="22"/>
                <w:u w:val="single"/>
              </w:rPr>
              <w:t xml:space="preserve"> Do </w:t>
            </w:r>
          </w:p>
          <w:p>
            <w:pPr>
              <w:pStyle w:val="Listenabsatz"/>
              <w:numPr>
                <w:ilvl w:val="0"/>
                <w:numId w:val="9"/>
              </w:numPr>
              <w:rPr>
                <w:sz w:val="22"/>
                <w:szCs w:val="22"/>
              </w:rPr>
            </w:pPr>
            <w:r>
              <w:rPr>
                <w:sz w:val="22"/>
                <w:szCs w:val="22"/>
              </w:rPr>
              <w:t>Lagezentrum: Rücksprache mit FG33 Daten in den Impfbericht mit aufzunehmen</w:t>
            </w:r>
          </w:p>
          <w:p>
            <w:pPr>
              <w:pStyle w:val="Listenabsatz"/>
              <w:numPr>
                <w:ilvl w:val="0"/>
                <w:numId w:val="9"/>
              </w:numPr>
              <w:rPr>
                <w:sz w:val="22"/>
                <w:szCs w:val="22"/>
              </w:rPr>
            </w:pPr>
            <w:r>
              <w:rPr>
                <w:sz w:val="22"/>
                <w:szCs w:val="22"/>
              </w:rPr>
              <w:t xml:space="preserve">Hinweis nächste Woche im Wochenbericht, wo Info und </w:t>
            </w:r>
            <w:proofErr w:type="spellStart"/>
            <w:r>
              <w:rPr>
                <w:sz w:val="22"/>
                <w:szCs w:val="22"/>
              </w:rPr>
              <w:t>DAten</w:t>
            </w:r>
            <w:proofErr w:type="spellEnd"/>
            <w:r>
              <w:rPr>
                <w:sz w:val="22"/>
                <w:szCs w:val="22"/>
              </w:rPr>
              <w:t xml:space="preserve"> zu finden sind</w:t>
            </w:r>
          </w:p>
          <w:p>
            <w:pPr>
              <w:pStyle w:val="Listenabsatz"/>
              <w:numPr>
                <w:ilvl w:val="0"/>
                <w:numId w:val="9"/>
              </w:numPr>
            </w:pPr>
            <w:r>
              <w:rPr>
                <w:sz w:val="22"/>
                <w:szCs w:val="22"/>
              </w:rPr>
              <w:t>Wenn VO wieder überarbeitet wird: Anstreben, die Meldung rauszunehmen (Unterstützung durch DIVI Team erwünscht).</w:t>
            </w:r>
            <w:r>
              <w:t xml:space="preserve">  </w:t>
            </w:r>
          </w:p>
        </w:tc>
        <w:tc>
          <w:tcPr>
            <w:tcW w:w="1463" w:type="dxa"/>
          </w:tcPr>
          <w:p>
            <w:r>
              <w:lastRenderedPageBreak/>
              <w:t>Alle</w:t>
            </w:r>
          </w:p>
        </w:tc>
      </w:tr>
      <w:tr>
        <w:tc>
          <w:tcPr>
            <w:tcW w:w="684" w:type="dxa"/>
          </w:tcPr>
          <w:p>
            <w:pPr>
              <w:rPr>
                <w:b/>
              </w:rPr>
            </w:pPr>
            <w:r>
              <w:rPr>
                <w:b/>
              </w:rPr>
              <w:t>3</w:t>
            </w:r>
          </w:p>
        </w:tc>
        <w:tc>
          <w:tcPr>
            <w:tcW w:w="6824" w:type="dxa"/>
          </w:tcPr>
          <w:p>
            <w:pPr>
              <w:spacing w:line="276" w:lineRule="auto"/>
              <w:rPr>
                <w:rStyle w:val="TagFrZchn"/>
              </w:rPr>
            </w:pPr>
            <w:r>
              <w:rPr>
                <w:rStyle w:val="1Zchn"/>
              </w:rPr>
              <w:t>Update Impfen</w:t>
            </w:r>
            <w:r>
              <w:rPr>
                <w:b/>
                <w:sz w:val="28"/>
              </w:rPr>
              <w:t xml:space="preserve"> </w:t>
            </w:r>
          </w:p>
          <w:p>
            <w:pPr>
              <w:pStyle w:val="Liste1"/>
            </w:pPr>
            <w:r>
              <w:t xml:space="preserve">Folien </w:t>
            </w:r>
            <w:hyperlink r:id="rId17" w:history="1">
              <w:r>
                <w:rPr>
                  <w:rStyle w:val="Hyperlink"/>
                </w:rPr>
                <w:t>hie</w:t>
              </w:r>
              <w:r>
                <w:rPr>
                  <w:rStyle w:val="Hyperlink"/>
                </w:rPr>
                <w:t>r</w:t>
              </w:r>
            </w:hyperlink>
          </w:p>
          <w:p>
            <w:pPr>
              <w:pStyle w:val="Liste1"/>
            </w:pPr>
            <w:r>
              <w:t xml:space="preserve">Aktuelle Zulassung: 4 zugelassene Omikron Impfstoffe, nur als Booster zugelassen und nur ab 12 Jahren. </w:t>
            </w:r>
          </w:p>
          <w:p>
            <w:pPr>
              <w:pStyle w:val="Liste1"/>
            </w:pPr>
            <w:r>
              <w:t xml:space="preserve">Kinderimpfstoffe: 6 Monate-5 Jahre, </w:t>
            </w:r>
            <w:proofErr w:type="spellStart"/>
            <w:r>
              <w:t>Biontech</w:t>
            </w:r>
            <w:proofErr w:type="spellEnd"/>
            <w:r>
              <w:t xml:space="preserve"> (3 Dosis-Impfung) und </w:t>
            </w:r>
            <w:proofErr w:type="spellStart"/>
            <w:r>
              <w:t>Moderna</w:t>
            </w:r>
            <w:proofErr w:type="spellEnd"/>
            <w:r>
              <w:t xml:space="preserve"> (2-Dosis-Impfung) in unterschiedlichen Konzentrationen. </w:t>
            </w:r>
          </w:p>
          <w:p>
            <w:pPr>
              <w:pStyle w:val="Liste1"/>
            </w:pPr>
            <w:r>
              <w:t>Angepasste Impfstoffe für alle Booster ab 12 Jahren empfohlen</w:t>
            </w:r>
            <w:r>
              <w:t xml:space="preserve">, </w:t>
            </w:r>
            <w:r>
              <w:rPr>
                <w:sz w:val="24"/>
                <w:szCs w:val="24"/>
              </w:rPr>
              <w:t>k</w:t>
            </w:r>
            <w:r>
              <w:rPr>
                <w:sz w:val="24"/>
                <w:szCs w:val="24"/>
              </w:rPr>
              <w:t>eine Unterscheidung BA.1 und BA.4/</w:t>
            </w:r>
            <w:r>
              <w:rPr>
                <w:sz w:val="24"/>
                <w:szCs w:val="24"/>
              </w:rPr>
              <w:t>5</w:t>
            </w:r>
          </w:p>
          <w:p>
            <w:pPr>
              <w:pStyle w:val="Liste1"/>
            </w:pPr>
            <w:r>
              <w:t xml:space="preserve">Keine Veränderung der Indikationsgruppen; keine Empfehlung der </w:t>
            </w:r>
            <w:proofErr w:type="spellStart"/>
            <w:r>
              <w:t>STiKO</w:t>
            </w:r>
            <w:proofErr w:type="spellEnd"/>
            <w:r>
              <w:t xml:space="preserve"> für 4 Impfung für U60-Gruppe. </w:t>
            </w:r>
          </w:p>
          <w:p>
            <w:pPr>
              <w:pStyle w:val="Liste1"/>
            </w:pPr>
            <w:r>
              <w:t>Impfquoten stagnieren, bis auf 2. Auffrischimpfung bei Ü60</w:t>
            </w:r>
          </w:p>
          <w:p>
            <w:pPr>
              <w:pStyle w:val="Liste1"/>
            </w:pPr>
            <w:r>
              <w:t xml:space="preserve">26.09 über 60T mit angepassten Impfstoffen bereits vor STIKO Empfehlung geimpft (06.10 Empfehlung); </w:t>
            </w:r>
          </w:p>
          <w:p>
            <w:pPr>
              <w:pStyle w:val="Liste1"/>
            </w:pPr>
            <w:r>
              <w:t>Monatsbericht: Impfdurchbrüche und Krankheitslast: Ungeimpfte Ü60-Jährige (</w:t>
            </w:r>
            <w:proofErr w:type="spellStart"/>
            <w:r>
              <w:t>ca</w:t>
            </w:r>
            <w:proofErr w:type="spellEnd"/>
            <w:r>
              <w:t xml:space="preserve"> 10% in dieser Altersgruppe) - wesentlich höhere Hospitalisierungsraten, ITS-Belegung und versterben eher </w:t>
            </w:r>
          </w:p>
          <w:p>
            <w:pPr>
              <w:spacing w:line="276" w:lineRule="auto"/>
              <w:rPr>
                <w:rStyle w:val="1Zchn"/>
                <w:sz w:val="22"/>
                <w:szCs w:val="22"/>
              </w:rPr>
            </w:pPr>
            <w:r>
              <w:rPr>
                <w:rStyle w:val="1Zchn"/>
                <w:sz w:val="22"/>
                <w:szCs w:val="22"/>
              </w:rPr>
              <w:t xml:space="preserve">Frage: </w:t>
            </w:r>
          </w:p>
          <w:p>
            <w:pPr>
              <w:pStyle w:val="Listenabsatz"/>
              <w:numPr>
                <w:ilvl w:val="0"/>
                <w:numId w:val="9"/>
              </w:numPr>
              <w:spacing w:line="276" w:lineRule="auto"/>
              <w:rPr>
                <w:rStyle w:val="1Zchn"/>
                <w:b w:val="0"/>
                <w:sz w:val="22"/>
                <w:szCs w:val="22"/>
              </w:rPr>
            </w:pPr>
            <w:r>
              <w:rPr>
                <w:rStyle w:val="1Zchn"/>
                <w:b w:val="0"/>
                <w:sz w:val="22"/>
                <w:szCs w:val="22"/>
              </w:rPr>
              <w:t xml:space="preserve">Ungeimpfte waren zum Großteil bereits (mehrfach?) infiziert. </w:t>
            </w:r>
            <w:proofErr w:type="spellStart"/>
            <w:r>
              <w:rPr>
                <w:rStyle w:val="1Zchn"/>
                <w:b w:val="0"/>
                <w:sz w:val="22"/>
                <w:szCs w:val="22"/>
              </w:rPr>
              <w:t>Dh</w:t>
            </w:r>
            <w:proofErr w:type="spellEnd"/>
            <w:r>
              <w:rPr>
                <w:rStyle w:val="1Zchn"/>
                <w:b w:val="0"/>
                <w:sz w:val="22"/>
                <w:szCs w:val="22"/>
              </w:rPr>
              <w:t xml:space="preserve">. Kann evtl. davon ausgegangen werden, dass Impferfolg sogar unterschätzt wird? - Diese Unterscheidung wird im Monatsbericht nicht behandelt; wird bei Influenza auch nicht gemacht. Schwierig, diese Daten überhaupt zu erhalten, zudem gibt es kaum noch </w:t>
            </w:r>
            <w:proofErr w:type="spellStart"/>
            <w:r>
              <w:rPr>
                <w:rStyle w:val="1Zchn"/>
                <w:b w:val="0"/>
                <w:sz w:val="22"/>
                <w:szCs w:val="22"/>
              </w:rPr>
              <w:t>Immunaive</w:t>
            </w:r>
            <w:proofErr w:type="spellEnd"/>
            <w:r>
              <w:rPr>
                <w:rStyle w:val="1Zchn"/>
                <w:b w:val="0"/>
                <w:sz w:val="22"/>
                <w:szCs w:val="22"/>
              </w:rPr>
              <w:t xml:space="preserve">. Im Rahmen der Surveillance nicht zu lösen, nur mit einer Studie. Influenza: </w:t>
            </w:r>
            <w:proofErr w:type="spellStart"/>
            <w:r>
              <w:rPr>
                <w:rStyle w:val="1Zchn"/>
                <w:b w:val="0"/>
                <w:sz w:val="22"/>
                <w:szCs w:val="22"/>
              </w:rPr>
              <w:t>Geboosterte</w:t>
            </w:r>
            <w:proofErr w:type="spellEnd"/>
            <w:r>
              <w:rPr>
                <w:rStyle w:val="1Zchn"/>
                <w:b w:val="0"/>
                <w:sz w:val="22"/>
                <w:szCs w:val="22"/>
              </w:rPr>
              <w:t xml:space="preserve"> und Geimpfte infizieren sich ebenso; ähnliches Bild hier; Aus </w:t>
            </w:r>
            <w:r>
              <w:rPr>
                <w:rStyle w:val="1Zchn"/>
                <w:b w:val="0"/>
                <w:sz w:val="22"/>
                <w:szCs w:val="22"/>
              </w:rPr>
              <w:t>Altenheim</w:t>
            </w:r>
            <w:r>
              <w:rPr>
                <w:rStyle w:val="1Zchn"/>
                <w:b w:val="0"/>
                <w:sz w:val="22"/>
                <w:szCs w:val="22"/>
              </w:rPr>
              <w:t>-</w:t>
            </w:r>
            <w:r>
              <w:rPr>
                <w:rStyle w:val="1Zchn"/>
                <w:b w:val="0"/>
                <w:sz w:val="22"/>
                <w:szCs w:val="22"/>
              </w:rPr>
              <w:t>Ausbrüc</w:t>
            </w:r>
            <w:r>
              <w:rPr>
                <w:rStyle w:val="1Zchn"/>
                <w:b w:val="0"/>
                <w:sz w:val="22"/>
                <w:szCs w:val="22"/>
              </w:rPr>
              <w:t>h</w:t>
            </w:r>
            <w:r>
              <w:rPr>
                <w:rStyle w:val="1Zchn"/>
                <w:b w:val="0"/>
                <w:sz w:val="22"/>
                <w:szCs w:val="22"/>
              </w:rPr>
              <w:t>e</w:t>
            </w:r>
            <w:r>
              <w:rPr>
                <w:rStyle w:val="1Zchn"/>
                <w:b w:val="0"/>
                <w:sz w:val="22"/>
                <w:szCs w:val="22"/>
              </w:rPr>
              <w:t>n (E</w:t>
            </w:r>
            <w:r>
              <w:rPr>
                <w:rStyle w:val="1Zchn"/>
                <w:b w:val="0"/>
                <w:sz w:val="22"/>
                <w:szCs w:val="22"/>
              </w:rPr>
              <w:t>xposit</w:t>
            </w:r>
            <w:r>
              <w:rPr>
                <w:rStyle w:val="1Zchn"/>
                <w:b w:val="0"/>
                <w:sz w:val="22"/>
                <w:szCs w:val="22"/>
              </w:rPr>
              <w:t>ion</w:t>
            </w:r>
            <w:r>
              <w:rPr>
                <w:rStyle w:val="1Zchn"/>
                <w:b w:val="0"/>
                <w:sz w:val="22"/>
                <w:szCs w:val="22"/>
              </w:rPr>
              <w:t xml:space="preserve"> für alle gleich</w:t>
            </w:r>
            <w:r>
              <w:rPr>
                <w:rStyle w:val="1Zchn"/>
                <w:b w:val="0"/>
                <w:sz w:val="22"/>
                <w:szCs w:val="22"/>
              </w:rPr>
              <w:t>) weiß man, dass Wirkung der Impfung eher überschätzt wird. Schwieriges Thema, sollte nicht im Impfbericht formuliert werden.</w:t>
            </w:r>
          </w:p>
          <w:p>
            <w:pPr>
              <w:pStyle w:val="Listenabsatz"/>
              <w:numPr>
                <w:ilvl w:val="0"/>
                <w:numId w:val="9"/>
              </w:numPr>
              <w:spacing w:line="276" w:lineRule="auto"/>
              <w:rPr>
                <w:rStyle w:val="1Zchn"/>
                <w:b w:val="0"/>
                <w:sz w:val="20"/>
                <w:szCs w:val="20"/>
              </w:rPr>
            </w:pPr>
            <w:r>
              <w:rPr>
                <w:rStyle w:val="1Zchn"/>
                <w:b w:val="0"/>
                <w:sz w:val="22"/>
                <w:szCs w:val="22"/>
              </w:rPr>
              <w:t>Es gab keine klinischen Studien zur Reinfektion vor Zulassung der Omikron Booster.</w:t>
            </w:r>
            <w:r>
              <w:rPr>
                <w:rStyle w:val="1Zchn"/>
                <w:b w:val="0"/>
                <w:sz w:val="20"/>
                <w:szCs w:val="20"/>
              </w:rPr>
              <w:t xml:space="preserve"> </w:t>
            </w:r>
          </w:p>
        </w:tc>
        <w:tc>
          <w:tcPr>
            <w:tcW w:w="1463" w:type="dxa"/>
          </w:tcPr>
          <w:p>
            <w:pPr>
              <w:rPr>
                <w:sz w:val="22"/>
                <w:szCs w:val="22"/>
              </w:rPr>
            </w:pPr>
            <w:r>
              <w:rPr>
                <w:sz w:val="22"/>
                <w:szCs w:val="22"/>
              </w:rPr>
              <w:t>FG 33</w:t>
            </w:r>
          </w:p>
        </w:tc>
      </w:tr>
      <w:tr>
        <w:tc>
          <w:tcPr>
            <w:tcW w:w="684" w:type="dxa"/>
          </w:tcPr>
          <w:p>
            <w:pPr>
              <w:rPr>
                <w:b/>
              </w:rPr>
            </w:pPr>
            <w:r>
              <w:rPr>
                <w:b/>
              </w:rPr>
              <w:t>4</w:t>
            </w:r>
          </w:p>
        </w:tc>
        <w:tc>
          <w:tcPr>
            <w:tcW w:w="6824" w:type="dxa"/>
          </w:tcPr>
          <w:p>
            <w:pPr>
              <w:spacing w:line="276" w:lineRule="auto"/>
              <w:rPr>
                <w:rStyle w:val="TagFrZchn"/>
                <w:sz w:val="28"/>
                <w:szCs w:val="28"/>
              </w:rPr>
            </w:pPr>
            <w:r>
              <w:rPr>
                <w:rStyle w:val="1Zchn"/>
                <w:szCs w:val="28"/>
              </w:rPr>
              <w:t>Internationales</w:t>
            </w:r>
            <w:r>
              <w:rPr>
                <w:b/>
                <w:color w:val="FF0000"/>
                <w:sz w:val="28"/>
                <w:szCs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lastRenderedPageBreak/>
              <w:t>5</w:t>
            </w:r>
          </w:p>
        </w:tc>
        <w:tc>
          <w:tcPr>
            <w:tcW w:w="6824" w:type="dxa"/>
          </w:tcPr>
          <w:p>
            <w:pPr>
              <w:rPr>
                <w:b/>
                <w:sz w:val="28"/>
                <w:szCs w:val="28"/>
              </w:rPr>
            </w:pPr>
            <w:r>
              <w:rPr>
                <w:b/>
                <w:sz w:val="28"/>
                <w:szCs w:val="28"/>
              </w:rPr>
              <w:t xml:space="preserve">Update Digitale Projekte </w:t>
            </w:r>
          </w:p>
          <w:p>
            <w:pPr>
              <w:ind w:left="360"/>
              <w:rPr>
                <w:b/>
              </w:rPr>
            </w:pPr>
            <w:hyperlink r:id="rId18" w:anchor="/" w:history="1">
              <w:proofErr w:type="spellStart"/>
              <w:r>
                <w:rPr>
                  <w:rStyle w:val="Hyperlink"/>
                  <w:b/>
                </w:rPr>
                <w:t>ePLF</w:t>
              </w:r>
              <w:proofErr w:type="spellEnd"/>
              <w:r>
                <w:rPr>
                  <w:rStyle w:val="Hyperlink"/>
                  <w:b/>
                </w:rPr>
                <w:t>/</w:t>
              </w:r>
              <w:proofErr w:type="spellStart"/>
              <w:r>
                <w:rPr>
                  <w:rStyle w:val="Hyperlink"/>
                  <w:b/>
                </w:rPr>
                <w:t>dPLF</w:t>
              </w:r>
              <w:proofErr w:type="spellEnd"/>
              <w:r>
                <w:rPr>
                  <w:rStyle w:val="Hyperlink"/>
                  <w:b/>
                </w:rPr>
                <w:t xml:space="preserve"> (electronic/digital Passenger Locator Form</w:t>
              </w:r>
            </w:hyperlink>
            <w:r>
              <w:rPr>
                <w:b/>
              </w:rPr>
              <w:t>) und DEA – derzeitige Entwicklungen</w:t>
            </w:r>
            <w:r>
              <w:t xml:space="preserve">  </w:t>
            </w:r>
          </w:p>
          <w:p>
            <w:pPr>
              <w:pStyle w:val="Listenabsatz"/>
              <w:numPr>
                <w:ilvl w:val="1"/>
                <w:numId w:val="17"/>
              </w:numPr>
              <w:ind w:left="822" w:hanging="357"/>
              <w:rPr>
                <w:sz w:val="22"/>
                <w:szCs w:val="22"/>
              </w:rPr>
            </w:pPr>
            <w:r>
              <w:rPr>
                <w:sz w:val="22"/>
                <w:szCs w:val="22"/>
              </w:rPr>
              <w:t xml:space="preserve">Sommer 2022: Evaluation ob DEA in </w:t>
            </w:r>
            <w:proofErr w:type="spellStart"/>
            <w:r>
              <w:rPr>
                <w:sz w:val="22"/>
                <w:szCs w:val="22"/>
              </w:rPr>
              <w:t>europ</w:t>
            </w:r>
            <w:proofErr w:type="spellEnd"/>
            <w:r>
              <w:rPr>
                <w:sz w:val="22"/>
                <w:szCs w:val="22"/>
              </w:rPr>
              <w:t xml:space="preserve">. System der </w:t>
            </w:r>
            <w:proofErr w:type="spellStart"/>
            <w:r>
              <w:rPr>
                <w:sz w:val="22"/>
                <w:szCs w:val="22"/>
              </w:rPr>
              <w:t>KoNA</w:t>
            </w:r>
            <w:proofErr w:type="spellEnd"/>
            <w:r>
              <w:rPr>
                <w:sz w:val="22"/>
                <w:szCs w:val="22"/>
              </w:rPr>
              <w:t xml:space="preserve"> aufgehen kann/soll. Input RKI und Bundesdruckerei erfolgte – Entscheidung BMG: Überführung DEA in </w:t>
            </w:r>
            <w:proofErr w:type="spellStart"/>
            <w:r>
              <w:rPr>
                <w:sz w:val="22"/>
                <w:szCs w:val="22"/>
              </w:rPr>
              <w:t>europ</w:t>
            </w:r>
            <w:proofErr w:type="spellEnd"/>
            <w:r>
              <w:rPr>
                <w:sz w:val="22"/>
                <w:szCs w:val="22"/>
              </w:rPr>
              <w:t>. System (</w:t>
            </w:r>
            <w:proofErr w:type="spellStart"/>
            <w:r>
              <w:rPr>
                <w:sz w:val="22"/>
                <w:szCs w:val="22"/>
              </w:rPr>
              <w:t>ePLF</w:t>
            </w:r>
            <w:proofErr w:type="spellEnd"/>
            <w:r>
              <w:rPr>
                <w:sz w:val="22"/>
                <w:szCs w:val="22"/>
              </w:rPr>
              <w:t>)</w:t>
            </w:r>
          </w:p>
          <w:p>
            <w:pPr>
              <w:pStyle w:val="Listenabsatz"/>
              <w:numPr>
                <w:ilvl w:val="1"/>
                <w:numId w:val="17"/>
              </w:numPr>
              <w:ind w:left="822" w:hanging="357"/>
              <w:rPr>
                <w:sz w:val="22"/>
                <w:szCs w:val="22"/>
              </w:rPr>
            </w:pPr>
            <w:r>
              <w:rPr>
                <w:sz w:val="22"/>
                <w:szCs w:val="22"/>
              </w:rPr>
              <w:t xml:space="preserve">Viele offene Fragen, </w:t>
            </w:r>
            <w:proofErr w:type="spellStart"/>
            <w:r>
              <w:rPr>
                <w:sz w:val="22"/>
                <w:szCs w:val="22"/>
              </w:rPr>
              <w:t>u.A.</w:t>
            </w:r>
            <w:proofErr w:type="spellEnd"/>
            <w:r>
              <w:rPr>
                <w:sz w:val="22"/>
                <w:szCs w:val="22"/>
              </w:rPr>
              <w:t xml:space="preserve"> wer betreibt dieses System von dt. Seite aus und wer überführt DEA? Noch in diesem Jahr soll Migration erfolgen. Bis 31.12 soll geklärt werden, wer Prozess begleitet und umsetzt. BMG möchte, dass RKI diese Aufgabe übernimmt, allerdings liegt hierzu bisher keine schriftliche Aussage vor, welche Rolle das RKI genau übernehmen soll.</w:t>
            </w:r>
          </w:p>
          <w:p>
            <w:pPr>
              <w:pStyle w:val="Listenabsatz"/>
              <w:numPr>
                <w:ilvl w:val="1"/>
                <w:numId w:val="17"/>
              </w:numPr>
              <w:ind w:left="822" w:hanging="357"/>
              <w:rPr>
                <w:sz w:val="22"/>
                <w:szCs w:val="22"/>
              </w:rPr>
            </w:pPr>
            <w:r>
              <w:rPr>
                <w:sz w:val="22"/>
                <w:szCs w:val="22"/>
              </w:rPr>
              <w:t>Thema in JF Freitag mit aufnehmen;</w:t>
            </w:r>
          </w:p>
          <w:p>
            <w:pPr>
              <w:pStyle w:val="Liste1"/>
              <w:numPr>
                <w:ilvl w:val="0"/>
                <w:numId w:val="17"/>
              </w:numPr>
              <w:ind w:left="822" w:hanging="357"/>
            </w:pPr>
            <w:r>
              <w:t>DEA: Technische Infrastruktur durch Bundesdruckerei bereitgestellt; RKI hat Prozess gemonitort.</w:t>
            </w:r>
          </w:p>
          <w:p>
            <w:pPr>
              <w:pStyle w:val="Listenabsatz"/>
              <w:numPr>
                <w:ilvl w:val="1"/>
                <w:numId w:val="17"/>
              </w:numPr>
              <w:ind w:left="822" w:hanging="357"/>
              <w:rPr>
                <w:sz w:val="22"/>
                <w:szCs w:val="22"/>
              </w:rPr>
            </w:pPr>
            <w:r>
              <w:rPr>
                <w:sz w:val="22"/>
                <w:szCs w:val="22"/>
              </w:rPr>
              <w:t xml:space="preserve">Mit momentanen Ressourcen kann Prozess nicht begleitet werden. </w:t>
            </w:r>
          </w:p>
          <w:p>
            <w:pPr>
              <w:pStyle w:val="Listenabsatz"/>
              <w:numPr>
                <w:ilvl w:val="1"/>
                <w:numId w:val="17"/>
              </w:numPr>
              <w:ind w:left="822" w:hanging="357"/>
              <w:rPr>
                <w:sz w:val="22"/>
                <w:szCs w:val="22"/>
              </w:rPr>
            </w:pPr>
            <w:r>
              <w:rPr>
                <w:sz w:val="22"/>
                <w:szCs w:val="22"/>
              </w:rPr>
              <w:t>Change Request für Ende Januar mit Bundesdruckerei ausgearbeitet</w:t>
            </w:r>
          </w:p>
          <w:p>
            <w:pPr>
              <w:pStyle w:val="Listenabsatz"/>
              <w:numPr>
                <w:ilvl w:val="1"/>
                <w:numId w:val="6"/>
              </w:numPr>
              <w:ind w:left="822" w:hanging="357"/>
              <w:rPr>
                <w:sz w:val="22"/>
                <w:szCs w:val="22"/>
              </w:rPr>
            </w:pPr>
            <w:r>
              <w:rPr>
                <w:sz w:val="22"/>
                <w:szCs w:val="22"/>
              </w:rPr>
              <w:t xml:space="preserve">zu </w:t>
            </w:r>
            <w:proofErr w:type="spellStart"/>
            <w:r>
              <w:rPr>
                <w:sz w:val="22"/>
                <w:szCs w:val="22"/>
              </w:rPr>
              <w:t>ePLF</w:t>
            </w:r>
            <w:proofErr w:type="spellEnd"/>
            <w:r>
              <w:rPr>
                <w:sz w:val="22"/>
                <w:szCs w:val="22"/>
              </w:rPr>
              <w:t xml:space="preserve"> gab es im Feb. 2022 einen Initiativbericht, dieser sollte aktualisiert werden. </w:t>
            </w:r>
          </w:p>
          <w:p>
            <w:pPr>
              <w:pStyle w:val="Listenabsatz"/>
              <w:numPr>
                <w:ilvl w:val="0"/>
                <w:numId w:val="17"/>
              </w:numPr>
              <w:ind w:left="822" w:hanging="357"/>
            </w:pPr>
            <w:r>
              <w:rPr>
                <w:sz w:val="22"/>
                <w:szCs w:val="22"/>
              </w:rPr>
              <w:t xml:space="preserve">Unterscheidung: DEA = Einreisekontrolle; </w:t>
            </w:r>
            <w:proofErr w:type="spellStart"/>
            <w:r>
              <w:rPr>
                <w:sz w:val="22"/>
                <w:szCs w:val="22"/>
              </w:rPr>
              <w:t>ePLF</w:t>
            </w:r>
            <w:proofErr w:type="spellEnd"/>
            <w:r>
              <w:rPr>
                <w:sz w:val="22"/>
                <w:szCs w:val="22"/>
              </w:rPr>
              <w:t xml:space="preserve">: </w:t>
            </w:r>
            <w:proofErr w:type="spellStart"/>
            <w:r>
              <w:rPr>
                <w:sz w:val="22"/>
                <w:szCs w:val="22"/>
              </w:rPr>
              <w:t>KoNA</w:t>
            </w:r>
            <w:proofErr w:type="spellEnd"/>
            <w:r>
              <w:rPr>
                <w:sz w:val="22"/>
                <w:szCs w:val="22"/>
              </w:rPr>
              <w:t xml:space="preserve"> nach Exposition im Flieger (und anderen Verkehrsmitteln), und auch für andere Erreger als SARS-CoV-2; nicht wirklich mit DEA vergleichbar, da ganz andere Zielsetzung;</w:t>
            </w:r>
            <w:r>
              <w:t xml:space="preserve"> </w:t>
            </w:r>
          </w:p>
        </w:tc>
        <w:tc>
          <w:tcPr>
            <w:tcW w:w="1463" w:type="dxa"/>
          </w:tcPr>
          <w:p>
            <w:r>
              <w:t>FG21</w:t>
            </w:r>
          </w:p>
        </w:tc>
      </w:tr>
      <w:tr>
        <w:tc>
          <w:tcPr>
            <w:tcW w:w="684" w:type="dxa"/>
          </w:tcPr>
          <w:p>
            <w:pPr>
              <w:rPr>
                <w:b/>
              </w:rPr>
            </w:pPr>
            <w:r>
              <w:rPr>
                <w:b/>
              </w:rPr>
              <w:t>6</w:t>
            </w:r>
          </w:p>
        </w:tc>
        <w:tc>
          <w:tcPr>
            <w:tcW w:w="6824" w:type="dxa"/>
          </w:tcPr>
          <w:p>
            <w:pPr>
              <w:rPr>
                <w:b/>
                <w:sz w:val="22"/>
                <w:szCs w:val="22"/>
              </w:rPr>
            </w:pPr>
            <w:r>
              <w:rPr>
                <w:b/>
                <w:sz w:val="22"/>
                <w:szCs w:val="22"/>
              </w:rPr>
              <w:t xml:space="preserve">Vortrag, </w:t>
            </w:r>
            <w:proofErr w:type="spellStart"/>
            <w:r>
              <w:rPr>
                <w:b/>
                <w:sz w:val="22"/>
                <w:szCs w:val="22"/>
              </w:rPr>
              <w:t>CoMoBu</w:t>
            </w:r>
            <w:proofErr w:type="spellEnd"/>
            <w:r>
              <w:rPr>
                <w:b/>
                <w:sz w:val="22"/>
                <w:szCs w:val="22"/>
              </w:rPr>
              <w:t xml:space="preserve"> II-Studie und Post/</w:t>
            </w:r>
            <w:proofErr w:type="spellStart"/>
            <w:r>
              <w:rPr>
                <w:b/>
                <w:sz w:val="22"/>
                <w:szCs w:val="22"/>
              </w:rPr>
              <w:t>LongCOVID</w:t>
            </w:r>
            <w:proofErr w:type="spellEnd"/>
          </w:p>
          <w:p>
            <w:pPr>
              <w:rPr>
                <w:b/>
                <w:sz w:val="22"/>
                <w:szCs w:val="22"/>
                <w:lang w:val="en-US"/>
              </w:rPr>
            </w:pPr>
            <w:r>
              <w:rPr>
                <w:b/>
                <w:sz w:val="22"/>
                <w:szCs w:val="22"/>
                <w:lang w:val="en-US"/>
              </w:rPr>
              <w:t xml:space="preserve">„Prevalence and determinants of Post-COVID-19 condition in Germany - Results of the second wave of the </w:t>
            </w:r>
            <w:proofErr w:type="gramStart"/>
            <w:r>
              <w:rPr>
                <w:b/>
                <w:sz w:val="22"/>
                <w:szCs w:val="22"/>
                <w:lang w:val="en-US"/>
              </w:rPr>
              <w:t>study  “</w:t>
            </w:r>
            <w:proofErr w:type="gramEnd"/>
            <w:r>
              <w:rPr>
                <w:b/>
                <w:sz w:val="22"/>
                <w:szCs w:val="22"/>
                <w:lang w:val="en-US"/>
              </w:rPr>
              <w:t xml:space="preserve">Corona Monitoring </w:t>
            </w:r>
            <w:proofErr w:type="spellStart"/>
            <w:r>
              <w:rPr>
                <w:b/>
                <w:sz w:val="22"/>
                <w:szCs w:val="22"/>
                <w:lang w:val="en-US"/>
              </w:rPr>
              <w:t>Bundesweit</w:t>
            </w:r>
            <w:proofErr w:type="spellEnd"/>
            <w:r>
              <w:rPr>
                <w:b/>
                <w:sz w:val="22"/>
                <w:szCs w:val="22"/>
                <w:lang w:val="en-US"/>
              </w:rPr>
              <w:t>” (RKI-SOEP-2-study)</w:t>
            </w:r>
          </w:p>
          <w:p>
            <w:pPr>
              <w:rPr>
                <w:sz w:val="22"/>
                <w:szCs w:val="22"/>
                <w:lang w:val="en-US"/>
              </w:rPr>
            </w:pPr>
            <w:proofErr w:type="spellStart"/>
            <w:r>
              <w:rPr>
                <w:sz w:val="22"/>
                <w:szCs w:val="22"/>
                <w:lang w:val="en-US"/>
              </w:rPr>
              <w:t>Folien</w:t>
            </w:r>
            <w:proofErr w:type="spellEnd"/>
            <w:r>
              <w:rPr>
                <w:sz w:val="22"/>
                <w:szCs w:val="22"/>
                <w:lang w:val="en-US"/>
              </w:rPr>
              <w:t xml:space="preserve"> </w:t>
            </w:r>
            <w:hyperlink r:id="rId19" w:history="1">
              <w:proofErr w:type="spellStart"/>
              <w:r>
                <w:rPr>
                  <w:rStyle w:val="Hyperlink"/>
                  <w:sz w:val="22"/>
                  <w:szCs w:val="22"/>
                  <w:lang w:val="en-US"/>
                </w:rPr>
                <w:t>h</w:t>
              </w:r>
              <w:r>
                <w:rPr>
                  <w:rStyle w:val="Hyperlink"/>
                  <w:sz w:val="22"/>
                  <w:szCs w:val="22"/>
                  <w:lang w:val="en-US"/>
                </w:rPr>
                <w:t>ier</w:t>
              </w:r>
              <w:proofErr w:type="spellEnd"/>
            </w:hyperlink>
          </w:p>
          <w:p>
            <w:pPr>
              <w:pStyle w:val="Listenabsatz"/>
              <w:numPr>
                <w:ilvl w:val="0"/>
                <w:numId w:val="9"/>
              </w:numPr>
              <w:rPr>
                <w:sz w:val="22"/>
                <w:szCs w:val="22"/>
              </w:rPr>
            </w:pPr>
            <w:proofErr w:type="spellStart"/>
            <w:r>
              <w:rPr>
                <w:sz w:val="22"/>
                <w:szCs w:val="22"/>
              </w:rPr>
              <w:t>PostCOVID</w:t>
            </w:r>
            <w:proofErr w:type="spellEnd"/>
            <w:r>
              <w:rPr>
                <w:sz w:val="22"/>
                <w:szCs w:val="22"/>
              </w:rPr>
              <w:t xml:space="preserve"> und </w:t>
            </w:r>
            <w:proofErr w:type="spellStart"/>
            <w:r>
              <w:rPr>
                <w:sz w:val="22"/>
                <w:szCs w:val="22"/>
              </w:rPr>
              <w:t>LongCOVID</w:t>
            </w:r>
            <w:proofErr w:type="spellEnd"/>
            <w:r>
              <w:rPr>
                <w:sz w:val="22"/>
                <w:szCs w:val="22"/>
              </w:rPr>
              <w:t xml:space="preserve">: schwer zu definieren; WHO Kriterien für Falldefinitionen ergeben einige Ermessenspielräume was sich in den Studienergebnissen widerspiegelt und deren Vergleichbarkeit.  </w:t>
            </w:r>
          </w:p>
          <w:p>
            <w:pPr>
              <w:pStyle w:val="Listenabsatz"/>
              <w:numPr>
                <w:ilvl w:val="0"/>
                <w:numId w:val="9"/>
              </w:numPr>
              <w:rPr>
                <w:sz w:val="22"/>
                <w:szCs w:val="22"/>
              </w:rPr>
            </w:pPr>
            <w:proofErr w:type="spellStart"/>
            <w:r>
              <w:rPr>
                <w:sz w:val="22"/>
                <w:szCs w:val="22"/>
              </w:rPr>
              <w:t>CoMoBu</w:t>
            </w:r>
            <w:proofErr w:type="spellEnd"/>
            <w:r>
              <w:rPr>
                <w:sz w:val="22"/>
                <w:szCs w:val="22"/>
              </w:rPr>
              <w:t xml:space="preserve"> II: in SOEP eingebettet; Fragebogen zu </w:t>
            </w:r>
            <w:proofErr w:type="spellStart"/>
            <w:r>
              <w:rPr>
                <w:sz w:val="22"/>
                <w:szCs w:val="22"/>
              </w:rPr>
              <w:t>LongCOVID</w:t>
            </w:r>
            <w:proofErr w:type="spellEnd"/>
            <w:r>
              <w:rPr>
                <w:sz w:val="22"/>
                <w:szCs w:val="22"/>
              </w:rPr>
              <w:t xml:space="preserve"> wurde angefügt; 19 Symptome in den letzten 6 Monaten abgefragt; und ob Beschwerden noch andauern, sowie Auswirkungen auf Schule/Erwerbstätigkeit?</w:t>
            </w:r>
          </w:p>
          <w:p>
            <w:pPr>
              <w:rPr>
                <w:sz w:val="22"/>
                <w:szCs w:val="22"/>
              </w:rPr>
            </w:pPr>
            <w:r>
              <w:rPr>
                <w:sz w:val="22"/>
                <w:szCs w:val="22"/>
              </w:rPr>
              <w:t>Cases und Controls:</w:t>
            </w:r>
          </w:p>
          <w:p>
            <w:pPr>
              <w:pStyle w:val="Listenabsatz"/>
              <w:numPr>
                <w:ilvl w:val="0"/>
                <w:numId w:val="9"/>
              </w:numPr>
              <w:rPr>
                <w:sz w:val="22"/>
                <w:szCs w:val="22"/>
              </w:rPr>
            </w:pPr>
            <w:r>
              <w:rPr>
                <w:sz w:val="22"/>
                <w:szCs w:val="22"/>
              </w:rPr>
              <w:t xml:space="preserve">Personen, die von Infektion wussten, und mit pos. PCR-Test </w:t>
            </w:r>
          </w:p>
          <w:p>
            <w:pPr>
              <w:pStyle w:val="Listenabsatz"/>
              <w:numPr>
                <w:ilvl w:val="0"/>
                <w:numId w:val="9"/>
              </w:numPr>
              <w:rPr>
                <w:sz w:val="22"/>
                <w:szCs w:val="22"/>
              </w:rPr>
            </w:pPr>
            <w:r>
              <w:rPr>
                <w:sz w:val="22"/>
                <w:szCs w:val="22"/>
              </w:rPr>
              <w:t>Personen, die von Infektion nichts wusste, bei denen Infektion durch AK-Test bestätigt wurde</w:t>
            </w:r>
          </w:p>
          <w:p>
            <w:pPr>
              <w:pStyle w:val="Listenabsatz"/>
              <w:numPr>
                <w:ilvl w:val="0"/>
                <w:numId w:val="9"/>
              </w:numPr>
              <w:rPr>
                <w:sz w:val="22"/>
                <w:szCs w:val="22"/>
              </w:rPr>
            </w:pPr>
            <w:r>
              <w:rPr>
                <w:sz w:val="22"/>
                <w:szCs w:val="22"/>
              </w:rPr>
              <w:t>Personen ohne Infektion (diese Gruppe fehlt in vielen Studien) - Baseline</w:t>
            </w:r>
          </w:p>
          <w:p>
            <w:pPr>
              <w:rPr>
                <w:sz w:val="22"/>
                <w:szCs w:val="22"/>
              </w:rPr>
            </w:pPr>
            <w:r>
              <w:rPr>
                <w:sz w:val="22"/>
                <w:szCs w:val="22"/>
              </w:rPr>
              <w:t>Ergebnisse:</w:t>
            </w:r>
          </w:p>
          <w:p>
            <w:pPr>
              <w:pStyle w:val="Listenabsatz"/>
              <w:numPr>
                <w:ilvl w:val="0"/>
                <w:numId w:val="9"/>
              </w:numPr>
              <w:rPr>
                <w:sz w:val="22"/>
                <w:szCs w:val="22"/>
              </w:rPr>
            </w:pPr>
            <w:r>
              <w:rPr>
                <w:sz w:val="22"/>
                <w:szCs w:val="22"/>
              </w:rPr>
              <w:t>Prävalenz für alle 3 Gruppen (Folie 6): 14-</w:t>
            </w:r>
            <w:proofErr w:type="gramStart"/>
            <w:r>
              <w:rPr>
                <w:sz w:val="22"/>
                <w:szCs w:val="22"/>
              </w:rPr>
              <w:t>65 Jährige</w:t>
            </w:r>
            <w:proofErr w:type="gramEnd"/>
          </w:p>
          <w:p>
            <w:pPr>
              <w:pStyle w:val="Listenabsatz"/>
              <w:rPr>
                <w:sz w:val="22"/>
                <w:szCs w:val="22"/>
              </w:rPr>
            </w:pPr>
            <w:proofErr w:type="spellStart"/>
            <w:r>
              <w:rPr>
                <w:sz w:val="22"/>
                <w:szCs w:val="22"/>
              </w:rPr>
              <w:t>Signifikater</w:t>
            </w:r>
            <w:proofErr w:type="spellEnd"/>
            <w:r>
              <w:rPr>
                <w:sz w:val="22"/>
                <w:szCs w:val="22"/>
              </w:rPr>
              <w:t xml:space="preserve"> Unterschiede zwischen Teilnehmern mit bekannter und keiner Infektion.</w:t>
            </w:r>
          </w:p>
          <w:p>
            <w:pPr>
              <w:pStyle w:val="Listenabsatz"/>
              <w:rPr>
                <w:sz w:val="22"/>
                <w:szCs w:val="22"/>
              </w:rPr>
            </w:pPr>
            <w:r>
              <w:rPr>
                <w:sz w:val="22"/>
                <w:szCs w:val="22"/>
              </w:rPr>
              <w:t xml:space="preserve">Die von Infektion nichts wussten, aber infiziert waren, rücken näher an Infizierte heran, die von Infektion wussten. Je enger </w:t>
            </w:r>
            <w:r>
              <w:rPr>
                <w:sz w:val="22"/>
                <w:szCs w:val="22"/>
              </w:rPr>
              <w:lastRenderedPageBreak/>
              <w:t xml:space="preserve">die </w:t>
            </w:r>
            <w:proofErr w:type="spellStart"/>
            <w:r>
              <w:rPr>
                <w:sz w:val="22"/>
                <w:szCs w:val="22"/>
              </w:rPr>
              <w:t>Def</w:t>
            </w:r>
            <w:proofErr w:type="spellEnd"/>
            <w:r>
              <w:rPr>
                <w:sz w:val="22"/>
                <w:szCs w:val="22"/>
              </w:rPr>
              <w:t xml:space="preserve">. Von </w:t>
            </w:r>
            <w:proofErr w:type="spellStart"/>
            <w:r>
              <w:rPr>
                <w:sz w:val="22"/>
                <w:szCs w:val="22"/>
              </w:rPr>
              <w:t>LongCOVID</w:t>
            </w:r>
            <w:proofErr w:type="spellEnd"/>
            <w:r>
              <w:rPr>
                <w:sz w:val="22"/>
                <w:szCs w:val="22"/>
              </w:rPr>
              <w:t xml:space="preserve"> gefasst ist, desto geringer sind die Unterschiede zwischen den Gruppen.</w:t>
            </w:r>
          </w:p>
          <w:p>
            <w:pPr>
              <w:pStyle w:val="Listenabsatz"/>
              <w:numPr>
                <w:ilvl w:val="0"/>
                <w:numId w:val="9"/>
              </w:numPr>
              <w:rPr>
                <w:sz w:val="22"/>
                <w:szCs w:val="22"/>
              </w:rPr>
            </w:pPr>
            <w:r>
              <w:rPr>
                <w:sz w:val="22"/>
                <w:szCs w:val="22"/>
              </w:rPr>
              <w:t xml:space="preserve">Risiko für </w:t>
            </w:r>
            <w:proofErr w:type="spellStart"/>
            <w:r>
              <w:rPr>
                <w:sz w:val="22"/>
                <w:szCs w:val="22"/>
              </w:rPr>
              <w:t>longCOVID</w:t>
            </w:r>
            <w:proofErr w:type="spellEnd"/>
            <w:r>
              <w:rPr>
                <w:sz w:val="22"/>
                <w:szCs w:val="22"/>
              </w:rPr>
              <w:t xml:space="preserve"> </w:t>
            </w:r>
            <w:proofErr w:type="spellStart"/>
            <w:r>
              <w:rPr>
                <w:sz w:val="22"/>
                <w:szCs w:val="22"/>
              </w:rPr>
              <w:t>erhöhrt</w:t>
            </w:r>
            <w:proofErr w:type="spellEnd"/>
            <w:r>
              <w:rPr>
                <w:sz w:val="22"/>
                <w:szCs w:val="22"/>
              </w:rPr>
              <w:t xml:space="preserve">: Geschlecht (weiblich), Alter, Anzahl von Begleiterkrankungen; </w:t>
            </w:r>
          </w:p>
          <w:p>
            <w:pPr>
              <w:pStyle w:val="Listenabsatz"/>
              <w:numPr>
                <w:ilvl w:val="0"/>
                <w:numId w:val="9"/>
              </w:numPr>
              <w:rPr>
                <w:sz w:val="22"/>
                <w:szCs w:val="22"/>
              </w:rPr>
            </w:pPr>
            <w:r>
              <w:rPr>
                <w:sz w:val="22"/>
                <w:szCs w:val="22"/>
              </w:rPr>
              <w:t>Self-</w:t>
            </w:r>
            <w:proofErr w:type="spellStart"/>
            <w:r>
              <w:rPr>
                <w:sz w:val="22"/>
                <w:szCs w:val="22"/>
              </w:rPr>
              <w:t>related</w:t>
            </w:r>
            <w:proofErr w:type="spellEnd"/>
            <w:r>
              <w:rPr>
                <w:sz w:val="22"/>
                <w:szCs w:val="22"/>
              </w:rPr>
              <w:t xml:space="preserve"> Health: wie schätzt man seine eigene Gesundheit gerade ein, und im Vergleich zu vor der Pandemie? Infizierte, ohne </w:t>
            </w:r>
            <w:proofErr w:type="spellStart"/>
            <w:r>
              <w:rPr>
                <w:sz w:val="22"/>
                <w:szCs w:val="22"/>
              </w:rPr>
              <w:t>LongCOVID</w:t>
            </w:r>
            <w:proofErr w:type="spellEnd"/>
            <w:r>
              <w:rPr>
                <w:sz w:val="22"/>
                <w:szCs w:val="22"/>
              </w:rPr>
              <w:t>: 6x Verschlechterung;</w:t>
            </w:r>
          </w:p>
          <w:p>
            <w:pPr>
              <w:rPr>
                <w:sz w:val="22"/>
                <w:szCs w:val="22"/>
              </w:rPr>
            </w:pPr>
            <w:hyperlink r:id="rId20" w:history="1">
              <w:r>
                <w:rPr>
                  <w:rStyle w:val="Hyperlink"/>
                  <w:sz w:val="22"/>
                  <w:szCs w:val="22"/>
                </w:rPr>
                <w:t>https://www.rki.de/long-covid</w:t>
              </w:r>
            </w:hyperlink>
            <w:r>
              <w:rPr>
                <w:sz w:val="22"/>
                <w:szCs w:val="22"/>
              </w:rPr>
              <w:t xml:space="preserve"> </w:t>
            </w:r>
          </w:p>
          <w:p>
            <w:pPr>
              <w:rPr>
                <w:b/>
                <w:sz w:val="22"/>
                <w:szCs w:val="22"/>
              </w:rPr>
            </w:pPr>
            <w:r>
              <w:rPr>
                <w:b/>
                <w:sz w:val="22"/>
                <w:szCs w:val="22"/>
              </w:rPr>
              <w:t>Fragen/ergänzende Infos:</w:t>
            </w:r>
          </w:p>
          <w:p>
            <w:pPr>
              <w:pStyle w:val="Listenabsatz"/>
              <w:numPr>
                <w:ilvl w:val="0"/>
                <w:numId w:val="9"/>
              </w:numPr>
              <w:rPr>
                <w:sz w:val="22"/>
                <w:szCs w:val="22"/>
              </w:rPr>
            </w:pPr>
            <w:r>
              <w:rPr>
                <w:sz w:val="22"/>
                <w:szCs w:val="22"/>
              </w:rPr>
              <w:t xml:space="preserve">Sensitivität der Falldefinition und das Wissen, ob man infiziert war, hat </w:t>
            </w:r>
            <w:r>
              <w:rPr>
                <w:sz w:val="22"/>
                <w:szCs w:val="22"/>
              </w:rPr>
              <w:t>großen Einfluss</w:t>
            </w:r>
            <w:r>
              <w:rPr>
                <w:sz w:val="22"/>
                <w:szCs w:val="22"/>
              </w:rPr>
              <w:t xml:space="preserve"> auf Prävalenz von </w:t>
            </w:r>
            <w:proofErr w:type="spellStart"/>
            <w:r>
              <w:rPr>
                <w:sz w:val="22"/>
                <w:szCs w:val="22"/>
              </w:rPr>
              <w:t>LongCOVID</w:t>
            </w:r>
            <w:proofErr w:type="spellEnd"/>
            <w:r>
              <w:rPr>
                <w:sz w:val="22"/>
                <w:szCs w:val="22"/>
              </w:rPr>
              <w:t xml:space="preserve">. Je enger die </w:t>
            </w:r>
            <w:proofErr w:type="spellStart"/>
            <w:r>
              <w:rPr>
                <w:sz w:val="22"/>
                <w:szCs w:val="22"/>
              </w:rPr>
              <w:t>Def</w:t>
            </w:r>
            <w:proofErr w:type="spellEnd"/>
            <w:r>
              <w:rPr>
                <w:sz w:val="22"/>
                <w:szCs w:val="22"/>
              </w:rPr>
              <w:t xml:space="preserve">. Gefasst, desto niedriger der Unterschied zwischen den Gruppen; Wie aussagekräftig sind die Ergebnisse? - Immer noch deutlich. 40% attributables Risiko auf Infektion zurückzuführen. </w:t>
            </w:r>
          </w:p>
          <w:p>
            <w:pPr>
              <w:pStyle w:val="Listenabsatz"/>
              <w:numPr>
                <w:ilvl w:val="0"/>
                <w:numId w:val="9"/>
              </w:numPr>
              <w:rPr>
                <w:sz w:val="22"/>
                <w:szCs w:val="22"/>
              </w:rPr>
            </w:pPr>
            <w:r>
              <w:rPr>
                <w:sz w:val="22"/>
                <w:szCs w:val="22"/>
              </w:rPr>
              <w:t xml:space="preserve">Nicht subjektive Outcomes werden mitlaufen gelassen, um Bias der Eigenwahrnehmung rauszunehmen. </w:t>
            </w:r>
          </w:p>
          <w:p>
            <w:pPr>
              <w:pStyle w:val="Listenabsatz"/>
              <w:numPr>
                <w:ilvl w:val="0"/>
                <w:numId w:val="9"/>
              </w:numPr>
              <w:rPr>
                <w:sz w:val="22"/>
                <w:szCs w:val="22"/>
              </w:rPr>
            </w:pPr>
            <w:r>
              <w:rPr>
                <w:sz w:val="22"/>
                <w:szCs w:val="22"/>
              </w:rPr>
              <w:t xml:space="preserve">Hintergrund-Monitoring: Kontrollgruppen werden immer dünner, wie sieht es in Bevölkerung insgesamt mit </w:t>
            </w:r>
            <w:proofErr w:type="spellStart"/>
            <w:r>
              <w:rPr>
                <w:sz w:val="22"/>
                <w:szCs w:val="22"/>
              </w:rPr>
              <w:t>LongCOVID</w:t>
            </w:r>
            <w:proofErr w:type="spellEnd"/>
            <w:r>
              <w:rPr>
                <w:sz w:val="22"/>
                <w:szCs w:val="22"/>
              </w:rPr>
              <w:t xml:space="preserve"> Symptomen aus? </w:t>
            </w:r>
          </w:p>
          <w:p>
            <w:pPr>
              <w:pStyle w:val="Listenabsatz"/>
              <w:numPr>
                <w:ilvl w:val="0"/>
                <w:numId w:val="9"/>
              </w:numPr>
            </w:pPr>
            <w:r>
              <w:rPr>
                <w:sz w:val="22"/>
                <w:szCs w:val="22"/>
              </w:rPr>
              <w:t xml:space="preserve">Dürfen Ergebnisse kommuniziert werden? – </w:t>
            </w:r>
            <w:proofErr w:type="spellStart"/>
            <w:r>
              <w:rPr>
                <w:sz w:val="22"/>
                <w:szCs w:val="22"/>
              </w:rPr>
              <w:t>Hr</w:t>
            </w:r>
            <w:proofErr w:type="spellEnd"/>
            <w:r>
              <w:rPr>
                <w:sz w:val="22"/>
                <w:szCs w:val="22"/>
              </w:rPr>
              <w:t xml:space="preserve"> Scheida nimmt Kontakt auf</w:t>
            </w:r>
            <w:r>
              <w:t>.</w:t>
            </w:r>
          </w:p>
        </w:tc>
        <w:tc>
          <w:tcPr>
            <w:tcW w:w="1463" w:type="dxa"/>
          </w:tcPr>
          <w:p>
            <w:r>
              <w:lastRenderedPageBreak/>
              <w:t xml:space="preserve">Fr. </w:t>
            </w:r>
            <w:proofErr w:type="spellStart"/>
            <w:r>
              <w:t>Pethke</w:t>
            </w:r>
            <w:proofErr w:type="spellEnd"/>
            <w:r>
              <w:t>-Müller</w:t>
            </w:r>
          </w:p>
        </w:tc>
      </w:tr>
      <w:tr>
        <w:tc>
          <w:tcPr>
            <w:tcW w:w="684" w:type="dxa"/>
          </w:tcPr>
          <w:p>
            <w:pPr>
              <w:rPr>
                <w:b/>
              </w:rPr>
            </w:pPr>
            <w:r>
              <w:rPr>
                <w:b/>
              </w:rPr>
              <w:t>7</w:t>
            </w:r>
          </w:p>
        </w:tc>
        <w:tc>
          <w:tcPr>
            <w:tcW w:w="6824" w:type="dxa"/>
          </w:tcPr>
          <w:p>
            <w:pPr>
              <w:pStyle w:val="1"/>
            </w:pPr>
            <w:r>
              <w:t>Aktuelle Risikobewertung</w:t>
            </w:r>
          </w:p>
          <w:p>
            <w:pPr>
              <w:pStyle w:val="Liste2"/>
              <w:rPr>
                <w:lang w:val="de-DE"/>
              </w:rPr>
            </w:pPr>
            <w:r>
              <w:rPr>
                <w:lang w:val="de-DE"/>
              </w:rPr>
              <w:t>Kleinere Anpassungen könnten erfolgen, aber nicht zeitkritisch; momentan keine Änderungen</w:t>
            </w:r>
            <w:r>
              <w:rPr>
                <w:lang w:val="de-DE"/>
              </w:rP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8</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  (nicht berichtet)</w:t>
            </w:r>
          </w:p>
        </w:tc>
        <w:tc>
          <w:tcPr>
            <w:tcW w:w="1463" w:type="dxa"/>
          </w:tcPr>
          <w:p>
            <w:pPr>
              <w:rPr>
                <w:sz w:val="22"/>
                <w:szCs w:val="22"/>
              </w:rPr>
            </w:pPr>
            <w:proofErr w:type="spellStart"/>
            <w:r>
              <w:rPr>
                <w:sz w:val="22"/>
                <w:szCs w:val="22"/>
              </w:rPr>
              <w:t>Präs</w:t>
            </w:r>
            <w:proofErr w:type="spellEnd"/>
          </w:p>
        </w:tc>
      </w:tr>
      <w:tr>
        <w:trPr>
          <w:trHeight w:val="518"/>
        </w:trPr>
        <w:tc>
          <w:tcPr>
            <w:tcW w:w="684" w:type="dxa"/>
          </w:tcPr>
          <w:p>
            <w:pPr>
              <w:rPr>
                <w:b/>
              </w:rPr>
            </w:pPr>
            <w:r>
              <w:rPr>
                <w:b/>
              </w:rPr>
              <w:t>9</w:t>
            </w:r>
          </w:p>
        </w:tc>
        <w:tc>
          <w:tcPr>
            <w:tcW w:w="6824" w:type="dxa"/>
          </w:tcPr>
          <w:p>
            <w:pPr>
              <w:pStyle w:val="1"/>
            </w:pPr>
            <w:r>
              <w:t>Kommunikation</w:t>
            </w:r>
          </w:p>
          <w:p>
            <w:pPr>
              <w:pStyle w:val="2"/>
            </w:pPr>
            <w:r>
              <w:t>BZgA</w:t>
            </w:r>
          </w:p>
          <w:p>
            <w:pPr>
              <w:pStyle w:val="Liste1"/>
            </w:pPr>
            <w:r>
              <w:t>Nichts zu berichten</w:t>
            </w:r>
          </w:p>
          <w:p>
            <w:pPr>
              <w:pStyle w:val="2"/>
            </w:pPr>
            <w:r>
              <w:t>Presse</w:t>
            </w:r>
          </w:p>
          <w:p>
            <w:pPr>
              <w:pStyle w:val="Liste1"/>
            </w:pPr>
            <w:r>
              <w:t>Nichts zu berichten</w:t>
            </w:r>
          </w:p>
          <w:p>
            <w:pPr>
              <w:pStyle w:val="2"/>
            </w:pPr>
            <w:r>
              <w:t>P1</w:t>
            </w:r>
          </w:p>
          <w:p>
            <w:pPr>
              <w:pStyle w:val="Liste1"/>
              <w:rPr>
                <w:i/>
              </w:rPr>
            </w:pPr>
            <w:r>
              <w:t xml:space="preserve">Flyer Impfdurchbrüche auf Auffrischimpfung umgearbeitet und wird </w:t>
            </w:r>
            <w:proofErr w:type="spellStart"/>
            <w:r>
              <w:t>Social</w:t>
            </w:r>
            <w:proofErr w:type="spellEnd"/>
            <w:r>
              <w:t xml:space="preserve"> Media Taskforce nach Abstimmung zugespielt</w:t>
            </w:r>
          </w:p>
          <w:p>
            <w:pPr>
              <w:pStyle w:val="Liste1"/>
              <w:numPr>
                <w:ilvl w:val="0"/>
                <w:numId w:val="0"/>
              </w:numPr>
              <w:ind w:left="473"/>
              <w:rPr>
                <w:i/>
              </w:rPr>
            </w:pPr>
          </w:p>
          <w:p>
            <w:pPr>
              <w:pStyle w:val="Liste1"/>
              <w:numPr>
                <w:ilvl w:val="0"/>
                <w:numId w:val="0"/>
              </w:numPr>
              <w:ind w:left="113"/>
              <w:rPr>
                <w:b/>
              </w:rPr>
            </w:pPr>
            <w:r>
              <w:rPr>
                <w:b/>
              </w:rPr>
              <w:t>Anderes:</w:t>
            </w:r>
          </w:p>
          <w:p>
            <w:pPr>
              <w:pStyle w:val="Liste1"/>
              <w:numPr>
                <w:ilvl w:val="0"/>
                <w:numId w:val="9"/>
              </w:numPr>
              <w:rPr>
                <w:i/>
              </w:rPr>
            </w:pPr>
            <w:r>
              <w:t xml:space="preserve">Pressekonferenz am 02.11(Uhrzeit nicht bekannt) BMSFJ und BMG zum Abschluss der Corona-Kita-Studie, Hintergrundpapier wird gerade kommentiert. Botschaften werden vorbereitet, Erklärvideo wurde produziert, DJI Federführung; Input von RKI-Seite; Unterlagen werden der Pressestelle zur Kommentierung weitergeleitet; </w:t>
            </w:r>
            <w:r>
              <w:br/>
            </w:r>
          </w:p>
        </w:tc>
        <w:tc>
          <w:tcPr>
            <w:tcW w:w="1463" w:type="dxa"/>
          </w:tcPr>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lastRenderedPageBreak/>
              <w:t>10</w:t>
            </w:r>
          </w:p>
        </w:tc>
        <w:tc>
          <w:tcPr>
            <w:tcW w:w="6824" w:type="dxa"/>
          </w:tcPr>
          <w:p>
            <w:pPr>
              <w:pStyle w:val="1"/>
            </w:pPr>
            <w:r>
              <w:t>RKI-Strategie Fragen</w:t>
            </w:r>
          </w:p>
          <w:p>
            <w:pPr>
              <w:pStyle w:val="2"/>
            </w:pPr>
            <w:r>
              <w:t>Allgemein</w:t>
            </w:r>
          </w:p>
          <w:p>
            <w:pPr>
              <w:pStyle w:val="Liste1"/>
            </w:pPr>
            <w:r>
              <w:t>Anliegen der BL: Berichtsfrequenz zwischen den Jahren: kein Wochenbericht und keine Aktualisierungen der Daten zwischen den Jahren gewünscht. Ministerien werden aus Energiespargründen geschlossen, es läuft nur ein Notbetrieb</w:t>
            </w:r>
          </w:p>
          <w:p>
            <w:pPr>
              <w:pStyle w:val="Liste1"/>
            </w:pPr>
            <w:r>
              <w:t xml:space="preserve">Reduzierung allgemein auf wöchentliche Berichterstattung gewünscht. </w:t>
            </w:r>
          </w:p>
          <w:p>
            <w:pPr>
              <w:pStyle w:val="Liste1"/>
            </w:pPr>
            <w:r>
              <w:t>Dashboard: auch nur wöchentlich aktualisiert ab neuem Jahr? – mit neuem Pandemieradar wohl schwierig</w:t>
            </w:r>
          </w:p>
          <w:p>
            <w:pPr>
              <w:pStyle w:val="Liste1"/>
            </w:pPr>
            <w:r>
              <w:t xml:space="preserve">Im Vergleich zu anderen Erregern müssen grundsätzliche strategische Fragen intern geklärt werden - Übergang in saisonales Geschehen. </w:t>
            </w:r>
          </w:p>
          <w:p>
            <w:pPr>
              <w:pStyle w:val="Liste1"/>
            </w:pPr>
            <w:r>
              <w:t xml:space="preserve">Wöchentliche Bereitstellung der Daten, Vorteile: </w:t>
            </w:r>
            <w:proofErr w:type="spellStart"/>
            <w:r>
              <w:t>Misinterpretation</w:t>
            </w:r>
            <w:proofErr w:type="spellEnd"/>
            <w:r>
              <w:t xml:space="preserve"> der Daten würde wegfallen und Nachfragen zu Schwankungen. </w:t>
            </w:r>
          </w:p>
          <w:p>
            <w:pPr>
              <w:pStyle w:val="Liste1"/>
            </w:pPr>
            <w:r>
              <w:t xml:space="preserve">Bitte der BL hat sich nicht auf DIVI bezogen. Technisch und fachlich nicht zu stoppen, da tägliche Meldepflicht, zudem waren Zahlen über Jahreswechsel stabil; DIVI: unmittelbare Versorgungsfragen, keine Surveillance-Daten; Andere Zielsetzung DIVI: Monitoring von Ressourcen. </w:t>
            </w:r>
          </w:p>
          <w:p>
            <w:pPr>
              <w:pStyle w:val="Liste1"/>
              <w:numPr>
                <w:ilvl w:val="0"/>
                <w:numId w:val="0"/>
              </w:numPr>
              <w:ind w:left="113"/>
              <w:rPr>
                <w:b/>
              </w:rPr>
            </w:pPr>
            <w:proofErr w:type="spellStart"/>
            <w:r>
              <w:rPr>
                <w:b/>
              </w:rPr>
              <w:t>To</w:t>
            </w:r>
            <w:proofErr w:type="spellEnd"/>
            <w:r>
              <w:rPr>
                <w:b/>
              </w:rPr>
              <w:t xml:space="preserve"> Do:</w:t>
            </w:r>
          </w:p>
          <w:p>
            <w:pPr>
              <w:pStyle w:val="Liste1"/>
            </w:pPr>
            <w:r>
              <w:t>Initiativbericht BMG</w:t>
            </w:r>
            <w:r>
              <w:t xml:space="preserve">: </w:t>
            </w:r>
            <w:r>
              <w:t>kein Wochenbericht und keine Aktualisierung der Daten</w:t>
            </w:r>
            <w:r>
              <w:t xml:space="preserve"> über die Feiertage</w:t>
            </w:r>
            <w:bookmarkStart w:id="1" w:name="_GoBack"/>
            <w:bookmarkEnd w:id="1"/>
            <w:r>
              <w:t xml:space="preserve">; Bericht auf Surveillance-Systeme beschränken. </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FG31</w:t>
            </w:r>
          </w:p>
        </w:tc>
      </w:tr>
      <w:tr>
        <w:tc>
          <w:tcPr>
            <w:tcW w:w="684" w:type="dxa"/>
          </w:tcPr>
          <w:p>
            <w:pPr>
              <w:rPr>
                <w:b/>
              </w:rPr>
            </w:pPr>
            <w:r>
              <w:rPr>
                <w:b/>
              </w:rPr>
              <w:t>11</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12</w:t>
            </w:r>
          </w:p>
        </w:tc>
        <w:tc>
          <w:tcPr>
            <w:tcW w:w="6824" w:type="dxa"/>
          </w:tcPr>
          <w:p>
            <w:pPr>
              <w:pStyle w:val="1"/>
            </w:pPr>
            <w:r>
              <w:t>Labordiagnostik</w:t>
            </w:r>
          </w:p>
          <w:p>
            <w:pPr>
              <w:pStyle w:val="2"/>
            </w:pPr>
            <w:r>
              <w:t>FG17 und ZBS1</w:t>
            </w:r>
          </w:p>
          <w:p>
            <w:pPr>
              <w:pStyle w:val="2"/>
            </w:pPr>
            <w:r>
              <w:t>Keine Ergänzungen</w:t>
            </w:r>
          </w:p>
        </w:tc>
        <w:tc>
          <w:tcPr>
            <w:tcW w:w="1463" w:type="dxa"/>
          </w:tcPr>
          <w:p>
            <w:pPr>
              <w:rPr>
                <w:sz w:val="22"/>
                <w:szCs w:val="22"/>
              </w:rPr>
            </w:pPr>
          </w:p>
        </w:tc>
      </w:tr>
      <w:tr>
        <w:tc>
          <w:tcPr>
            <w:tcW w:w="684" w:type="dxa"/>
          </w:tcPr>
          <w:p>
            <w:pPr>
              <w:rPr>
                <w:b/>
              </w:rPr>
            </w:pPr>
            <w:r>
              <w:rPr>
                <w:b/>
              </w:rPr>
              <w:t>13</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14</w:t>
            </w:r>
          </w:p>
        </w:tc>
        <w:tc>
          <w:tcPr>
            <w:tcW w:w="6824" w:type="dxa"/>
          </w:tcPr>
          <w:p>
            <w:pPr>
              <w:pStyle w:val="1"/>
            </w:pPr>
            <w:r>
              <w:t>Maßnahmen zum Infektionsschutz</w:t>
            </w:r>
          </w:p>
          <w:p>
            <w:pPr>
              <w:pStyle w:val="Liste1"/>
              <w:rPr>
                <w:i/>
              </w:rPr>
            </w:pPr>
            <w:r>
              <w:t xml:space="preserve">Letzte Woche KRINKO Stellungnahme zu § 28b, Stärkung besonders vulnerabler Gruppen (Masken und Testkonzepte in Einrichtungen). Bisher keine Reaktionen von der Presse eingegangen. </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15</w:t>
            </w:r>
          </w:p>
        </w:tc>
        <w:tc>
          <w:tcPr>
            <w:tcW w:w="6824" w:type="dxa"/>
          </w:tcPr>
          <w:p>
            <w:pPr>
              <w:pStyle w:val="1"/>
              <w:rPr>
                <w:sz w:val="22"/>
              </w:rPr>
            </w:pPr>
            <w:r>
              <w:t>Surveillance</w:t>
            </w:r>
          </w:p>
          <w:p>
            <w:pPr>
              <w:pStyle w:val="Liste1"/>
            </w:pPr>
            <w:r>
              <w:t xml:space="preserve">Erlass </w:t>
            </w:r>
            <w:proofErr w:type="spellStart"/>
            <w:r>
              <w:t>Abwassersurveillance</w:t>
            </w:r>
            <w:proofErr w:type="spellEnd"/>
            <w:r>
              <w:t xml:space="preserve">. Vorhabensbeschreibung, mit Frist heute; Rahmenbedingungen haben sich heute erst geklärt. Bis </w:t>
            </w:r>
            <w:r>
              <w:lastRenderedPageBreak/>
              <w:t xml:space="preserve">Freitag Verlängerung beantragen; M. Diercke federführend mit Herrn Möhl; </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16</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DEA, Punkt 5</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17</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Berichterstattung, siehe vorher</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18</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19</w:t>
            </w:r>
          </w:p>
        </w:tc>
        <w:tc>
          <w:tcPr>
            <w:tcW w:w="6824" w:type="dxa"/>
          </w:tcPr>
          <w:p>
            <w:pPr>
              <w:pStyle w:val="1"/>
            </w:pPr>
            <w:r>
              <w:t>Andere Themen</w:t>
            </w:r>
          </w:p>
          <w:p>
            <w:pPr>
              <w:pStyle w:val="Liste1"/>
            </w:pPr>
            <w:r>
              <w:t xml:space="preserve">Nächste Sitzung: Mittwoch, 09.11.2022, 11:00 Uhr, via </w:t>
            </w:r>
            <w:proofErr w:type="spellStart"/>
            <w:r>
              <w:t>Webex</w:t>
            </w:r>
            <w:proofErr w:type="spellEnd"/>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13:12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FBA"/>
    <w:multiLevelType w:val="hybridMultilevel"/>
    <w:tmpl w:val="62224D52"/>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 w15:restartNumberingAfterBreak="0">
    <w:nsid w:val="03544E62"/>
    <w:multiLevelType w:val="hybridMultilevel"/>
    <w:tmpl w:val="B9428B18"/>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035EE"/>
    <w:multiLevelType w:val="hybridMultilevel"/>
    <w:tmpl w:val="600414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E669B8"/>
    <w:multiLevelType w:val="hybridMultilevel"/>
    <w:tmpl w:val="F12819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AC5A26"/>
    <w:multiLevelType w:val="hybridMultilevel"/>
    <w:tmpl w:val="DC149DC2"/>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F32EAF"/>
    <w:multiLevelType w:val="hybridMultilevel"/>
    <w:tmpl w:val="7C462830"/>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0"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C0447"/>
    <w:multiLevelType w:val="hybridMultilevel"/>
    <w:tmpl w:val="A8EC16A4"/>
    <w:lvl w:ilvl="0" w:tplc="04070001">
      <w:start w:val="1"/>
      <w:numFmt w:val="bullet"/>
      <w:lvlText w:val=""/>
      <w:lvlJc w:val="left"/>
      <w:pPr>
        <w:ind w:left="720" w:hanging="360"/>
      </w:pPr>
      <w:rPr>
        <w:rFonts w:ascii="Symbol" w:hAnsi="Symbol" w:hint="default"/>
      </w:rPr>
    </w:lvl>
    <w:lvl w:ilvl="1" w:tplc="124C418C">
      <w:numFmt w:val="bullet"/>
      <w:lvlText w:val="•"/>
      <w:lvlJc w:val="left"/>
      <w:pPr>
        <w:ind w:left="1440" w:hanging="360"/>
      </w:pPr>
      <w:rPr>
        <w:rFonts w:ascii="Cambria" w:eastAsiaTheme="minorHAnsi" w:hAnsi="Cambr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00039B"/>
    <w:multiLevelType w:val="hybridMultilevel"/>
    <w:tmpl w:val="D6309A66"/>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4" w15:restartNumberingAfterBreak="0">
    <w:nsid w:val="68000633"/>
    <w:multiLevelType w:val="hybridMultilevel"/>
    <w:tmpl w:val="388E2D8A"/>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5" w15:restartNumberingAfterBreak="0">
    <w:nsid w:val="74180376"/>
    <w:multiLevelType w:val="hybridMultilevel"/>
    <w:tmpl w:val="CE2AD30C"/>
    <w:lvl w:ilvl="0" w:tplc="D9F62D1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8A354B6"/>
    <w:multiLevelType w:val="hybridMultilevel"/>
    <w:tmpl w:val="1764B6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1"/>
  </w:num>
  <w:num w:numId="5">
    <w:abstractNumId w:val="7"/>
  </w:num>
  <w:num w:numId="6">
    <w:abstractNumId w:val="12"/>
  </w:num>
  <w:num w:numId="7">
    <w:abstractNumId w:val="6"/>
  </w:num>
  <w:num w:numId="8">
    <w:abstractNumId w:val="10"/>
  </w:num>
  <w:num w:numId="9">
    <w:abstractNumId w:val="15"/>
  </w:num>
  <w:num w:numId="10">
    <w:abstractNumId w:val="9"/>
  </w:num>
  <w:num w:numId="11">
    <w:abstractNumId w:val="0"/>
  </w:num>
  <w:num w:numId="12">
    <w:abstractNumId w:val="13"/>
  </w:num>
  <w:num w:numId="13">
    <w:abstractNumId w:val="14"/>
  </w:num>
  <w:num w:numId="14">
    <w:abstractNumId w:val="1"/>
  </w:num>
  <w:num w:numId="15">
    <w:abstractNumId w:val="16"/>
  </w:num>
  <w:num w:numId="16">
    <w:abstractNumId w:val="5"/>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96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7"/>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8"/>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7"/>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2-10-26-Lage-AG\2022-10-26_Intensivregister_SPoCK.pptx" TargetMode="External"/><Relationship Id="rId18" Type="http://schemas.openxmlformats.org/officeDocument/2006/relationships/hyperlink" Target="https://app.euplf.e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10-26-Lage-AG\LageNational_2022-10-26_draft.pptx" TargetMode="External"/><Relationship Id="rId17" Type="http://schemas.openxmlformats.org/officeDocument/2006/relationships/hyperlink" Target="file:///S:\Wissdaten\RKI_nCoV-Lage\1.Lagemanagement\1.3.Besprechungen_TKs\1.Lage_AG\2022-10-26-Lage-AG\26-10-22_Lage-AG_Impf-Update-final.pptx" TargetMode="External"/><Relationship Id="rId2" Type="http://schemas.openxmlformats.org/officeDocument/2006/relationships/numbering" Target="numbering.xml"/><Relationship Id="rId16" Type="http://schemas.openxmlformats.org/officeDocument/2006/relationships/hyperlink" Target="https://www.nature.com/articles/s41564-022-01242-5" TargetMode="External"/><Relationship Id="rId20" Type="http://schemas.openxmlformats.org/officeDocument/2006/relationships/hyperlink" Target="https://www.rki.de/long-cov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10-26-Lage-AG\COVID-19_internat.%20Lage_2022-10-26.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10-26-Lage-AG\syndrom-ARE-SARI-COVID_bis_KW42_2022_f&#252;r-Krisenstab.pptx"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Prevalence%20and%20Determinants%20of%20LongCovid_CoMoBuII_KRISENSTAB.ppt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2-10-26-Lage-AG\2022-10_26_LageAG-VOC.ppt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6E6B-5A49-46D9-8344-992C9045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2366</Words>
  <Characters>14909</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Jung-Sendzik, Tanja</cp:lastModifiedBy>
  <cp:revision>16</cp:revision>
  <cp:lastPrinted>2020-05-06T16:43:00Z</cp:lastPrinted>
  <dcterms:created xsi:type="dcterms:W3CDTF">2022-10-26T18:14:00Z</dcterms:created>
  <dcterms:modified xsi:type="dcterms:W3CDTF">2022-10-26T20:34:00Z</dcterms:modified>
</cp:coreProperties>
</file>