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09.11.2022,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Ute Rexroth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Ralf </w:t>
      </w:r>
      <w:proofErr w:type="spellStart"/>
      <w:r>
        <w:rPr>
          <w:sz w:val="22"/>
          <w:szCs w:val="22"/>
        </w:rPr>
        <w:t>Dürrwald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Jonathan Fischer-Fels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Muna</w:t>
      </w:r>
      <w:proofErr w:type="spellEnd"/>
      <w:r>
        <w:rPr>
          <w:sz w:val="22"/>
          <w:szCs w:val="22"/>
        </w:rPr>
        <w:t xml:space="preserve"> Abu Sin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Annegret Schneider</w:t>
      </w:r>
    </w:p>
    <w:p>
      <w:pPr>
        <w:spacing w:after="0"/>
        <w:rPr>
          <w:sz w:val="22"/>
          <w:szCs w:val="22"/>
        </w:rPr>
      </w:pPr>
    </w:p>
    <w:p>
      <w:pPr>
        <w:spacing w:after="0"/>
        <w:rPr>
          <w:sz w:val="22"/>
          <w:szCs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Andrea </w:t>
      </w:r>
      <w:proofErr w:type="spellStart"/>
      <w:r>
        <w:rPr>
          <w:color w:val="000000" w:themeColor="text1"/>
          <w:sz w:val="22"/>
          <w:szCs w:val="22"/>
        </w:rPr>
        <w:t>Rückle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bCs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spacing w:line="276" w:lineRule="auto"/>
            </w:pP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1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proofErr w:type="spellStart"/>
            <w:r>
              <w:t>Weltweit</w:t>
            </w:r>
            <w:proofErr w:type="spellEnd"/>
            <w:r>
              <w:t xml:space="preserve">: </w:t>
            </w:r>
            <w:proofErr w:type="spellStart"/>
            <w:r>
              <w:t>Fälle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08.11.2022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Liste Top 10 Länder nach neuen Fällen: </w:t>
            </w:r>
          </w:p>
          <w:p>
            <w:pPr>
              <w:pStyle w:val="Liste3"/>
            </w:pPr>
            <w:r>
              <w:t>Anstieg der Fallzahlen in Indonesien und Malaysia</w:t>
            </w:r>
          </w:p>
          <w:p>
            <w:pPr>
              <w:pStyle w:val="Liste3"/>
            </w:pPr>
            <w:r>
              <w:t>Nachmeldung von Todesfällen aus Indien, daher der Anstieg von 69% Todesfälle in Asien</w:t>
            </w:r>
          </w:p>
          <w:p>
            <w:pPr>
              <w:pStyle w:val="Liste3"/>
            </w:pPr>
            <w:r>
              <w:t>Ansonsten weltweit sinkende Fallzahlen und Todeszahlen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ECDC (KW43): Auch hier rückläufige Fall- und Todeszahlen, Hospitalisierungen und Intensivbelegung: stabil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Niederlande erklären Herbstwelle für beendet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Neue Regierung in Italien hebt Impfpflicht in Gesundheitsberufen auf, um Personalknappheut entgegenzuwirken, COVID-Berichterstattung nur noch 1 Mal pro Woche in Italien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proofErr w:type="spellStart"/>
            <w:r>
              <w:t>Fallzahlen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2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35.932.654 (+47.820), davon 155.012 (+227) Todesfälle </w:t>
            </w:r>
          </w:p>
          <w:p>
            <w:pPr>
              <w:pStyle w:val="Liste2"/>
            </w:pPr>
            <w:r>
              <w:t xml:space="preserve">7-Tage-Inzidenz:  294,1/100.000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64.808.642 (77,9%), mit vollständiger Impfung 63.495.111 (76,3%)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Rückgang in allen BL</w:t>
            </w:r>
          </w:p>
          <w:p>
            <w:pPr>
              <w:pStyle w:val="Liste3"/>
            </w:pPr>
            <w:r>
              <w:t>15 LK &gt;500, alle im Norden/Nordwesten</w:t>
            </w:r>
          </w:p>
          <w:p>
            <w:pPr>
              <w:pStyle w:val="Liste3"/>
            </w:pPr>
            <w:r>
              <w:t>Seit 4 Wochen deutlicher Rückgang in allen AG, Spätsommer-/Herbstwelle wahrscheinlich beendet</w:t>
            </w:r>
          </w:p>
          <w:p>
            <w:pPr>
              <w:pStyle w:val="Liste3"/>
            </w:pPr>
            <w:r>
              <w:t>Keine Erhöhte Mortalität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ARS-Daten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3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Positivenanteil</w:t>
            </w:r>
            <w:proofErr w:type="spellEnd"/>
            <w:r>
              <w:rPr>
                <w:lang w:val="de-DE"/>
              </w:rPr>
              <w:t xml:space="preserve"> ca. 25% in allen BL und rückläufig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in Berlin ein sehr geringer PA bei Gesamttestungen, wegen geringer Repräsentativität der involvierten KH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Testungen pro 100.000 Einwohnern: konstant bei 5-14J, sonst rückläufig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Rückgang in der Anzahl an Ausbrüchen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Testkapazität und Testungen</w:t>
            </w:r>
            <w:r>
              <w:rPr>
                <w:lang w:val="de-DE"/>
              </w:rPr>
              <w:t xml:space="preserve"> </w:t>
            </w:r>
          </w:p>
          <w:p>
            <w:pPr>
              <w:pStyle w:val="Liste2"/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</w:p>
          <w:p>
            <w:pPr>
              <w:pStyle w:val="Liste2"/>
            </w:pPr>
            <w:r>
              <w:t>VOC-Bericht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Nur noch Omikron Varianten vorherrschend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BA.5 dominant, Anteil BA.4 rückläufig, Anteil BA.2 steigend (aktuell bei 3%)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Aufgrund </w:t>
            </w:r>
            <w:proofErr w:type="spellStart"/>
            <w:r>
              <w:rPr>
                <w:lang w:val="de-DE"/>
              </w:rPr>
              <w:t>Pangolinnomenklatur</w:t>
            </w:r>
            <w:proofErr w:type="spellEnd"/>
            <w:r>
              <w:rPr>
                <w:lang w:val="de-DE"/>
              </w:rPr>
              <w:t xml:space="preserve"> gibt es viele Sublinien, z.B. BF.7 ist eine </w:t>
            </w:r>
            <w:proofErr w:type="spellStart"/>
            <w:r>
              <w:rPr>
                <w:lang w:val="de-DE"/>
              </w:rPr>
              <w:t>Sublinie</w:t>
            </w:r>
            <w:proofErr w:type="spellEnd"/>
            <w:r>
              <w:rPr>
                <w:lang w:val="de-DE"/>
              </w:rPr>
              <w:t xml:space="preserve"> von BA.5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BQ1/BQ1.1 werden manchmal zusammen </w:t>
            </w:r>
            <w:proofErr w:type="spellStart"/>
            <w:r>
              <w:rPr>
                <w:lang w:val="de-DE"/>
              </w:rPr>
              <w:t>ausgeweisen</w:t>
            </w:r>
            <w:proofErr w:type="spellEnd"/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Andere Bezeichnungen stammen noch von Vor-</w:t>
            </w:r>
            <w:proofErr w:type="spellStart"/>
            <w:r>
              <w:rPr>
                <w:lang w:val="de-DE"/>
              </w:rPr>
              <w:t>Pangolin</w:t>
            </w:r>
            <w:proofErr w:type="spellEnd"/>
            <w:r>
              <w:rPr>
                <w:lang w:val="de-DE"/>
              </w:rPr>
              <w:t>-Nomenklatur Zeit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PEI erhielt Prüfauftrag, um Sensibilität von Schnelltests für neue Varianten (z.B. BQ1 und BQ1.1) zu prüfen</w:t>
            </w:r>
          </w:p>
          <w:p>
            <w:pPr>
              <w:pStyle w:val="Liste2"/>
            </w:pPr>
            <w:proofErr w:type="spellStart"/>
            <w:r>
              <w:t>Molekulare</w:t>
            </w:r>
            <w:proofErr w:type="spellEnd"/>
            <w:r>
              <w:t xml:space="preserve"> Surveillance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r>
              <w:t>Syndromische Surveillance</w:t>
            </w:r>
            <w:r>
              <w:rPr>
                <w:rStyle w:val="TagMiZchn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9"/>
              </w:numPr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5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9"/>
              </w:numPr>
            </w:pPr>
            <w:r>
              <w:t>5,0 Mio. ARE (</w:t>
            </w:r>
            <w:proofErr w:type="spellStart"/>
            <w:r>
              <w:t>Vorwoche</w:t>
            </w:r>
            <w:proofErr w:type="spellEnd"/>
            <w:r>
              <w:t>: 5,2 Mio)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Rückgang in allen AG, außer bei 15-34J: da Anstieg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Arztkonsultationen rückläufig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Stationär: SARI-Inzidenz höher als vor der Pandemie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COVID-19 Anteil bei SARI: 19% (Vorwoche: 30%)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COVID-19 Anteil bei SARI-Fällen mit Intensivbehandlung: 36% (Vorwoche: 40%)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Starker Anstieg am RSV/Influenza bei SARI bei 0-4-Jährigen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deutlicher Rückgang des Anteils COVID-19 in den AG 60+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Hospitalisierungsinzidenz: 3,1 COVID-SARI/ 100.000</w:t>
            </w:r>
          </w:p>
          <w:p>
            <w:pPr>
              <w:pStyle w:val="Liste2"/>
              <w:rPr>
                <w:rStyle w:val="TagMiZchn"/>
                <w:b w:val="0"/>
                <w:lang w:val="de-DE"/>
              </w:rPr>
            </w:pPr>
            <w:r>
              <w:rPr>
                <w:lang w:val="de-DE"/>
              </w:rPr>
              <w:t xml:space="preserve">Virologische Surveillance, NRZ Influenza-Daten 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highlight w:val="yellow"/>
                <w:lang w:val="de-DE"/>
              </w:rPr>
            </w:pPr>
            <w:r>
              <w:rPr>
                <w:highlight w:val="yellow"/>
                <w:lang w:val="de-DE"/>
              </w:rPr>
              <w:t>Folien bitte im Ordner ablegen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ß-Corona Viren: Hauptsächlich Sars-CoV-2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Höchste Rate bei Ü60J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starker Anstieg der Influenza Viren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KW43: Anfang Grippewelle: 20%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5-15J am stärksten von Grippewelle betroffen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RSV: 14% bei 0-4J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lang w:val="de-DE"/>
              </w:rPr>
              <w:t xml:space="preserve">Zahlen zum DIVI-Intensivregister 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6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1216 COVID-19 Fälle mit Stand 09.11.22 auf Intensivstationen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Rückgang bei ITS Belegung sowie Neuaufnahmen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 xml:space="preserve">Anteil der COVID-19 Fälle an Gesamtzahl </w:t>
            </w:r>
            <w:proofErr w:type="spellStart"/>
            <w:r>
              <w:rPr>
                <w:lang w:val="de-DE"/>
              </w:rPr>
              <w:t>betreibarer</w:t>
            </w:r>
            <w:proofErr w:type="spellEnd"/>
            <w:r>
              <w:rPr>
                <w:lang w:val="de-DE"/>
              </w:rPr>
              <w:t xml:space="preserve"> ITS-Betten in allen BL rückläufig außer Bremen, Mecklenburg-Vorpommern und Berlin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Rückgang bei Fällen mit respiratorischer Unterstützung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leichte Entspannung der Betriebssituation und Rückgang bei den Betriebseinschränkungen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 xml:space="preserve"> Rückgang in allen Altersgruppen, vor allem bei Ü80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SPoCK</w:t>
            </w:r>
            <w:proofErr w:type="spellEnd"/>
            <w:r>
              <w:rPr>
                <w:lang w:val="de-DE"/>
              </w:rPr>
              <w:t>: In den nächsten 20 Tagen weiterhin ein Rückgang der ITS Belegung durch COVID-19 Fälle erwartet</w:t>
            </w:r>
          </w:p>
          <w:p>
            <w:pPr>
              <w:pStyle w:val="Liste2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Hinweis: BMG hat mündlich mitgeteilt, dass ab Januar 2023 die Prognose nicht mehr gefördert wird und somit ab da voraussichtlich keine Prognose mehr vorgenommen wird</w:t>
            </w:r>
          </w:p>
          <w:p>
            <w:pPr>
              <w:pStyle w:val="Liste2"/>
            </w:pPr>
            <w:proofErr w:type="spellStart"/>
            <w:r>
              <w:lastRenderedPageBreak/>
              <w:t>Modellierungen</w:t>
            </w:r>
            <w:proofErr w:type="spellEnd"/>
            <w: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 xml:space="preserve">Info für den Wochenbericht: Rückgang der Fallzahlen in allen Altersgruppen. Rückgang ist möglicherweise im Zusammenhang mit den Herbstferien zu sehen. </w:t>
            </w:r>
            <w:proofErr w:type="spellStart"/>
            <w:r>
              <w:rPr>
                <w:lang w:val="de-DE"/>
              </w:rPr>
              <w:t>Syndromische</w:t>
            </w:r>
            <w:proofErr w:type="spellEnd"/>
            <w:r>
              <w:rPr>
                <w:lang w:val="de-DE"/>
              </w:rPr>
              <w:t xml:space="preserve"> Surveillance zeigt eine starke Last an Atemwegsviren, so dass in nächster Zeit mit einem Fallzahlanstieg auch von COVID-19 Fällen gerechnet werden könnte. Es kam der Vorschlag, zukünftig den Fokus von reinem COVID-19 Bericht auf alle respiratorischen Viren, die aktuell eine starke Rolle spielen, zu erweitern.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Carlos Correa-Martinez </w:t>
            </w:r>
            <w:r>
              <w:rPr>
                <w:sz w:val="22"/>
                <w:szCs w:val="22"/>
                <w:lang w:val="en-US"/>
              </w:rPr>
              <w:br/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Ute Rexroth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Muna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Abu Sin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Stefan Kröger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Kristin Tolksdorf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Ralf </w:t>
            </w: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Martina Fischer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 xml:space="preserve">Folien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Impfquoten aktuell konstant, ein Anstieg bei der 2. </w:t>
            </w:r>
            <w:proofErr w:type="spellStart"/>
            <w:r>
              <w:t>Boosterimpfung</w:t>
            </w:r>
            <w:proofErr w:type="spellEnd"/>
            <w:r>
              <w:t xml:space="preserve"> in der AG 60+</w:t>
            </w:r>
          </w:p>
          <w:p>
            <w:pPr>
              <w:pStyle w:val="Liste1"/>
            </w:pPr>
            <w:r>
              <w:t>Impfdurchbrüche: Schutz vor schweren Erkrankungen dauert 1 Jahr an</w:t>
            </w:r>
          </w:p>
          <w:p>
            <w:pPr>
              <w:pStyle w:val="Liste1"/>
            </w:pPr>
            <w:r>
              <w:t>COVID-19 Impfung soll ins Regelsystem integriert werden</w:t>
            </w:r>
          </w:p>
          <w:p>
            <w:pPr>
              <w:pStyle w:val="Liste1"/>
            </w:pPr>
            <w:r>
              <w:t>Impfverordnung für Influenza Impfung wurde aus datenschutzrechtlichen Gründen gestoppt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 xml:space="preserve">Folien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STIKO Empfehlung für Kinderimpfung: weiterhin keine allgemeine Impfempfehlung, sondern nur für bestimmte Vorerkrankungen. Diabetes und Asthma wurden aus der Liste der relevanten Vorerkrankungen gestrichen. </w:t>
            </w:r>
          </w:p>
          <w:p>
            <w:pPr>
              <w:pStyle w:val="Liste1"/>
            </w:pPr>
            <w:r>
              <w:t>Neue Kann-Empfehlung für Kinder mit Kontakt zu Personen ohne Möglichkeit für eignen Impfschutz</w:t>
            </w:r>
          </w:p>
          <w:p>
            <w:pPr>
              <w:pStyle w:val="Liste1"/>
            </w:pPr>
            <w:r>
              <w:t>nächste STIKO Sitzung am 10.11.2022</w:t>
            </w:r>
          </w:p>
          <w:p>
            <w:p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>Hinweis aus dem Krisenstab: Absatz über Impfen wurde in den Monatsbericht aufgenommen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Jonathan Fischer- Fels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Ole Wichmann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</w:rPr>
            </w:pPr>
            <w:r>
              <w:rPr>
                <w:rStyle w:val="1Zchn"/>
              </w:rPr>
              <w:t>Update digitale Projekte</w:t>
            </w:r>
          </w:p>
          <w:p>
            <w:pPr>
              <w:pStyle w:val="Listenabsatz"/>
              <w:numPr>
                <w:ilvl w:val="0"/>
                <w:numId w:val="12"/>
              </w:numPr>
              <w:spacing w:line="276" w:lineRule="auto"/>
              <w:rPr>
                <w:b/>
                <w:i/>
                <w:color w:val="C2D69B" w:themeColor="accent3" w:themeTint="99"/>
              </w:rPr>
            </w:pPr>
            <w:r>
              <w:t>Vorbereitung zur Abschaltung der Hotline, zukünftig Selbstmeldung an das Gesundheitsamt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Wolfgang </w:t>
            </w:r>
            <w:proofErr w:type="spellStart"/>
            <w:r>
              <w:rPr>
                <w:sz w:val="22"/>
                <w:szCs w:val="22"/>
              </w:rPr>
              <w:t>Scheida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2"/>
            </w:pPr>
            <w:r>
              <w:t>xxx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 xml:space="preserve">  (nicht berichtet)</w:t>
            </w: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 xml:space="preserve">Merkblatt zu Long-COVID wurde überarbeitet und auf der Webseite </w:t>
            </w:r>
            <w:hyperlink r:id="rId19" w:history="1">
              <w:r>
                <w:rPr>
                  <w:rStyle w:val="Hyperlink"/>
                </w:rPr>
                <w:t>www.longcovid-info.de</w:t>
              </w:r>
            </w:hyperlink>
            <w:r>
              <w:t xml:space="preserve"> gepostet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2"/>
              <w:numPr>
                <w:ilvl w:val="0"/>
                <w:numId w:val="13"/>
              </w:numPr>
              <w:rPr>
                <w:b w:val="0"/>
              </w:rPr>
            </w:pPr>
            <w:r>
              <w:rPr>
                <w:b w:val="0"/>
              </w:rPr>
              <w:t>COVID-Teaser wird ausgetauscht durch ARE-Teaser zusammen mit ARE-Wochenbericht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Andrea </w:t>
            </w:r>
            <w:proofErr w:type="spellStart"/>
            <w:r>
              <w:rPr>
                <w:sz w:val="22"/>
                <w:szCs w:val="22"/>
              </w:rPr>
              <w:t>Rückle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Ronja Welchen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  <w:rPr>
                <w:b/>
                <w:i/>
              </w:rPr>
            </w:pPr>
            <w:r>
              <w:rPr>
                <w:b/>
                <w:i/>
              </w:rPr>
              <w:t>ToDo1: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i/>
              </w:rPr>
            </w:pPr>
            <w:r>
              <w:rPr>
                <w:i/>
              </w:rPr>
              <w:t>Dokumente zu COVID-19 in Schulen sollen ins Archiv geschoben werden und stattdessen auf die aktualisierte S3-Leitlinie verwie</w:t>
            </w:r>
            <w:bookmarkStart w:id="1" w:name="_GoBack"/>
            <w:bookmarkEnd w:id="1"/>
            <w:r>
              <w:rPr>
                <w:i/>
              </w:rPr>
              <w:t xml:space="preserve">sen werden (Ronja Wenchel/ Barbara Hauer)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 nicht berichtet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Sind RKI Empfehlungen zur Isolation in Pflegeheimen und KKH zu streng? AG-Diagnostik hält sie aus fachlicher Sicht für immer noch zutreffend. Kein Aktualisierungsbedarf aus fachlicher Sicht.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es gibt Probleme beim mobilen Dashboard</w:t>
            </w:r>
          </w:p>
          <w:p>
            <w:pPr>
              <w:pStyle w:val="Liste1"/>
            </w:pPr>
            <w:r>
              <w:t>Da Ministerien aus Energiespargründen zwischen den Jahren geschlossen bleiben, werden in diesem Zeitraum keine Berichte gewünscht</w:t>
            </w:r>
          </w:p>
          <w:p>
            <w:pPr>
              <w:pStyle w:val="Liste1"/>
            </w:pPr>
            <w:r>
              <w:t>Alte Daten (aus 2020) sollen nicht mehr in den Berichten ‚mitgeschleppt‘ werden: dies soll mit FG32 diskutiert werden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DEA-Abschaffung geplant. Es ist angedacht, dass RKI Integration in ein europaweites System umsetzten soll, aber es werden datenschutzrechtliche Probleme erwartet, weil System sich auf einem Amazon Server befindet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Koordinierung Erlassbearbeitung soll zwischen 8-19 Uhr erfolgen. Es ist eine Personalreduktion für diese Aufgaben geplant, auch wenn weiterhin sehr viele Erlasse mit sehr kurzer Bearbeitungszeit eingehen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HSC-Termin am 11.11.22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23.11.2022,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12:10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3CA"/>
    <w:multiLevelType w:val="hybridMultilevel"/>
    <w:tmpl w:val="274A9A94"/>
    <w:lvl w:ilvl="0" w:tplc="0409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37554CD"/>
    <w:multiLevelType w:val="hybridMultilevel"/>
    <w:tmpl w:val="FD3A57B2"/>
    <w:lvl w:ilvl="0" w:tplc="0409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0508DB"/>
    <w:multiLevelType w:val="hybridMultilevel"/>
    <w:tmpl w:val="C6C4C746"/>
    <w:lvl w:ilvl="0" w:tplc="0409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80D63"/>
    <w:multiLevelType w:val="hybridMultilevel"/>
    <w:tmpl w:val="835499DE"/>
    <w:lvl w:ilvl="0" w:tplc="0409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9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A3152"/>
    <w:multiLevelType w:val="hybridMultilevel"/>
    <w:tmpl w:val="9A461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D3DD1"/>
    <w:multiLevelType w:val="hybridMultilevel"/>
    <w:tmpl w:val="7CB4A6D6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7ABC6017"/>
    <w:multiLevelType w:val="hybridMultilevel"/>
    <w:tmpl w:val="459A72DA"/>
    <w:lvl w:ilvl="0" w:tplc="0409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9"/>
  </w:num>
  <w:num w:numId="8">
    <w:abstractNumId w:val="13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  <w:num w:numId="1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Testzahlerfassung_ARS_2022_11-09.pptx" TargetMode="External"/><Relationship Id="rId18" Type="http://schemas.openxmlformats.org/officeDocument/2006/relationships/hyperlink" Target="Impf-Update_Lage-AG_09-11-22.pptx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LageNational_2022-11-09_draft.pptx" TargetMode="External"/><Relationship Id="rId17" Type="http://schemas.openxmlformats.org/officeDocument/2006/relationships/hyperlink" Target="Impf-Update_Lage-AG_09-11-22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2022-11-09_Intensivregister_SPoCK.ppt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VID-19_internat.%20Lage_2022-11-09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yndrom-ARE-SARI-COVID_bis_KW44_2022_f&#252;r-Krisenstab.pptx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longcovid-info.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2022-11_09_LageAG-VOC.ppt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6C37-3FC8-467F-BB70-0F54960B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19</cp:revision>
  <cp:lastPrinted>2020-05-06T16:43:00Z</cp:lastPrinted>
  <dcterms:created xsi:type="dcterms:W3CDTF">2022-11-10T09:53:00Z</dcterms:created>
  <dcterms:modified xsi:type="dcterms:W3CDTF">2022-11-10T18:29:00Z</dcterms:modified>
</cp:coreProperties>
</file>