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07.12.2022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Patrick Schmich</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Alexandra Hofmann</w:t>
      </w:r>
    </w:p>
    <w:p>
      <w:pPr>
        <w:pStyle w:val="Listenabsatz"/>
        <w:numPr>
          <w:ilvl w:val="1"/>
          <w:numId w:val="2"/>
        </w:numPr>
        <w:spacing w:after="0"/>
        <w:contextualSpacing w:val="0"/>
        <w:rPr>
          <w:sz w:val="22"/>
          <w:szCs w:val="22"/>
        </w:rPr>
      </w:pPr>
      <w:r>
        <w:rPr>
          <w:sz w:val="22"/>
          <w:szCs w:val="22"/>
        </w:rPr>
        <w:t>Amrei Wolter (Protokoll)</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rPr>
      </w:pPr>
      <w:r>
        <w:rPr>
          <w:sz w:val="22"/>
        </w:rPr>
        <w:t>Jonathan Fischer-Fels</w:t>
      </w:r>
    </w:p>
    <w:p>
      <w:pPr>
        <w:pStyle w:val="Listenabsatz"/>
        <w:spacing w:after="0"/>
        <w:ind w:left="1440"/>
        <w:contextualSpacing w:val="0"/>
        <w:rPr>
          <w:sz w:val="22"/>
        </w:rPr>
      </w:pPr>
    </w:p>
    <w:p>
      <w:pPr>
        <w:pStyle w:val="Listenabsatz"/>
        <w:spacing w:after="0"/>
        <w:ind w:left="1440"/>
        <w:contextualSpacing w:val="0"/>
        <w:rPr>
          <w:sz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Janina Esins</w:t>
      </w:r>
    </w:p>
    <w:p>
      <w:pPr>
        <w:pStyle w:val="Listenabsatz"/>
        <w:numPr>
          <w:ilvl w:val="1"/>
          <w:numId w:val="3"/>
        </w:numPr>
        <w:spacing w:after="0"/>
        <w:contextualSpacing w:val="0"/>
        <w:rPr>
          <w:sz w:val="22"/>
          <w:szCs w:val="22"/>
        </w:rPr>
      </w:pPr>
      <w:r>
        <w:rPr>
          <w:sz w:val="22"/>
          <w:szCs w:val="22"/>
        </w:rPr>
        <w:t>Kerstin Bischoff</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rPr>
          <w:sz w:val="22"/>
        </w:rPr>
      </w:pPr>
      <w:r>
        <w:rPr>
          <w:sz w:val="22"/>
        </w:rPr>
        <w:t xml:space="preserve">Pascal </w:t>
      </w:r>
      <w:proofErr w:type="spellStart"/>
      <w:r>
        <w:rPr>
          <w:sz w:val="22"/>
        </w:rPr>
        <w:t>Klamser</w:t>
      </w:r>
      <w:proofErr w:type="spellEnd"/>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Sarah Esquevin</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Oliver Ommen</w:t>
      </w:r>
    </w:p>
    <w:p>
      <w:pPr>
        <w:pStyle w:val="Listenabsatz"/>
        <w:numPr>
          <w:ilvl w:val="0"/>
          <w:numId w:val="2"/>
        </w:numPr>
        <w:spacing w:after="0"/>
        <w:contextualSpacing w:val="0"/>
        <w:rPr>
          <w:sz w:val="22"/>
          <w:szCs w:val="22"/>
        </w:rPr>
      </w:pPr>
      <w:proofErr w:type="spellStart"/>
      <w:r>
        <w:rPr>
          <w:sz w:val="22"/>
          <w:szCs w:val="22"/>
        </w:rPr>
        <w:t>ZfKD</w:t>
      </w:r>
      <w:proofErr w:type="spellEnd"/>
    </w:p>
    <w:p>
      <w:pPr>
        <w:pStyle w:val="Listenabsatz"/>
        <w:numPr>
          <w:ilvl w:val="1"/>
          <w:numId w:val="2"/>
        </w:numPr>
        <w:spacing w:after="0"/>
        <w:contextualSpacing w:val="0"/>
        <w:rPr>
          <w:sz w:val="22"/>
          <w:szCs w:val="22"/>
        </w:rPr>
      </w:pPr>
      <w:r>
        <w:rPr>
          <w:sz w:val="22"/>
          <w:szCs w:val="22"/>
        </w:rPr>
        <w:t>Klaus Kraywinkel</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MiZchn"/>
                <w:bCs/>
              </w:rPr>
            </w:pPr>
            <w:r>
              <w:rPr>
                <w:rStyle w:val="2Zchn"/>
                <w:sz w:val="22"/>
                <w:szCs w:val="22"/>
              </w:rPr>
              <w:t>International</w:t>
            </w:r>
            <w:r>
              <w:rPr>
                <w:rStyle w:val="TagMiZchn"/>
                <w:bCs/>
              </w:rPr>
              <w:t xml:space="preserve"> </w:t>
            </w:r>
          </w:p>
          <w:p>
            <w:pPr>
              <w:spacing w:line="276" w:lineRule="auto"/>
            </w:pPr>
            <w:r>
              <w:t>(nicht berichtet)</w:t>
            </w:r>
          </w:p>
          <w:p>
            <w:pPr>
              <w:pStyle w:val="Liste2"/>
            </w:pPr>
            <w:proofErr w:type="spellStart"/>
            <w:r>
              <w:t>Folien</w:t>
            </w:r>
            <w:proofErr w:type="spellEnd"/>
            <w:r>
              <w:t xml:space="preserve"> </w:t>
            </w:r>
            <w:hyperlink r:id="rId11" w:history="1">
              <w:proofErr w:type="spellStart"/>
              <w:r>
                <w:rPr>
                  <w:rStyle w:val="Hyperlink"/>
                  <w:highlight w:val="yellow"/>
                </w:rPr>
                <w:t>hier</w:t>
              </w:r>
              <w:proofErr w:type="spellEnd"/>
            </w:hyperlink>
          </w:p>
          <w:p>
            <w:pPr>
              <w:pStyle w:val="Liste2"/>
            </w:pPr>
            <w:proofErr w:type="spellStart"/>
            <w:r>
              <w:t>Weltweit</w:t>
            </w:r>
            <w:proofErr w:type="spellEnd"/>
            <w:r>
              <w:t xml:space="preserve">: </w:t>
            </w:r>
            <w:proofErr w:type="spellStart"/>
            <w:r>
              <w:t>Fälle</w:t>
            </w:r>
            <w:proofErr w:type="spellEnd"/>
            <w:r>
              <w:t xml:space="preserve">, </w:t>
            </w:r>
            <w:proofErr w:type="spellStart"/>
            <w:r>
              <w:t>Todesfälle</w:t>
            </w:r>
            <w:proofErr w:type="spellEnd"/>
          </w:p>
          <w:p>
            <w:pPr>
              <w:pStyle w:val="Liste2"/>
            </w:pPr>
            <w:proofErr w:type="spellStart"/>
            <w:r>
              <w:t>Datenstand</w:t>
            </w:r>
            <w:proofErr w:type="spellEnd"/>
            <w:r>
              <w:t>: WHO, 06.12.2022</w:t>
            </w:r>
          </w:p>
          <w:p>
            <w:pPr>
              <w:pStyle w:val="Liste2"/>
              <w:rPr>
                <w:lang w:val="de-DE"/>
              </w:rPr>
            </w:pPr>
            <w:r>
              <w:rPr>
                <w:lang w:val="de-DE"/>
              </w:rPr>
              <w:t>Internationale Lage stabil (Asien stabilisiert sich)</w:t>
            </w:r>
          </w:p>
          <w:p>
            <w:pPr>
              <w:pStyle w:val="Liste2"/>
              <w:rPr>
                <w:lang w:val="de-DE"/>
              </w:rPr>
            </w:pPr>
            <w:r>
              <w:rPr>
                <w:lang w:val="de-DE"/>
              </w:rPr>
              <w:t>Diese Woche viele Länder ohne Fallzahlmeldung für die letzten 7 Tagen (weiß) -&gt; besonders in Afrika, aber auch Mexiko, Australien, Neuseeland oder Portugal.</w:t>
            </w:r>
          </w:p>
          <w:p>
            <w:pPr>
              <w:pStyle w:val="Liste2"/>
              <w:rPr>
                <w:lang w:val="de-DE"/>
              </w:rPr>
            </w:pPr>
            <w:r>
              <w:rPr>
                <w:lang w:val="de-DE"/>
              </w:rPr>
              <w:t>Asien: Hohe Inzidenzen v.a. in Japan (392/100.000</w:t>
            </w:r>
            <w:proofErr w:type="gramStart"/>
            <w:r>
              <w:rPr>
                <w:lang w:val="de-DE"/>
              </w:rPr>
              <w:t>Ew./</w:t>
            </w:r>
            <w:proofErr w:type="gramEnd"/>
            <w:r>
              <w:rPr>
                <w:lang w:val="de-DE"/>
              </w:rPr>
              <w:t>7T; -6%) und Südkorea (710/100.000Ew./7T; -2%), insgesamt aber abnehmender Trend</w:t>
            </w:r>
          </w:p>
          <w:p>
            <w:pPr>
              <w:pStyle w:val="Liste2"/>
            </w:pPr>
            <w:proofErr w:type="spellStart"/>
            <w:r>
              <w:t>Abnahme</w:t>
            </w:r>
            <w:proofErr w:type="spellEnd"/>
            <w:r>
              <w:t xml:space="preserve"> der </w:t>
            </w:r>
            <w:proofErr w:type="spellStart"/>
            <w:r>
              <w:t>Todesfallzahlen</w:t>
            </w:r>
            <w:proofErr w:type="spellEnd"/>
            <w:r>
              <w:t xml:space="preserve"> </w:t>
            </w:r>
          </w:p>
          <w:p>
            <w:pPr>
              <w:pStyle w:val="Liste2"/>
              <w:rPr>
                <w:lang w:val="de-DE"/>
              </w:rPr>
            </w:pPr>
            <w:r>
              <w:rPr>
                <w:lang w:val="de-DE"/>
              </w:rPr>
              <w:t>Inzidenz in den AG &gt;65 Jahren weiterhin sinkend</w:t>
            </w:r>
          </w:p>
          <w:p>
            <w:pPr>
              <w:pStyle w:val="Liste2"/>
              <w:rPr>
                <w:lang w:val="de-DE"/>
              </w:rPr>
            </w:pPr>
            <w:r>
              <w:rPr>
                <w:lang w:val="de-DE"/>
              </w:rPr>
              <w:t>7-Tage-Inzidenz pro 100.000 Einwohner in Europa</w:t>
            </w:r>
          </w:p>
          <w:p>
            <w:pPr>
              <w:pStyle w:val="Liste2"/>
              <w:rPr>
                <w:lang w:val="de-DE"/>
              </w:rPr>
            </w:pPr>
            <w:r>
              <w:rPr>
                <w:lang w:val="de-DE"/>
              </w:rPr>
              <w:t xml:space="preserve">Frankreich: Fallzahlen gestiegen (27% zur Vorwoche, alle AG betroffen) Inzidenz 400/100.000 für KW27 ab über 10 Jahre. Leichter Anstieg Hospitalisierung. </w:t>
            </w:r>
          </w:p>
          <w:p>
            <w:pPr>
              <w:pStyle w:val="Liste2"/>
              <w:rPr>
                <w:lang w:val="de-DE"/>
              </w:rPr>
            </w:pPr>
            <w:r>
              <w:rPr>
                <w:lang w:val="de-DE"/>
              </w:rPr>
              <w:t>BQ.1 dominierende Subvariante in 7 EU-Staaten</w:t>
            </w:r>
          </w:p>
          <w:p>
            <w:pPr>
              <w:pStyle w:val="Liste2"/>
              <w:rPr>
                <w:lang w:val="de-DE"/>
              </w:rPr>
            </w:pPr>
            <w:r>
              <w:rPr>
                <w:lang w:val="de-DE"/>
              </w:rPr>
              <w:t>BA.5 93% der Sequenzen in KW45, BQ1.1 nimmt in Frankreich zu (34%)</w:t>
            </w:r>
          </w:p>
          <w:p>
            <w:pPr>
              <w:pStyle w:val="Liste2"/>
              <w:rPr>
                <w:lang w:val="de-DE"/>
              </w:rPr>
            </w:pPr>
            <w:r>
              <w:rPr>
                <w:lang w:val="de-DE"/>
              </w:rPr>
              <w:t>Schweiz Meldeverzug, hat aber ähnliche Inzidenz wie angrenzende Länder</w:t>
            </w:r>
          </w:p>
          <w:p>
            <w:pPr>
              <w:pStyle w:val="Liste2"/>
              <w:rPr>
                <w:lang w:val="de-DE"/>
              </w:rPr>
            </w:pPr>
            <w:r>
              <w:rPr>
                <w:lang w:val="de-DE"/>
              </w:rPr>
              <w:t>Andere Berichte:</w:t>
            </w:r>
          </w:p>
          <w:p>
            <w:pPr>
              <w:pStyle w:val="Liste2"/>
              <w:rPr>
                <w:lang w:val="de-DE"/>
              </w:rPr>
            </w:pPr>
            <w:r>
              <w:rPr>
                <w:lang w:val="de-DE"/>
              </w:rPr>
              <w:t xml:space="preserve">China: Fallzahlen in China steigen an, ist in Fallzahlen WHO nicht nachzuvollziehen. WHO hat zu China auch u.a. Hongkong etc. gezählt. Zunahme Fallzahlen auf dem </w:t>
            </w:r>
            <w:proofErr w:type="gramStart"/>
            <w:r>
              <w:rPr>
                <w:lang w:val="de-DE"/>
              </w:rPr>
              <w:t>Festland China</w:t>
            </w:r>
            <w:proofErr w:type="gramEnd"/>
            <w:r>
              <w:rPr>
                <w:lang w:val="de-DE"/>
              </w:rPr>
              <w:t xml:space="preserve">. Hat sich ausbalanciert mit abnehmendem Trend in anderen Gebieten. Proteste China: ab heute Maßnahmen gelockert/angepasster zum tatsächlichen Geschehen (keine Massentestungen, Lockdowns für größere Areale). Zunahme der Fallzahlen wird dadurch erklärt, dass die Impfquote in älteren AG schlecht ist, China hat sich bei der Impfstoffverteilung eher </w:t>
            </w:r>
            <w:proofErr w:type="gramStart"/>
            <w:r>
              <w:rPr>
                <w:lang w:val="de-DE"/>
              </w:rPr>
              <w:t>auf arbeitende</w:t>
            </w:r>
            <w:proofErr w:type="gramEnd"/>
            <w:r>
              <w:rPr>
                <w:lang w:val="de-DE"/>
              </w:rPr>
              <w:t xml:space="preserve"> Bevölkerung fokussiert. Ebenso fehlender Beleg für Effektivität der Impfstoffe für jetzige Variante sowie Zunahme der Kontakte in Bevölkerung.</w:t>
            </w:r>
          </w:p>
          <w:p>
            <w:pPr>
              <w:pStyle w:val="Liste2"/>
              <w:numPr>
                <w:ilvl w:val="0"/>
                <w:numId w:val="0"/>
              </w:numPr>
              <w:ind w:left="833"/>
              <w:rPr>
                <w:lang w:val="de-DE"/>
              </w:rPr>
            </w:pPr>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2" w:history="1">
              <w:proofErr w:type="spellStart"/>
              <w:r>
                <w:rPr>
                  <w:rStyle w:val="Hyperlink"/>
                  <w:highlight w:val="yellow"/>
                </w:rPr>
                <w:t>hier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36.649.979 (+45.331), davon 158.559 (+137) Todesfälle </w:t>
            </w:r>
          </w:p>
          <w:p>
            <w:pPr>
              <w:pStyle w:val="Liste2"/>
            </w:pPr>
            <w:r>
              <w:t xml:space="preserve">7-Tage-Inzidenz:  207,7/100.000 </w:t>
            </w:r>
            <w:proofErr w:type="spellStart"/>
            <w:r>
              <w:t>Einw</w:t>
            </w:r>
            <w:proofErr w:type="spellEnd"/>
            <w:r>
              <w:t>.</w:t>
            </w:r>
          </w:p>
          <w:p>
            <w:pPr>
              <w:pStyle w:val="Liste2"/>
              <w:rPr>
                <w:lang w:val="de-DE"/>
              </w:rPr>
            </w:pPr>
            <w:r>
              <w:rPr>
                <w:lang w:val="de-DE"/>
              </w:rPr>
              <w:t>Impfmonitoring: Geimpfte mit 1. Dosis 64.825.505 (77,9%), mit vollständiger Impfung 52.033.112 (62,5%)</w:t>
            </w:r>
          </w:p>
          <w:p>
            <w:pPr>
              <w:pStyle w:val="Liste2"/>
              <w:rPr>
                <w:lang w:val="de-DE"/>
              </w:rPr>
            </w:pPr>
            <w:r>
              <w:rPr>
                <w:lang w:val="de-DE"/>
              </w:rPr>
              <w:t>Verlauf der 7-Tage-Inzidenz der Bundesländer:</w:t>
            </w:r>
          </w:p>
          <w:p>
            <w:pPr>
              <w:pStyle w:val="Liste3"/>
            </w:pPr>
            <w:r>
              <w:lastRenderedPageBreak/>
              <w:t>Plateau, nördliche BL höchste Inzidenzen (Niedersachsen), südliche BL eher niedrige 7-Tages Inzidenzen</w:t>
            </w:r>
          </w:p>
          <w:p>
            <w:pPr>
              <w:pStyle w:val="Liste3"/>
            </w:pPr>
            <w:r>
              <w:t>10% Anstieg wöchentliche COVID-19-Inzidenz, bei Kindern eher Rückgang, ab AG 15 wieder Anstieg, höchste 7-Tages-Inzidenz bei Hochaltrigen (90+)</w:t>
            </w:r>
          </w:p>
          <w:p>
            <w:pPr>
              <w:pStyle w:val="Liste3"/>
            </w:pPr>
            <w:r>
              <w:t xml:space="preserve">COVID-19-Fälle nach Sterbedatum: Maximum in KW42, in Folgewochen Rückgang der Todesfallzahlen </w:t>
            </w:r>
          </w:p>
          <w:p>
            <w:pPr>
              <w:pStyle w:val="Liste3"/>
            </w:pPr>
            <w:r>
              <w:t>Wöchentliche Sterbefallzahlen auf Niveau der Vorjahre (nicht nur COVID-19 als Effekt, sondern auch Influenza)</w:t>
            </w:r>
          </w:p>
          <w:p>
            <w:pPr>
              <w:pStyle w:val="Liste3"/>
              <w:numPr>
                <w:ilvl w:val="0"/>
                <w:numId w:val="0"/>
              </w:numPr>
              <w:ind w:left="1193"/>
            </w:pPr>
          </w:p>
          <w:p>
            <w:pPr>
              <w:pStyle w:val="Liste2"/>
            </w:pPr>
            <w:r>
              <w:t>VOC-</w:t>
            </w:r>
            <w:proofErr w:type="spellStart"/>
            <w:r>
              <w:t>Bericht</w:t>
            </w:r>
            <w:proofErr w:type="spellEnd"/>
            <w:r>
              <w:t xml:space="preserve"> </w:t>
            </w:r>
          </w:p>
          <w:p>
            <w:pPr>
              <w:pStyle w:val="Liste2"/>
              <w:numPr>
                <w:ilvl w:val="1"/>
                <w:numId w:val="13"/>
              </w:numPr>
              <w:rPr>
                <w:lang w:val="de-DE"/>
              </w:rPr>
            </w:pPr>
            <w:r>
              <w:rPr>
                <w:lang w:val="de-DE"/>
              </w:rPr>
              <w:t>Es zeigt sich insgesamt ein konstantes Bild</w:t>
            </w:r>
          </w:p>
          <w:p>
            <w:pPr>
              <w:pStyle w:val="Liste2"/>
              <w:numPr>
                <w:ilvl w:val="1"/>
                <w:numId w:val="13"/>
              </w:numPr>
              <w:rPr>
                <w:lang w:val="de-DE"/>
              </w:rPr>
            </w:pPr>
            <w:r>
              <w:rPr>
                <w:lang w:val="de-DE"/>
              </w:rPr>
              <w:t>Anteil der Stichprobe an COVID-19-Fällen hat sich verringert</w:t>
            </w:r>
          </w:p>
          <w:p>
            <w:pPr>
              <w:pStyle w:val="Liste2"/>
              <w:numPr>
                <w:ilvl w:val="1"/>
                <w:numId w:val="13"/>
              </w:numPr>
              <w:rPr>
                <w:lang w:val="de-DE"/>
              </w:rPr>
            </w:pPr>
            <w:r>
              <w:rPr>
                <w:lang w:val="de-DE"/>
              </w:rPr>
              <w:t>Anteil BA.5 hat sich verringert (90%) durch Erhöhung BA.2 Sublinien</w:t>
            </w:r>
          </w:p>
          <w:p>
            <w:pPr>
              <w:pStyle w:val="Liste2"/>
              <w:numPr>
                <w:ilvl w:val="1"/>
                <w:numId w:val="13"/>
              </w:numPr>
              <w:rPr>
                <w:lang w:val="de-DE"/>
              </w:rPr>
            </w:pPr>
            <w:r>
              <w:rPr>
                <w:lang w:val="de-DE"/>
              </w:rPr>
              <w:t>In 47. KW Nachweis einer Delta-Sequenz, ist noch in Prüfung</w:t>
            </w:r>
          </w:p>
          <w:p>
            <w:pPr>
              <w:pStyle w:val="Liste2"/>
              <w:numPr>
                <w:ilvl w:val="1"/>
                <w:numId w:val="13"/>
              </w:numPr>
              <w:rPr>
                <w:lang w:val="de-DE"/>
              </w:rPr>
            </w:pPr>
            <w:r>
              <w:rPr>
                <w:lang w:val="de-DE"/>
              </w:rPr>
              <w:t>Anteil Rekombinante insgesamt bei 1,6% (großteilig Omikron)</w:t>
            </w:r>
          </w:p>
          <w:p>
            <w:pPr>
              <w:pStyle w:val="Liste2"/>
              <w:numPr>
                <w:ilvl w:val="1"/>
                <w:numId w:val="13"/>
              </w:numPr>
              <w:rPr>
                <w:lang w:val="de-DE"/>
              </w:rPr>
            </w:pPr>
            <w:r>
              <w:rPr>
                <w:lang w:val="de-DE"/>
              </w:rPr>
              <w:t>Von BA.5 dominiert derzeit BF7, gefolgt von BQ.1.1(ist im Anstieg)</w:t>
            </w:r>
          </w:p>
          <w:p>
            <w:pPr>
              <w:pStyle w:val="Liste2"/>
              <w:numPr>
                <w:ilvl w:val="1"/>
                <w:numId w:val="13"/>
              </w:numPr>
              <w:rPr>
                <w:lang w:val="de-DE"/>
              </w:rPr>
            </w:pPr>
            <w:r>
              <w:rPr>
                <w:lang w:val="de-DE"/>
              </w:rPr>
              <w:t xml:space="preserve">BA.2 Sublinien Anteil steigt </w:t>
            </w:r>
          </w:p>
          <w:p>
            <w:pPr>
              <w:pStyle w:val="Liste2"/>
              <w:numPr>
                <w:ilvl w:val="1"/>
                <w:numId w:val="13"/>
              </w:numPr>
              <w:rPr>
                <w:lang w:val="de-DE"/>
              </w:rPr>
            </w:pPr>
            <w:r>
              <w:rPr>
                <w:lang w:val="de-DE"/>
              </w:rPr>
              <w:t>Hinweis zu Mutation R346: Der Anteil von Sublinien mit dieser Mutation liegt in KW 47/2022 bei 57,1%</w:t>
            </w:r>
          </w:p>
          <w:p>
            <w:pPr>
              <w:pStyle w:val="Liste2"/>
              <w:numPr>
                <w:ilvl w:val="1"/>
                <w:numId w:val="13"/>
              </w:numPr>
              <w:rPr>
                <w:lang w:val="de-DE"/>
              </w:rPr>
            </w:pPr>
            <w:r>
              <w:rPr>
                <w:lang w:val="de-DE"/>
              </w:rPr>
              <w:t xml:space="preserve">Mutation </w:t>
            </w:r>
            <w:proofErr w:type="spellStart"/>
            <w:r>
              <w:rPr>
                <w:lang w:val="de-DE"/>
              </w:rPr>
              <w:t>of</w:t>
            </w:r>
            <w:proofErr w:type="spellEnd"/>
            <w:r>
              <w:rPr>
                <w:lang w:val="de-DE"/>
              </w:rPr>
              <w:t xml:space="preserve"> </w:t>
            </w:r>
            <w:proofErr w:type="spellStart"/>
            <w:r>
              <w:rPr>
                <w:lang w:val="de-DE"/>
              </w:rPr>
              <w:t>Concern</w:t>
            </w:r>
            <w:proofErr w:type="spellEnd"/>
            <w:r>
              <w:rPr>
                <w:lang w:val="de-DE"/>
              </w:rPr>
              <w:t xml:space="preserve"> (MOC): über 60% der Sequenzen R346T, </w:t>
            </w:r>
          </w:p>
          <w:p>
            <w:pPr>
              <w:pStyle w:val="Liste2"/>
              <w:numPr>
                <w:ilvl w:val="1"/>
                <w:numId w:val="13"/>
              </w:numPr>
              <w:rPr>
                <w:lang w:val="de-DE"/>
              </w:rPr>
            </w:pPr>
            <w:r>
              <w:rPr>
                <w:lang w:val="de-DE"/>
              </w:rPr>
              <w:t>BQ1.1 immer noch stärkstes Wachstum, Anteil wird sich weiter erhöhen, vermutlich dominierende Variante, in den USA ist BQ.1.1 dominierend</w:t>
            </w:r>
          </w:p>
          <w:p>
            <w:pPr>
              <w:pStyle w:val="Liste2"/>
              <w:numPr>
                <w:ilvl w:val="1"/>
                <w:numId w:val="13"/>
              </w:numPr>
              <w:rPr>
                <w:lang w:val="de-DE"/>
              </w:rPr>
            </w:pPr>
            <w:r>
              <w:rPr>
                <w:lang w:val="de-DE"/>
              </w:rPr>
              <w:t>Höhere Impfdurchbrüche bei BQ1.1, aber Pathogenität von BQ1.1 vergleichbar geringer als von anderen BA.5 Linien</w:t>
            </w:r>
          </w:p>
          <w:p>
            <w:pPr>
              <w:pStyle w:val="Liste2"/>
              <w:numPr>
                <w:ilvl w:val="0"/>
                <w:numId w:val="0"/>
              </w:numPr>
              <w:rPr>
                <w:lang w:val="de-DE"/>
              </w:rPr>
            </w:pPr>
          </w:p>
          <w:p>
            <w:pPr>
              <w:pStyle w:val="Liste2"/>
              <w:numPr>
                <w:ilvl w:val="0"/>
                <w:numId w:val="0"/>
              </w:numPr>
              <w:rPr>
                <w:b/>
                <w:i/>
                <w:lang w:val="de-DE"/>
              </w:rPr>
            </w:pPr>
            <w:r>
              <w:rPr>
                <w:b/>
                <w:i/>
                <w:lang w:val="de-DE"/>
              </w:rPr>
              <w:t>Diskussion:</w:t>
            </w:r>
          </w:p>
          <w:p>
            <w:pPr>
              <w:pStyle w:val="Liste2"/>
              <w:numPr>
                <w:ilvl w:val="0"/>
                <w:numId w:val="14"/>
              </w:numPr>
              <w:rPr>
                <w:lang w:val="de-DE"/>
              </w:rPr>
            </w:pPr>
            <w:r>
              <w:rPr>
                <w:lang w:val="de-DE"/>
              </w:rPr>
              <w:t>Frage der Form der Einbindung der VOC in das Pandemie Radar (wurde im Jour Fixe noch nicht angesprochen)</w:t>
            </w:r>
          </w:p>
          <w:p>
            <w:pPr>
              <w:pStyle w:val="Liste2"/>
              <w:numPr>
                <w:ilvl w:val="0"/>
                <w:numId w:val="14"/>
              </w:numPr>
              <w:rPr>
                <w:lang w:val="de-DE"/>
              </w:rPr>
            </w:pPr>
            <w:r>
              <w:rPr>
                <w:lang w:val="de-DE"/>
              </w:rPr>
              <w:t>Bitte an Herrn Kröger, Grafiken diesbezüglich vorzustellen</w:t>
            </w:r>
          </w:p>
          <w:p>
            <w:pPr>
              <w:pStyle w:val="Liste2"/>
              <w:numPr>
                <w:ilvl w:val="0"/>
                <w:numId w:val="14"/>
              </w:numPr>
              <w:rPr>
                <w:lang w:val="de-DE"/>
              </w:rPr>
            </w:pPr>
            <w:r>
              <w:rPr>
                <w:lang w:val="de-DE"/>
              </w:rPr>
              <w:t>Die 10 Indikatoren sind bereits mit dem Minister abgesprochen, daher Überlegung, die VOC in den Abschnitt „weitere Indikatoren“ bei COVID-Trends zu integrieren und dem BMG vorher die Ergänzung mitzuteilen. Pandemieradar soll nicht zu komplex gestaltet werden.</w:t>
            </w:r>
          </w:p>
          <w:p>
            <w:pPr>
              <w:pStyle w:val="Liste2"/>
              <w:numPr>
                <w:ilvl w:val="0"/>
                <w:numId w:val="14"/>
              </w:numPr>
              <w:rPr>
                <w:lang w:val="de-DE"/>
              </w:rPr>
            </w:pPr>
            <w:r>
              <w:rPr>
                <w:lang w:val="de-DE"/>
              </w:rPr>
              <w:t>Frau Diercke ist heute im Gespräch mit dem BMG bezüglich der Weiterentwicklung des Pandemieradars, fragt diesbezüglich leicht an</w:t>
            </w:r>
          </w:p>
          <w:p>
            <w:pPr>
              <w:pStyle w:val="Liste2"/>
              <w:numPr>
                <w:ilvl w:val="0"/>
                <w:numId w:val="0"/>
              </w:numPr>
              <w:ind w:left="833"/>
              <w:rPr>
                <w:lang w:val="de-DE"/>
              </w:rPr>
            </w:pPr>
          </w:p>
          <w:p>
            <w:pPr>
              <w:pStyle w:val="Liste2"/>
            </w:pPr>
            <w:proofErr w:type="spellStart"/>
            <w:r>
              <w:t>Syndromische</w:t>
            </w:r>
            <w:proofErr w:type="spellEnd"/>
            <w:r>
              <w:t xml:space="preserve"> Surveillance </w:t>
            </w:r>
          </w:p>
          <w:p>
            <w:pPr>
              <w:pStyle w:val="Liste2"/>
              <w:rPr>
                <w:lang w:val="de-DE"/>
              </w:rPr>
            </w:pPr>
            <w:proofErr w:type="spellStart"/>
            <w:r>
              <w:rPr>
                <w:lang w:val="de-DE"/>
              </w:rPr>
              <w:t>GrippeWeb</w:t>
            </w:r>
            <w:proofErr w:type="spellEnd"/>
            <w:r>
              <w:rPr>
                <w:lang w:val="de-DE"/>
              </w:rPr>
              <w:t xml:space="preserve"> bis zur 48. KW 2022</w:t>
            </w:r>
          </w:p>
          <w:p>
            <w:pPr>
              <w:pStyle w:val="Liste2"/>
              <w:numPr>
                <w:ilvl w:val="1"/>
                <w:numId w:val="7"/>
              </w:numPr>
              <w:rPr>
                <w:lang w:val="de-DE"/>
              </w:rPr>
            </w:pPr>
            <w:r>
              <w:rPr>
                <w:bCs/>
                <w:lang w:val="de-DE"/>
              </w:rPr>
              <w:t>ARE gesamt: gestiegen</w:t>
            </w:r>
            <w:r>
              <w:rPr>
                <w:b/>
                <w:bCs/>
                <w:lang w:val="de-DE"/>
              </w:rPr>
              <w:t xml:space="preserve">: </w:t>
            </w:r>
            <w:r>
              <w:rPr>
                <w:lang w:val="de-DE"/>
              </w:rPr>
              <w:t xml:space="preserve">11,4 % (Vorwoche: 10,2 %) </w:t>
            </w:r>
          </w:p>
          <w:p>
            <w:pPr>
              <w:pStyle w:val="Liste2"/>
              <w:numPr>
                <w:ilvl w:val="1"/>
                <w:numId w:val="7"/>
              </w:numPr>
              <w:rPr>
                <w:lang w:val="de-DE"/>
              </w:rPr>
            </w:pPr>
            <w:r>
              <w:rPr>
                <w:lang w:val="de-DE"/>
              </w:rPr>
              <w:t>ARE-Rate 11,4 % fast doppelt so groß wie der Median aus den vorpandemischen Jahren (6,6 %)</w:t>
            </w:r>
          </w:p>
          <w:p>
            <w:pPr>
              <w:pStyle w:val="Liste2"/>
              <w:numPr>
                <w:ilvl w:val="1"/>
                <w:numId w:val="7"/>
              </w:numPr>
              <w:rPr>
                <w:lang w:val="de-DE"/>
              </w:rPr>
            </w:pPr>
            <w:r>
              <w:rPr>
                <w:lang w:val="de-DE"/>
              </w:rPr>
              <w:lastRenderedPageBreak/>
              <w:t>Entspricht einer Gesamtzahl von 9,5 Mio. ARE in Deutschland, unabhängig von einem Arztbesuch</w:t>
            </w:r>
          </w:p>
          <w:p>
            <w:pPr>
              <w:pStyle w:val="Liste2"/>
              <w:numPr>
                <w:ilvl w:val="1"/>
                <w:numId w:val="7"/>
              </w:numPr>
              <w:rPr>
                <w:lang w:val="de-DE"/>
              </w:rPr>
            </w:pPr>
            <w:r>
              <w:rPr>
                <w:lang w:val="de-DE"/>
              </w:rPr>
              <w:t>seit 45. KW wieder Anstieg zu verzeichnen</w:t>
            </w:r>
          </w:p>
          <w:p>
            <w:pPr>
              <w:pStyle w:val="Liste2"/>
              <w:numPr>
                <w:ilvl w:val="1"/>
                <w:numId w:val="7"/>
              </w:numPr>
              <w:rPr>
                <w:lang w:val="de-DE"/>
              </w:rPr>
            </w:pPr>
            <w:r>
              <w:rPr>
                <w:lang w:val="de-DE"/>
              </w:rPr>
              <w:t xml:space="preserve">ARE-gesamt: höher als jemals bei GW (höchste Wert: bis her: 11,1 in der 5. KW 2013) </w:t>
            </w:r>
          </w:p>
          <w:p>
            <w:pPr>
              <w:pStyle w:val="Liste2"/>
              <w:numPr>
                <w:ilvl w:val="1"/>
                <w:numId w:val="7"/>
              </w:numPr>
              <w:rPr>
                <w:lang w:val="de-DE"/>
              </w:rPr>
            </w:pPr>
            <w:r>
              <w:rPr>
                <w:lang w:val="de-DE"/>
              </w:rPr>
              <w:t>Zur Vorwoche: Anstieg bei Schulkindern (5-14 J.); Rückgang bei den 0- bis 4-Jährigen</w:t>
            </w:r>
          </w:p>
          <w:p>
            <w:pPr>
              <w:pStyle w:val="Liste2"/>
              <w:numPr>
                <w:ilvl w:val="1"/>
                <w:numId w:val="7"/>
              </w:numPr>
              <w:rPr>
                <w:lang w:val="de-DE"/>
              </w:rPr>
            </w:pPr>
            <w:r>
              <w:rPr>
                <w:lang w:val="de-DE"/>
              </w:rPr>
              <w:t xml:space="preserve">Kinder (0 bis 14) sehr viel höher als zur Grippewelle 17/18, Erwachsene etwa gleiche Größenordnung (obwohl die jungen </w:t>
            </w:r>
            <w:proofErr w:type="spellStart"/>
            <w:r>
              <w:rPr>
                <w:lang w:val="de-DE"/>
              </w:rPr>
              <w:t>Erw</w:t>
            </w:r>
            <w:proofErr w:type="spellEnd"/>
            <w:r>
              <w:rPr>
                <w:lang w:val="de-DE"/>
              </w:rPr>
              <w:t xml:space="preserve">. auch etwas höher liegen). </w:t>
            </w:r>
          </w:p>
          <w:p>
            <w:pPr>
              <w:pStyle w:val="Liste2"/>
              <w:numPr>
                <w:ilvl w:val="1"/>
                <w:numId w:val="7"/>
              </w:numPr>
              <w:rPr>
                <w:lang w:val="de-DE"/>
              </w:rPr>
            </w:pPr>
            <w:r>
              <w:rPr>
                <w:bCs/>
                <w:lang w:val="de-DE"/>
              </w:rPr>
              <w:t>ILI gesamt: ebenfalls gestiegen</w:t>
            </w:r>
            <w:r>
              <w:rPr>
                <w:lang w:val="de-DE"/>
              </w:rPr>
              <w:t>: 3,6 % (Vorwoche: 3,4 %)</w:t>
            </w:r>
          </w:p>
          <w:p>
            <w:pPr>
              <w:pStyle w:val="Liste2"/>
              <w:rPr>
                <w:lang w:val="de-DE"/>
              </w:rPr>
            </w:pPr>
            <w:r>
              <w:rPr>
                <w:lang w:val="de-DE"/>
              </w:rPr>
              <w:t xml:space="preserve">ARE-Konsultationen/100.000 </w:t>
            </w:r>
            <w:proofErr w:type="spellStart"/>
            <w:r>
              <w:rPr>
                <w:lang w:val="de-DE"/>
              </w:rPr>
              <w:t>Einw</w:t>
            </w:r>
            <w:proofErr w:type="spellEnd"/>
            <w:r>
              <w:rPr>
                <w:lang w:val="de-DE"/>
              </w:rPr>
              <w:t>. Bis zur 48.KW 2022</w:t>
            </w:r>
          </w:p>
          <w:p>
            <w:pPr>
              <w:pStyle w:val="Liste2"/>
              <w:numPr>
                <w:ilvl w:val="1"/>
                <w:numId w:val="7"/>
              </w:numPr>
              <w:rPr>
                <w:lang w:val="de-DE"/>
              </w:rPr>
            </w:pPr>
            <w:r>
              <w:rPr>
                <w:lang w:val="de-DE"/>
              </w:rPr>
              <w:t>In der 48. KW wurden bundesweit mehr Arzt</w:t>
            </w:r>
            <w:r>
              <w:rPr>
                <w:lang w:val="de-DE"/>
              </w:rPr>
              <w:softHyphen/>
              <w:t>be</w:t>
            </w:r>
            <w:r>
              <w:rPr>
                <w:lang w:val="de-DE"/>
              </w:rPr>
              <w:softHyphen/>
              <w:t>su</w:t>
            </w:r>
            <w:r>
              <w:rPr>
                <w:lang w:val="de-DE"/>
              </w:rPr>
              <w:softHyphen/>
              <w:t>che wegen ARE regis</w:t>
            </w:r>
            <w:r>
              <w:rPr>
                <w:lang w:val="de-DE"/>
              </w:rPr>
              <w:softHyphen/>
              <w:t>triert als in der Vor</w:t>
            </w:r>
            <w:r>
              <w:rPr>
                <w:lang w:val="de-DE"/>
              </w:rPr>
              <w:softHyphen/>
              <w:t>woche (Anstieg 7 %), wobei sich der Vorwochenwert noch erhöht hat (von 2.003 auf 2.213)</w:t>
            </w:r>
          </w:p>
          <w:p>
            <w:pPr>
              <w:pStyle w:val="Liste2"/>
              <w:numPr>
                <w:ilvl w:val="1"/>
                <w:numId w:val="7"/>
              </w:numPr>
              <w:rPr>
                <w:lang w:val="de-DE"/>
              </w:rPr>
            </w:pPr>
            <w:r>
              <w:rPr>
                <w:lang w:val="de-DE"/>
              </w:rPr>
              <w:t>In 48.KW 2022: ca. 2,0 Arztbesuche wegen ARE in Deutschland</w:t>
            </w:r>
          </w:p>
          <w:p>
            <w:pPr>
              <w:pStyle w:val="Liste2"/>
              <w:numPr>
                <w:ilvl w:val="1"/>
                <w:numId w:val="7"/>
              </w:numPr>
              <w:rPr>
                <w:lang w:val="de-DE"/>
              </w:rPr>
            </w:pPr>
            <w:r>
              <w:rPr>
                <w:bCs/>
                <w:lang w:val="de-DE"/>
              </w:rPr>
              <w:t xml:space="preserve">KI </w:t>
            </w:r>
            <w:r>
              <w:rPr>
                <w:lang w:val="de-DE"/>
              </w:rPr>
              <w:t xml:space="preserve">im Vergleich zur Vorwoche </w:t>
            </w:r>
            <w:r>
              <w:rPr>
                <w:bCs/>
                <w:lang w:val="de-DE"/>
              </w:rPr>
              <w:t>insgesamt: gestiegen</w:t>
            </w:r>
          </w:p>
          <w:p>
            <w:pPr>
              <w:pStyle w:val="Liste2"/>
              <w:numPr>
                <w:ilvl w:val="1"/>
                <w:numId w:val="7"/>
              </w:numPr>
            </w:pPr>
            <w:r>
              <w:t>in KW  48: 2.368 (</w:t>
            </w:r>
            <w:proofErr w:type="spellStart"/>
            <w:r>
              <w:t>Vorwoche</w:t>
            </w:r>
            <w:proofErr w:type="spellEnd"/>
            <w:r>
              <w:t>: 2.213)</w:t>
            </w:r>
          </w:p>
          <w:p>
            <w:pPr>
              <w:pStyle w:val="Liste2"/>
              <w:numPr>
                <w:ilvl w:val="1"/>
                <w:numId w:val="7"/>
              </w:numPr>
              <w:rPr>
                <w:lang w:val="de-DE"/>
              </w:rPr>
            </w:pPr>
            <w:r>
              <w:rPr>
                <w:lang w:val="de-DE"/>
              </w:rPr>
              <w:t>Insgesamt über dem Wertebereich der Vorjahre zur 48. KW, teilweise höher als die Werte in Grippewelle</w:t>
            </w:r>
          </w:p>
          <w:p>
            <w:pPr>
              <w:pStyle w:val="Liste2"/>
              <w:numPr>
                <w:ilvl w:val="1"/>
                <w:numId w:val="7"/>
              </w:numPr>
              <w:rPr>
                <w:lang w:val="de-DE"/>
              </w:rPr>
            </w:pPr>
            <w:r>
              <w:rPr>
                <w:lang w:val="de-DE"/>
              </w:rPr>
              <w:t>(leichter) Rückgang bei den 0-4-Jährigen (um 9 %); bei den Schulkindern Anstieg um 11</w:t>
            </w:r>
            <w:proofErr w:type="gramStart"/>
            <w:r>
              <w:rPr>
                <w:lang w:val="de-DE"/>
              </w:rPr>
              <w:t>% ,</w:t>
            </w:r>
            <w:proofErr w:type="gramEnd"/>
            <w:r>
              <w:rPr>
                <w:lang w:val="de-DE"/>
              </w:rPr>
              <w:t xml:space="preserve"> bei den Erwachsenen zwischen 7 und 12 %</w:t>
            </w:r>
          </w:p>
          <w:p>
            <w:pPr>
              <w:pStyle w:val="Liste2"/>
              <w:numPr>
                <w:ilvl w:val="1"/>
                <w:numId w:val="7"/>
              </w:numPr>
              <w:rPr>
                <w:lang w:val="de-DE"/>
              </w:rPr>
            </w:pPr>
            <w:r>
              <w:rPr>
                <w:lang w:val="de-DE"/>
              </w:rPr>
              <w:t>-Werte bei den allen AG höher als zur jeweiligen 48. KW</w:t>
            </w:r>
          </w:p>
          <w:p>
            <w:pPr>
              <w:pStyle w:val="Liste2"/>
              <w:numPr>
                <w:ilvl w:val="1"/>
                <w:numId w:val="7"/>
              </w:numPr>
              <w:rPr>
                <w:lang w:val="de-DE"/>
              </w:rPr>
            </w:pPr>
            <w:r>
              <w:rPr>
                <w:lang w:val="de-DE"/>
              </w:rPr>
              <w:t>Neben einem verstärkten Transmissionsgeschehen kann auch ein sensitiveres Konsulta</w:t>
            </w:r>
            <w:r>
              <w:rPr>
                <w:lang w:val="de-DE"/>
              </w:rPr>
              <w:softHyphen/>
              <w:t>tions</w:t>
            </w:r>
            <w:r>
              <w:rPr>
                <w:lang w:val="de-DE"/>
              </w:rPr>
              <w:softHyphen/>
              <w:t>ver</w:t>
            </w:r>
            <w:r>
              <w:rPr>
                <w:lang w:val="de-DE"/>
              </w:rPr>
              <w:softHyphen/>
              <w:t>halten (Aufsuchen der Arztpraxen bereits bei milder ARE-Symptomatik) zu höheren Werten beitragen</w:t>
            </w:r>
          </w:p>
          <w:p>
            <w:pPr>
              <w:pStyle w:val="Liste2"/>
              <w:rPr>
                <w:lang w:val="de-DE"/>
              </w:rPr>
            </w:pPr>
            <w:r>
              <w:rPr>
                <w:lang w:val="de-DE"/>
              </w:rPr>
              <w:t>Arbeitsgemeinschaft Influenza-SEED ARE</w:t>
            </w:r>
          </w:p>
          <w:p>
            <w:pPr>
              <w:pStyle w:val="Liste2"/>
              <w:numPr>
                <w:ilvl w:val="1"/>
                <w:numId w:val="7"/>
              </w:numPr>
              <w:rPr>
                <w:lang w:val="de-DE"/>
              </w:rPr>
            </w:pPr>
            <w:r>
              <w:rPr>
                <w:lang w:val="de-DE"/>
              </w:rPr>
              <w:t>ARE mit COVID-19 Konsultationen bis zur 48.KW 2022</w:t>
            </w:r>
          </w:p>
          <w:p>
            <w:pPr>
              <w:pStyle w:val="Liste2"/>
              <w:numPr>
                <w:ilvl w:val="1"/>
                <w:numId w:val="7"/>
              </w:numPr>
              <w:rPr>
                <w:lang w:val="de-DE"/>
              </w:rPr>
            </w:pPr>
            <w:r>
              <w:rPr>
                <w:lang w:val="de-DE"/>
              </w:rPr>
              <w:t>Rund 150 Arztbesuche ARE mit COVID-Diagnose/100.000 Einwohner, nicht weiter zurückgegangen seit 42/2022</w:t>
            </w:r>
          </w:p>
          <w:p>
            <w:pPr>
              <w:pStyle w:val="Liste2"/>
              <w:rPr>
                <w:lang w:val="de-DE"/>
              </w:rPr>
            </w:pPr>
            <w:r>
              <w:rPr>
                <w:bCs/>
                <w:lang w:val="de-DE"/>
              </w:rPr>
              <w:t>SEED</w:t>
            </w:r>
            <w:r>
              <w:rPr>
                <w:bCs/>
                <w:vertAlign w:val="superscript"/>
                <w:lang w:val="de-DE"/>
              </w:rPr>
              <w:t>ARE</w:t>
            </w:r>
            <w:r>
              <w:rPr>
                <w:bCs/>
                <w:lang w:val="de-DE"/>
              </w:rPr>
              <w:t xml:space="preserve"> – ARE mit COVID-19 Konsultationen in Altersgruppen bis zur 48. KW 2022</w:t>
            </w:r>
          </w:p>
          <w:p>
            <w:pPr>
              <w:pStyle w:val="Liste2"/>
              <w:numPr>
                <w:ilvl w:val="1"/>
                <w:numId w:val="7"/>
              </w:numPr>
              <w:rPr>
                <w:lang w:val="de-DE"/>
              </w:rPr>
            </w:pPr>
            <w:r>
              <w:rPr>
                <w:lang w:val="de-DE"/>
              </w:rPr>
              <w:t>nachdem die Anzahl der Arztkonsultationen wegen COVID-ARE seit KW 42/2022 insgesamt zurückging, kam es in KW 48 zu keinem weiteren Rückgang</w:t>
            </w:r>
          </w:p>
          <w:p>
            <w:pPr>
              <w:pStyle w:val="Liste2"/>
              <w:numPr>
                <w:ilvl w:val="1"/>
                <w:numId w:val="7"/>
              </w:numPr>
              <w:rPr>
                <w:lang w:val="de-DE"/>
              </w:rPr>
            </w:pPr>
            <w:r>
              <w:rPr>
                <w:lang w:val="de-DE"/>
              </w:rPr>
              <w:t>in KW 48/2022 sind die Werte im Vergleich zur Vorwoche bei den 35- bis 79-Jährigen erstmalig wieder angestiegen, in den anderen Altersgruppen weiter gesunken</w:t>
            </w:r>
          </w:p>
          <w:p>
            <w:pPr>
              <w:pStyle w:val="Liste2"/>
              <w:numPr>
                <w:ilvl w:val="1"/>
                <w:numId w:val="7"/>
              </w:numPr>
              <w:rPr>
                <w:lang w:val="de-DE"/>
              </w:rPr>
            </w:pPr>
            <w:r>
              <w:rPr>
                <w:lang w:val="de-DE"/>
              </w:rPr>
              <w:t>(letzte Erkrankungswelle hat sich insbesondere bei den Erwachsenen (AG ab 15 Jahren) widergespiegelt)</w:t>
            </w:r>
          </w:p>
          <w:p>
            <w:pPr>
              <w:pStyle w:val="Liste2"/>
              <w:rPr>
                <w:lang w:val="de-DE"/>
              </w:rPr>
            </w:pPr>
            <w:r>
              <w:rPr>
                <w:lang w:val="de-DE"/>
              </w:rPr>
              <w:t>ICOSARI-KH-Surveillance – Anteil COVID-19 an SARI-Fällen bis zur 48. KW 2022</w:t>
            </w:r>
          </w:p>
          <w:p>
            <w:pPr>
              <w:pStyle w:val="Liste2"/>
              <w:numPr>
                <w:ilvl w:val="1"/>
                <w:numId w:val="7"/>
              </w:numPr>
              <w:rPr>
                <w:lang w:val="de-DE"/>
              </w:rPr>
            </w:pPr>
            <w:r>
              <w:rPr>
                <w:lang w:val="de-DE"/>
              </w:rPr>
              <w:lastRenderedPageBreak/>
              <w:t>Anteil COVID-19 an SARI sinkt kaum noch: 9 % (Vorwoche: 12 %), dagegen steigender Anteil Influenza</w:t>
            </w:r>
          </w:p>
          <w:p>
            <w:pPr>
              <w:pStyle w:val="Liste2"/>
              <w:numPr>
                <w:ilvl w:val="1"/>
                <w:numId w:val="7"/>
              </w:numPr>
              <w:rPr>
                <w:lang w:val="de-DE"/>
              </w:rPr>
            </w:pPr>
            <w:r>
              <w:rPr>
                <w:lang w:val="de-DE"/>
              </w:rPr>
              <w:t xml:space="preserve">Anteil COVID-19 an SARI </w:t>
            </w:r>
            <w:r>
              <w:rPr>
                <w:bCs/>
                <w:lang w:val="de-DE"/>
              </w:rPr>
              <w:t>mit Intensivbehandlung</w:t>
            </w:r>
            <w:r>
              <w:rPr>
                <w:b/>
                <w:bCs/>
                <w:lang w:val="de-DE"/>
              </w:rPr>
              <w:t xml:space="preserve"> </w:t>
            </w:r>
            <w:r>
              <w:rPr>
                <w:lang w:val="de-DE"/>
              </w:rPr>
              <w:t xml:space="preserve">bleibt stabil: 15 % (Vorwoche: 14 %), </w:t>
            </w:r>
          </w:p>
          <w:p>
            <w:pPr>
              <w:pStyle w:val="Liste2"/>
              <w:numPr>
                <w:ilvl w:val="1"/>
                <w:numId w:val="7"/>
              </w:numPr>
              <w:rPr>
                <w:lang w:val="de-DE"/>
              </w:rPr>
            </w:pPr>
            <w:r>
              <w:sym w:font="Wingdings" w:char="F0E0"/>
            </w:r>
            <w:r>
              <w:rPr>
                <w:lang w:val="de-DE"/>
              </w:rPr>
              <w:t xml:space="preserve"> weiter relativ noch etwas höherer Anteil an Intensivbehandlungen bei SARI mit COVID-19 als bei SARI mit Influenza</w:t>
            </w:r>
          </w:p>
          <w:p>
            <w:pPr>
              <w:pStyle w:val="Liste2"/>
              <w:numPr>
                <w:ilvl w:val="1"/>
                <w:numId w:val="7"/>
              </w:numPr>
              <w:rPr>
                <w:lang w:val="de-DE"/>
              </w:rPr>
            </w:pPr>
            <w:r>
              <w:rPr>
                <w:lang w:val="de-DE"/>
              </w:rPr>
              <w:t xml:space="preserve">Anteil Influenza an SARI 18% (Vorwoche 13 %), 10 Influenza-Fälle (10%) unter SARI mit Intensivbehandlung; </w:t>
            </w:r>
          </w:p>
          <w:p>
            <w:pPr>
              <w:pStyle w:val="Liste2"/>
              <w:rPr>
                <w:lang w:val="de-DE"/>
              </w:rPr>
            </w:pPr>
            <w:r>
              <w:rPr>
                <w:lang w:val="de-DE"/>
              </w:rPr>
              <w:t xml:space="preserve">ICOSARI-KH-Surveillance – SARI-Fälle (J09 – J22) bis zur 48. KW 2022 </w:t>
            </w:r>
          </w:p>
          <w:p>
            <w:pPr>
              <w:pStyle w:val="Liste2"/>
              <w:numPr>
                <w:ilvl w:val="1"/>
                <w:numId w:val="7"/>
              </w:numPr>
              <w:rPr>
                <w:lang w:val="de-DE"/>
              </w:rPr>
            </w:pPr>
            <w:r>
              <w:rPr>
                <w:lang w:val="de-DE"/>
              </w:rPr>
              <w:t xml:space="preserve">weiterer Anstieg der SARI-Fallzahlen in AG 0-4, und 5- 14 Jahre, hier sowie in AG 15-34 bereits sehr hohe Fallzahlen; </w:t>
            </w:r>
          </w:p>
          <w:p>
            <w:pPr>
              <w:pStyle w:val="Liste2"/>
              <w:numPr>
                <w:ilvl w:val="1"/>
                <w:numId w:val="7"/>
              </w:numPr>
              <w:rPr>
                <w:lang w:val="de-DE"/>
              </w:rPr>
            </w:pPr>
            <w:r>
              <w:rPr>
                <w:lang w:val="de-DE"/>
              </w:rPr>
              <w:t xml:space="preserve">Anteil RSV in der AG 0-4 stabilisiert sich, weiterhin auch in anderen Altersgruppen Nachweise; </w:t>
            </w:r>
          </w:p>
          <w:p>
            <w:pPr>
              <w:pStyle w:val="Liste2"/>
              <w:numPr>
                <w:ilvl w:val="1"/>
                <w:numId w:val="7"/>
              </w:numPr>
              <w:rPr>
                <w:lang w:val="de-DE"/>
              </w:rPr>
            </w:pPr>
            <w:r>
              <w:rPr>
                <w:bCs/>
                <w:lang w:val="de-DE"/>
              </w:rPr>
              <w:t>Verdopplung des Anteils Influenza an SARI in AG 0-4</w:t>
            </w:r>
          </w:p>
          <w:p>
            <w:pPr>
              <w:pStyle w:val="Liste2"/>
              <w:numPr>
                <w:ilvl w:val="1"/>
                <w:numId w:val="7"/>
              </w:numPr>
              <w:rPr>
                <w:lang w:val="de-DE"/>
              </w:rPr>
            </w:pPr>
            <w:r>
              <w:rPr>
                <w:lang w:val="de-DE"/>
              </w:rPr>
              <w:t>Ebenfalls deutlich steigender Anteil Influenza in den AG 15-69 Jahre</w:t>
            </w:r>
          </w:p>
          <w:p>
            <w:pPr>
              <w:pStyle w:val="Liste2"/>
              <w:numPr>
                <w:ilvl w:val="1"/>
                <w:numId w:val="7"/>
              </w:numPr>
              <w:rPr>
                <w:lang w:val="de-DE"/>
              </w:rPr>
            </w:pPr>
            <w:r>
              <w:rPr>
                <w:lang w:val="de-DE"/>
              </w:rPr>
              <w:t>In AG 80+: Kein weiterer Rückgang der SARI-Fälle in den AG 80+ und kein weiterer Rückgang des Anteils COVID-19</w:t>
            </w:r>
          </w:p>
          <w:p>
            <w:pPr>
              <w:pStyle w:val="Liste2"/>
              <w:numPr>
                <w:ilvl w:val="1"/>
                <w:numId w:val="7"/>
              </w:numPr>
              <w:rPr>
                <w:lang w:val="de-DE"/>
              </w:rPr>
            </w:pPr>
            <w:r>
              <w:rPr>
                <w:lang w:val="de-DE"/>
              </w:rPr>
              <w:t>Intensivbehandlung: SARI-Fälle (J09 – J22) bis zur 48. KW 2022 bei Kindern 0 bis 4 Jahren 71% RSV</w:t>
            </w:r>
          </w:p>
          <w:p>
            <w:pPr>
              <w:pStyle w:val="Liste2"/>
            </w:pPr>
            <w:proofErr w:type="spellStart"/>
            <w:r>
              <w:t>Hospitalisierungsinzidenz</w:t>
            </w:r>
            <w:proofErr w:type="spellEnd"/>
            <w:r>
              <w:t xml:space="preserve"> COVID-SARI in 2022 </w:t>
            </w:r>
          </w:p>
          <w:p>
            <w:pPr>
              <w:pStyle w:val="Liste2"/>
              <w:numPr>
                <w:ilvl w:val="1"/>
                <w:numId w:val="7"/>
              </w:numPr>
              <w:rPr>
                <w:lang w:val="de-DE"/>
              </w:rPr>
            </w:pPr>
            <w:r>
              <w:rPr>
                <w:lang w:val="de-DE"/>
              </w:rPr>
              <w:t xml:space="preserve">Kein weiterer Rückgang in KW 48/2022: 2,9 je 100T (Anstieg Vorwoche von 3,0 auf 4,2), </w:t>
            </w:r>
          </w:p>
          <w:p>
            <w:pPr>
              <w:pStyle w:val="Liste2"/>
              <w:numPr>
                <w:ilvl w:val="1"/>
                <w:numId w:val="7"/>
              </w:numPr>
              <w:rPr>
                <w:lang w:val="de-DE"/>
              </w:rPr>
            </w:pPr>
            <w:r>
              <w:rPr>
                <w:lang w:val="de-DE"/>
              </w:rPr>
              <w:t>Kein weiterer Rückgang in AG 80+</w:t>
            </w:r>
          </w:p>
          <w:p>
            <w:pPr>
              <w:pStyle w:val="Liste2"/>
              <w:numPr>
                <w:ilvl w:val="0"/>
                <w:numId w:val="0"/>
              </w:numPr>
              <w:ind w:left="1193"/>
              <w:rPr>
                <w:lang w:val="de-DE"/>
              </w:rPr>
            </w:pPr>
          </w:p>
          <w:p>
            <w:pPr>
              <w:pStyle w:val="Liste2"/>
              <w:rPr>
                <w:rStyle w:val="TagMiZchn"/>
                <w:b w:val="0"/>
                <w:lang w:val="de-DE"/>
              </w:rPr>
            </w:pPr>
            <w:r>
              <w:rPr>
                <w:lang w:val="de-DE"/>
              </w:rPr>
              <w:t xml:space="preserve">Virologische Surveillance, NRZ Influenza-Daten </w:t>
            </w:r>
          </w:p>
          <w:p>
            <w:pPr>
              <w:pStyle w:val="Liste2"/>
              <w:numPr>
                <w:ilvl w:val="1"/>
                <w:numId w:val="7"/>
              </w:numPr>
              <w:rPr>
                <w:lang w:val="de-DE"/>
              </w:rPr>
            </w:pPr>
            <w:r>
              <w:rPr>
                <w:lang w:val="de-DE"/>
              </w:rPr>
              <w:t>In den letzten beiden Wochen höchste Einsendungen Influenza</w:t>
            </w:r>
          </w:p>
          <w:p>
            <w:pPr>
              <w:pStyle w:val="Liste2"/>
              <w:numPr>
                <w:ilvl w:val="1"/>
                <w:numId w:val="7"/>
              </w:numPr>
              <w:rPr>
                <w:lang w:val="de-DE"/>
              </w:rPr>
            </w:pPr>
            <w:r>
              <w:rPr>
                <w:lang w:val="de-DE"/>
              </w:rPr>
              <w:t>In 48.KW 326 Einsendungen von 74 Arztpraxen und 15 Bundesländern</w:t>
            </w:r>
          </w:p>
          <w:p>
            <w:pPr>
              <w:pStyle w:val="Liste2"/>
              <w:numPr>
                <w:ilvl w:val="1"/>
                <w:numId w:val="7"/>
              </w:numPr>
              <w:rPr>
                <w:lang w:val="de-DE"/>
              </w:rPr>
            </w:pPr>
            <w:r>
              <w:rPr>
                <w:lang w:val="de-DE"/>
              </w:rPr>
              <w:t xml:space="preserve">81% </w:t>
            </w:r>
            <w:proofErr w:type="spellStart"/>
            <w:r>
              <w:rPr>
                <w:lang w:val="de-DE"/>
              </w:rPr>
              <w:t>Positivenrate</w:t>
            </w:r>
            <w:proofErr w:type="spellEnd"/>
            <w:r>
              <w:rPr>
                <w:lang w:val="de-DE"/>
              </w:rPr>
              <w:t xml:space="preserve"> (264/326)</w:t>
            </w:r>
          </w:p>
          <w:p>
            <w:pPr>
              <w:pStyle w:val="Liste2"/>
              <w:numPr>
                <w:ilvl w:val="1"/>
                <w:numId w:val="7"/>
              </w:numPr>
              <w:rPr>
                <w:lang w:val="de-DE"/>
              </w:rPr>
            </w:pPr>
            <w:r>
              <w:rPr>
                <w:lang w:val="de-DE"/>
              </w:rPr>
              <w:t xml:space="preserve">Höchster </w:t>
            </w:r>
            <w:proofErr w:type="spellStart"/>
            <w:r>
              <w:rPr>
                <w:lang w:val="de-DE"/>
              </w:rPr>
              <w:t>Positivenanteil</w:t>
            </w:r>
            <w:proofErr w:type="spellEnd"/>
            <w:r>
              <w:rPr>
                <w:lang w:val="de-DE"/>
              </w:rPr>
              <w:t xml:space="preserve"> in Altersgruppe 5-15 Jahre (hier auch Grippewelle am stärksten)</w:t>
            </w:r>
          </w:p>
          <w:p>
            <w:pPr>
              <w:pStyle w:val="Liste2"/>
              <w:numPr>
                <w:ilvl w:val="1"/>
                <w:numId w:val="7"/>
              </w:numPr>
              <w:rPr>
                <w:lang w:val="de-DE"/>
              </w:rPr>
            </w:pPr>
            <w:r>
              <w:rPr>
                <w:lang w:val="de-DE"/>
              </w:rPr>
              <w:t>Coronaviren: SARS-CoV-2 Nachweis um die 4%, OC43 auf 4% angestiegen, andere endemische Coronaviren weniger nachgewiesen</w:t>
            </w:r>
          </w:p>
          <w:p>
            <w:pPr>
              <w:pStyle w:val="Liste2"/>
              <w:numPr>
                <w:ilvl w:val="1"/>
                <w:numId w:val="7"/>
              </w:numPr>
              <w:rPr>
                <w:lang w:val="de-DE"/>
              </w:rPr>
            </w:pPr>
            <w:r>
              <w:rPr>
                <w:lang w:val="de-DE"/>
              </w:rPr>
              <w:t>Influenzaviren: massiver Anstieg A(H3N2), das letzte Mal diese Höhe in der Grippewelle 17/18 erreicht (allerdings im Februar, nicht im Dezember)</w:t>
            </w:r>
          </w:p>
          <w:p>
            <w:pPr>
              <w:pStyle w:val="Liste2"/>
              <w:numPr>
                <w:ilvl w:val="1"/>
                <w:numId w:val="7"/>
              </w:numPr>
              <w:rPr>
                <w:lang w:val="de-DE"/>
              </w:rPr>
            </w:pPr>
            <w:r>
              <w:rPr>
                <w:lang w:val="de-DE"/>
              </w:rPr>
              <w:t xml:space="preserve">Sonstige Atemwegsviren: leichter Rückgang von RSV in 48.KW, </w:t>
            </w:r>
            <w:proofErr w:type="spellStart"/>
            <w:r>
              <w:rPr>
                <w:lang w:val="de-DE"/>
              </w:rPr>
              <w:t>Positivenrate</w:t>
            </w:r>
            <w:proofErr w:type="spellEnd"/>
            <w:r>
              <w:rPr>
                <w:lang w:val="de-DE"/>
              </w:rPr>
              <w:t xml:space="preserve"> von RSV war letztes Jahr stärker</w:t>
            </w:r>
          </w:p>
          <w:p>
            <w:pPr>
              <w:pStyle w:val="Liste2"/>
              <w:numPr>
                <w:ilvl w:val="1"/>
                <w:numId w:val="7"/>
              </w:numPr>
              <w:rPr>
                <w:lang w:val="de-DE"/>
              </w:rPr>
            </w:pPr>
            <w:r>
              <w:rPr>
                <w:lang w:val="de-DE"/>
              </w:rPr>
              <w:t>Mögliche Gründe der höheren Belegung der Intensivstation der Kinder:</w:t>
            </w:r>
          </w:p>
          <w:p>
            <w:pPr>
              <w:pStyle w:val="Liste2"/>
              <w:numPr>
                <w:ilvl w:val="2"/>
                <w:numId w:val="7"/>
              </w:numPr>
              <w:rPr>
                <w:lang w:val="de-DE"/>
              </w:rPr>
            </w:pPr>
            <w:r>
              <w:rPr>
                <w:lang w:val="de-DE"/>
              </w:rPr>
              <w:t xml:space="preserve">Es gibt zwei Gruppen von RSV, A und B, die sich in der Antigenstruktur des G-Proteins unterscheiden. Letztes Jahr zirkulierte RSV A </w:t>
            </w:r>
            <w:r>
              <w:rPr>
                <w:lang w:val="de-DE"/>
              </w:rPr>
              <w:lastRenderedPageBreak/>
              <w:t>zu 72% und dieses Jahr RSV B zu 83%. Verschiedene Studien zum Vergleich der Stärke im Vergleich untereinander, höhere Virulenz kann noch nicht eindeutig gesagt werden. Ggf. auch Assoziation mit der Grippewelle</w:t>
            </w:r>
          </w:p>
          <w:p>
            <w:pPr>
              <w:pStyle w:val="Liste2"/>
              <w:numPr>
                <w:ilvl w:val="1"/>
                <w:numId w:val="7"/>
              </w:numPr>
              <w:rPr>
                <w:lang w:val="de-DE"/>
              </w:rPr>
            </w:pPr>
            <w:r>
              <w:rPr>
                <w:lang w:val="de-DE"/>
              </w:rPr>
              <w:t>Am meisten betroffen sind Kinder zwischen 5 und 15 Jahre</w:t>
            </w:r>
          </w:p>
          <w:p>
            <w:pPr>
              <w:pStyle w:val="Liste2"/>
              <w:numPr>
                <w:ilvl w:val="0"/>
                <w:numId w:val="0"/>
              </w:numPr>
              <w:ind w:left="1553"/>
              <w:rPr>
                <w:lang w:val="de-DE"/>
              </w:rPr>
            </w:pPr>
          </w:p>
          <w:p>
            <w:pPr>
              <w:pStyle w:val="Liste2"/>
              <w:rPr>
                <w:rStyle w:val="TagMiZchn"/>
                <w:b w:val="0"/>
                <w:bCs/>
                <w:lang w:val="de-DE"/>
              </w:rPr>
            </w:pPr>
            <w:r>
              <w:rPr>
                <w:lang w:val="de-DE"/>
              </w:rPr>
              <w:t>Zahlen zum DIVI-</w:t>
            </w:r>
            <w:proofErr w:type="spellStart"/>
            <w:r>
              <w:rPr>
                <w:lang w:val="de-DE"/>
              </w:rPr>
              <w:t>Intensivregister</w:t>
            </w:r>
            <w:proofErr w:type="spellEnd"/>
            <w:r>
              <w:rPr>
                <w:lang w:val="de-DE"/>
              </w:rPr>
              <w:t xml:space="preserve"> </w:t>
            </w:r>
          </w:p>
          <w:p>
            <w:pPr>
              <w:pStyle w:val="Liste2"/>
              <w:numPr>
                <w:ilvl w:val="1"/>
                <w:numId w:val="7"/>
              </w:numPr>
              <w:rPr>
                <w:lang w:val="de-DE"/>
              </w:rPr>
            </w:pPr>
            <w:r>
              <w:rPr>
                <w:lang w:val="de-DE"/>
              </w:rPr>
              <w:t>Mit Stand 07.12.2022 werden 995 COVID-19-</w:t>
            </w:r>
            <w:proofErr w:type="gramStart"/>
            <w:r>
              <w:rPr>
                <w:lang w:val="de-DE"/>
              </w:rPr>
              <w:t>Patient:innen</w:t>
            </w:r>
            <w:proofErr w:type="gramEnd"/>
            <w:r>
              <w:rPr>
                <w:lang w:val="de-DE"/>
              </w:rPr>
              <w:t xml:space="preserve"> auf Intensivstationen (der ca. 1.300 Akutkrankenhäuser) behandelt.</w:t>
            </w:r>
          </w:p>
          <w:p>
            <w:pPr>
              <w:pStyle w:val="Liste2"/>
              <w:numPr>
                <w:ilvl w:val="1"/>
                <w:numId w:val="7"/>
              </w:numPr>
              <w:rPr>
                <w:lang w:val="de-DE"/>
              </w:rPr>
            </w:pPr>
            <w:r>
              <w:rPr>
                <w:lang w:val="de-DE"/>
              </w:rPr>
              <w:t>Anstieg bzw. Seitwärtsbewegung der COVID-ITS-Belegung</w:t>
            </w:r>
          </w:p>
          <w:p>
            <w:pPr>
              <w:pStyle w:val="Liste2"/>
              <w:numPr>
                <w:ilvl w:val="1"/>
                <w:numId w:val="7"/>
              </w:numPr>
              <w:rPr>
                <w:lang w:val="de-DE"/>
              </w:rPr>
            </w:pPr>
            <w:r>
              <w:rPr>
                <w:lang w:val="de-DE"/>
              </w:rPr>
              <w:t>ITS-COVID-Neuaufnahmen mit +884 in den letzten 7 Tagen</w:t>
            </w:r>
          </w:p>
          <w:p>
            <w:pPr>
              <w:pStyle w:val="Liste2"/>
              <w:numPr>
                <w:ilvl w:val="1"/>
                <w:numId w:val="7"/>
              </w:numPr>
              <w:rPr>
                <w:lang w:val="de-DE"/>
              </w:rPr>
            </w:pPr>
            <w:r>
              <w:rPr>
                <w:lang w:val="de-DE"/>
              </w:rPr>
              <w:t>Gleichbleibender Trend bei Anzahl verstorbener positiver SARS-CoV-2-</w:t>
            </w:r>
            <w:proofErr w:type="gramStart"/>
            <w:r>
              <w:rPr>
                <w:lang w:val="de-DE"/>
              </w:rPr>
              <w:t>Patient:innen</w:t>
            </w:r>
            <w:proofErr w:type="gramEnd"/>
            <w:r>
              <w:rPr>
                <w:lang w:val="de-DE"/>
              </w:rPr>
              <w:t xml:space="preserve"> auf ITS</w:t>
            </w:r>
          </w:p>
          <w:p>
            <w:pPr>
              <w:pStyle w:val="Liste2"/>
              <w:numPr>
                <w:ilvl w:val="1"/>
                <w:numId w:val="7"/>
              </w:numPr>
              <w:rPr>
                <w:lang w:val="de-DE"/>
              </w:rPr>
            </w:pPr>
            <w:r>
              <w:rPr>
                <w:lang w:val="de-DE"/>
              </w:rPr>
              <w:t>Anteil der COVID-19-Patient*innen an der Gesamtzahl betreibbarer ITS-Betten: nördliche Bundesländer bei 5%, restliche Bundesländer bei 2,6 bis 5,6%</w:t>
            </w:r>
          </w:p>
          <w:p>
            <w:pPr>
              <w:pStyle w:val="Liste2"/>
              <w:numPr>
                <w:ilvl w:val="1"/>
                <w:numId w:val="7"/>
              </w:numPr>
              <w:rPr>
                <w:lang w:val="de-DE"/>
              </w:rPr>
            </w:pPr>
            <w:r>
              <w:rPr>
                <w:lang w:val="de-DE"/>
              </w:rPr>
              <w:t>Seitwärtsbewegung bei Verteilung Behandlungsbelegung COVID-19 nach Schweregrad</w:t>
            </w:r>
          </w:p>
          <w:p>
            <w:pPr>
              <w:pStyle w:val="Liste2"/>
              <w:numPr>
                <w:ilvl w:val="1"/>
                <w:numId w:val="7"/>
              </w:numPr>
              <w:rPr>
                <w:lang w:val="de-DE"/>
              </w:rPr>
            </w:pPr>
            <w:r>
              <w:rPr>
                <w:lang w:val="de-DE"/>
              </w:rPr>
              <w:t>Einschätzung der Betriebssituation: Belastung Intensivstation steigt an, Personal wird auf Kinderintensiv verlagert</w:t>
            </w:r>
          </w:p>
          <w:p>
            <w:pPr>
              <w:pStyle w:val="Liste2"/>
              <w:numPr>
                <w:ilvl w:val="1"/>
                <w:numId w:val="7"/>
              </w:numPr>
              <w:rPr>
                <w:lang w:val="de-DE"/>
              </w:rPr>
            </w:pPr>
            <w:r>
              <w:rPr>
                <w:lang w:val="de-DE"/>
              </w:rPr>
              <w:t xml:space="preserve">Altersverteilung absolut: Aufwärtstrend ab 60 Jahren. 82% sind 60 Jahre oder älter </w:t>
            </w:r>
          </w:p>
          <w:p>
            <w:pPr>
              <w:pStyle w:val="Liste2"/>
              <w:numPr>
                <w:ilvl w:val="1"/>
                <w:numId w:val="7"/>
              </w:numPr>
              <w:rPr>
                <w:lang w:val="de-DE"/>
              </w:rPr>
            </w:pPr>
            <w:r>
              <w:rPr>
                <w:lang w:val="de-DE"/>
              </w:rPr>
              <w:t xml:space="preserve">Altersverteilung prozentual: Anstieg bei 0-17-Jährigen </w:t>
            </w:r>
          </w:p>
          <w:p>
            <w:pPr>
              <w:pStyle w:val="Liste2"/>
              <w:rPr>
                <w:lang w:val="de-DE"/>
              </w:rPr>
            </w:pPr>
            <w:r>
              <w:rPr>
                <w:lang w:val="de-DE"/>
              </w:rPr>
              <w:t>Kinder-ITS: Abnahme freier Betten, Zunahme belegter Betten. Gründe: steigender Anteil intensivpflichtiger RSV-Fälle, deutlicher Anstieg der Influenzafälle</w:t>
            </w:r>
          </w:p>
          <w:p>
            <w:pPr>
              <w:pStyle w:val="Liste2"/>
              <w:rPr>
                <w:lang w:val="de-DE"/>
              </w:rPr>
            </w:pPr>
            <w:r>
              <w:rPr>
                <w:lang w:val="de-DE"/>
              </w:rPr>
              <w:t>Notwendige Behandlungen RSV: 80% benötigen respiratorische Unterstützung</w:t>
            </w:r>
          </w:p>
          <w:p>
            <w:pPr>
              <w:pStyle w:val="Liste2"/>
              <w:rPr>
                <w:lang w:val="de-DE"/>
              </w:rPr>
            </w:pPr>
            <w:proofErr w:type="spellStart"/>
            <w:r>
              <w:rPr>
                <w:lang w:val="de-DE"/>
              </w:rPr>
              <w:t>SPoCK</w:t>
            </w:r>
            <w:proofErr w:type="spellEnd"/>
            <w:r>
              <w:rPr>
                <w:lang w:val="de-DE"/>
              </w:rPr>
              <w:t xml:space="preserve">: in allen Kleeblättern Anstieg, die nächsten 10 Tage sind am verlässlichsten. Prognosen berücksichtigen prognostizierte Inzidenzen. Interaktion zwischen den Kleeblättern wurden </w:t>
            </w:r>
            <w:proofErr w:type="spellStart"/>
            <w:r>
              <w:rPr>
                <w:lang w:val="de-DE"/>
              </w:rPr>
              <w:t>einmodelliert</w:t>
            </w:r>
            <w:proofErr w:type="spellEnd"/>
            <w:r>
              <w:rPr>
                <w:lang w:val="de-DE"/>
              </w:rPr>
              <w:t xml:space="preserve">. </w:t>
            </w:r>
          </w:p>
          <w:p>
            <w:pPr>
              <w:pStyle w:val="Liste2"/>
              <w:rPr>
                <w:lang w:val="de-DE"/>
              </w:rPr>
            </w:pPr>
            <w:r>
              <w:rPr>
                <w:lang w:val="de-DE"/>
              </w:rPr>
              <w:t>Hinweis: Prognosen werden zum Ende des Jahres abgestellt.</w:t>
            </w:r>
          </w:p>
          <w:p>
            <w:pPr>
              <w:pStyle w:val="Liste2"/>
              <w:numPr>
                <w:ilvl w:val="0"/>
                <w:numId w:val="0"/>
              </w:numPr>
              <w:rPr>
                <w:lang w:val="de-DE"/>
              </w:rPr>
            </w:pPr>
          </w:p>
          <w:p>
            <w:pPr>
              <w:pStyle w:val="Liste2"/>
              <w:numPr>
                <w:ilvl w:val="0"/>
                <w:numId w:val="0"/>
              </w:numPr>
              <w:rPr>
                <w:b/>
                <w:i/>
                <w:lang w:val="de-DE"/>
              </w:rPr>
            </w:pPr>
            <w:r>
              <w:rPr>
                <w:b/>
                <w:i/>
                <w:lang w:val="de-DE"/>
              </w:rPr>
              <w:t>Diskussion:</w:t>
            </w:r>
          </w:p>
          <w:p>
            <w:pPr>
              <w:pStyle w:val="Liste2"/>
              <w:numPr>
                <w:ilvl w:val="0"/>
                <w:numId w:val="22"/>
              </w:numPr>
              <w:rPr>
                <w:lang w:val="de-DE"/>
              </w:rPr>
            </w:pPr>
            <w:r>
              <w:rPr>
                <w:lang w:val="de-DE"/>
              </w:rPr>
              <w:t>Unterschiede in Nord/Süd Verteilung können nicht geographisch auf Unterschiede in den Sublinien zurückgeführt werden. Visualisierungen der Sublinien in Deutschland liegen nicht vor</w:t>
            </w:r>
          </w:p>
          <w:p>
            <w:pPr>
              <w:pStyle w:val="Liste2"/>
              <w:numPr>
                <w:ilvl w:val="0"/>
                <w:numId w:val="22"/>
              </w:numPr>
              <w:rPr>
                <w:lang w:val="de-DE"/>
              </w:rPr>
            </w:pPr>
            <w:r>
              <w:rPr>
                <w:lang w:val="de-DE"/>
              </w:rPr>
              <w:t>Breite der Wellen nimmt ab, lokal begrenzte spitze Wellen nehmen zu</w:t>
            </w:r>
          </w:p>
          <w:p>
            <w:pPr>
              <w:pStyle w:val="Liste2"/>
              <w:numPr>
                <w:ilvl w:val="0"/>
                <w:numId w:val="8"/>
              </w:numPr>
              <w:rPr>
                <w:lang w:val="de-DE"/>
              </w:rPr>
            </w:pPr>
            <w:bookmarkStart w:id="1" w:name="_Hlk121313913"/>
            <w:r>
              <w:rPr>
                <w:lang w:val="de-DE"/>
              </w:rPr>
              <w:t xml:space="preserve">Frage, ob aus </w:t>
            </w:r>
            <w:proofErr w:type="spellStart"/>
            <w:r>
              <w:rPr>
                <w:lang w:val="de-DE"/>
              </w:rPr>
              <w:t>syndromischer</w:t>
            </w:r>
            <w:proofErr w:type="spellEnd"/>
            <w:r>
              <w:rPr>
                <w:lang w:val="de-DE"/>
              </w:rPr>
              <w:t xml:space="preserve"> Surveillance eine Prognose abgegeben werden kann.</w:t>
            </w:r>
          </w:p>
          <w:p>
            <w:pPr>
              <w:pStyle w:val="Liste2"/>
              <w:numPr>
                <w:ilvl w:val="0"/>
                <w:numId w:val="8"/>
              </w:numPr>
              <w:rPr>
                <w:lang w:val="de-DE"/>
              </w:rPr>
            </w:pPr>
            <w:r>
              <w:rPr>
                <w:lang w:val="de-DE"/>
              </w:rPr>
              <w:lastRenderedPageBreak/>
              <w:t xml:space="preserve">Daten aus </w:t>
            </w:r>
            <w:proofErr w:type="spellStart"/>
            <w:r>
              <w:rPr>
                <w:lang w:val="de-DE"/>
              </w:rPr>
              <w:t>GrippeWeb</w:t>
            </w:r>
            <w:proofErr w:type="spellEnd"/>
            <w:r>
              <w:rPr>
                <w:lang w:val="de-DE"/>
              </w:rPr>
              <w:t xml:space="preserve"> ist schon ein Blick in die Zukunft (etwa 1-2 Wochen)</w:t>
            </w:r>
          </w:p>
          <w:p>
            <w:pPr>
              <w:pStyle w:val="Liste2"/>
              <w:numPr>
                <w:ilvl w:val="0"/>
                <w:numId w:val="8"/>
              </w:numPr>
              <w:rPr>
                <w:lang w:val="de-DE"/>
              </w:rPr>
            </w:pPr>
            <w:r>
              <w:rPr>
                <w:lang w:val="de-DE"/>
              </w:rPr>
              <w:t xml:space="preserve">Internationaler Konsens: </w:t>
            </w:r>
          </w:p>
          <w:p>
            <w:pPr>
              <w:pStyle w:val="Liste2"/>
              <w:numPr>
                <w:ilvl w:val="1"/>
                <w:numId w:val="8"/>
              </w:numPr>
              <w:rPr>
                <w:lang w:val="de-DE"/>
              </w:rPr>
            </w:pPr>
            <w:r>
              <w:rPr>
                <w:lang w:val="de-DE"/>
              </w:rPr>
              <w:t>Fortschreibung Entwicklung aus anderen Modellierungen sind von sehr starker Ungenauigkeit geprägt und sind nur eine Fortschreibung des gegenwärtigen Status Quo. Ausgangslage ist die derzeitige Lage mit derzeitigen Annahmen, dies ist gleichzeitig auch eine Limitation der Modellierung. Ungenaue Abbildung bei dynamischen Geschehen mit unterschiedlichen Erregern. RKI bildet derzeit aber sehr gut ab, es wurde frühzeitig auf eine RSV-Welle hingewiesen (bevor die Kliniken überlastet waren)</w:t>
            </w:r>
          </w:p>
          <w:p>
            <w:pPr>
              <w:pStyle w:val="Liste2"/>
              <w:numPr>
                <w:ilvl w:val="0"/>
                <w:numId w:val="8"/>
              </w:numPr>
              <w:rPr>
                <w:lang w:val="de-DE"/>
              </w:rPr>
            </w:pPr>
            <w:r>
              <w:rPr>
                <w:lang w:val="de-DE"/>
              </w:rPr>
              <w:t xml:space="preserve">Pandemieradar soll nicht zu komplex gestaltet werden, insbesondere wenn das BMG es auch an ihren </w:t>
            </w:r>
            <w:proofErr w:type="spellStart"/>
            <w:r>
              <w:rPr>
                <w:lang w:val="de-DE"/>
              </w:rPr>
              <w:t>anpassen</w:t>
            </w:r>
            <w:proofErr w:type="spellEnd"/>
            <w:r>
              <w:rPr>
                <w:lang w:val="de-DE"/>
              </w:rPr>
              <w:t xml:space="preserve"> muss</w:t>
            </w:r>
          </w:p>
          <w:p>
            <w:pPr>
              <w:pStyle w:val="Liste2"/>
              <w:numPr>
                <w:ilvl w:val="0"/>
                <w:numId w:val="8"/>
              </w:numPr>
              <w:rPr>
                <w:lang w:val="de-DE"/>
              </w:rPr>
            </w:pPr>
            <w:r>
              <w:rPr>
                <w:lang w:val="de-DE"/>
              </w:rPr>
              <w:t>Nicht nur Fortschreibung, sondern Inzidenzen reinzubringen, um Wendepunkte in den Trends vorherzusagen</w:t>
            </w:r>
          </w:p>
          <w:p>
            <w:pPr>
              <w:pStyle w:val="Liste2"/>
              <w:numPr>
                <w:ilvl w:val="0"/>
                <w:numId w:val="8"/>
              </w:numPr>
              <w:rPr>
                <w:lang w:val="de-DE"/>
              </w:rPr>
            </w:pPr>
            <w:r>
              <w:rPr>
                <w:lang w:val="de-DE"/>
              </w:rPr>
              <w:t>Eine Modellierung von RSV und Influenza wird erwartet sowie den Wunsch des Zugriffs auf die Daten der Surveillance</w:t>
            </w:r>
          </w:p>
          <w:p>
            <w:pPr>
              <w:pStyle w:val="Liste2"/>
              <w:numPr>
                <w:ilvl w:val="0"/>
                <w:numId w:val="8"/>
              </w:numPr>
              <w:rPr>
                <w:lang w:val="de-DE"/>
              </w:rPr>
            </w:pPr>
            <w:r>
              <w:rPr>
                <w:lang w:val="de-DE"/>
              </w:rPr>
              <w:t>Erweiterter Bericht von FG36 (Haas und Buda) an BMG über ARE und RSV. Bitte von Herrn Schaade, Folien 8 und 10 zu ergänzen, Folie 15 zu RSV-A und RSV-B nicht mitaufnehmen</w:t>
            </w:r>
          </w:p>
          <w:p>
            <w:pPr>
              <w:pStyle w:val="Liste2"/>
              <w:numPr>
                <w:ilvl w:val="0"/>
                <w:numId w:val="0"/>
              </w:numPr>
              <w:ind w:left="720"/>
              <w:rPr>
                <w:lang w:val="de-DE"/>
              </w:rPr>
            </w:pPr>
            <w:r>
              <w:rPr>
                <w:lang w:val="de-DE"/>
              </w:rPr>
              <w:t xml:space="preserve"> </w:t>
            </w:r>
          </w:p>
          <w:p>
            <w:pPr>
              <w:pStyle w:val="Liste2"/>
              <w:numPr>
                <w:ilvl w:val="0"/>
                <w:numId w:val="0"/>
              </w:numPr>
              <w:rPr>
                <w:b/>
                <w:i/>
                <w:lang w:val="de-DE"/>
              </w:rPr>
            </w:pPr>
            <w:r>
              <w:rPr>
                <w:b/>
                <w:i/>
                <w:lang w:val="de-DE"/>
              </w:rPr>
              <w:t>Diskussion:</w:t>
            </w:r>
          </w:p>
          <w:p>
            <w:pPr>
              <w:pStyle w:val="Liste2"/>
              <w:numPr>
                <w:ilvl w:val="0"/>
                <w:numId w:val="8"/>
              </w:numPr>
              <w:rPr>
                <w:lang w:val="de-DE"/>
              </w:rPr>
            </w:pPr>
            <w:r>
              <w:rPr>
                <w:lang w:val="de-DE"/>
              </w:rPr>
              <w:t xml:space="preserve">Erweiterung Abfrage </w:t>
            </w:r>
            <w:proofErr w:type="spellStart"/>
            <w:r>
              <w:rPr>
                <w:lang w:val="de-DE"/>
              </w:rPr>
              <w:t>Intensivregister</w:t>
            </w:r>
            <w:proofErr w:type="spellEnd"/>
            <w:r>
              <w:rPr>
                <w:lang w:val="de-DE"/>
              </w:rPr>
              <w:t xml:space="preserve"> um „intensivmedizinische Manifestation“; Frage um Aufnahme der Zahlen in den Wochenbericht.</w:t>
            </w:r>
          </w:p>
          <w:p>
            <w:pPr>
              <w:pStyle w:val="Liste2"/>
              <w:numPr>
                <w:ilvl w:val="1"/>
                <w:numId w:val="8"/>
              </w:numPr>
              <w:rPr>
                <w:lang w:val="de-DE"/>
              </w:rPr>
            </w:pPr>
            <w:r>
              <w:rPr>
                <w:lang w:val="de-DE"/>
              </w:rPr>
              <w:t>Zahlen werden abgewartet, dann entschieden</w:t>
            </w:r>
          </w:p>
          <w:p>
            <w:pPr>
              <w:pStyle w:val="Liste2"/>
              <w:numPr>
                <w:ilvl w:val="0"/>
                <w:numId w:val="0"/>
              </w:numPr>
              <w:ind w:left="833" w:hanging="360"/>
              <w:rPr>
                <w:lang w:val="de-DE"/>
              </w:rPr>
            </w:pPr>
          </w:p>
          <w:p>
            <w:pPr>
              <w:pStyle w:val="Liste2"/>
              <w:numPr>
                <w:ilvl w:val="0"/>
                <w:numId w:val="0"/>
              </w:numPr>
              <w:ind w:left="833" w:hanging="360"/>
              <w:rPr>
                <w:lang w:val="de-DE"/>
              </w:rPr>
            </w:pPr>
          </w:p>
          <w:p>
            <w:pPr>
              <w:pStyle w:val="Liste2"/>
              <w:numPr>
                <w:ilvl w:val="0"/>
                <w:numId w:val="0"/>
              </w:numPr>
              <w:rPr>
                <w:b/>
                <w:i/>
                <w:lang w:val="de-DE"/>
              </w:rPr>
            </w:pPr>
            <w:proofErr w:type="spellStart"/>
            <w:r>
              <w:rPr>
                <w:b/>
                <w:i/>
                <w:lang w:val="de-DE"/>
              </w:rPr>
              <w:t>ToDo</w:t>
            </w:r>
            <w:proofErr w:type="spellEnd"/>
            <w:r>
              <w:rPr>
                <w:b/>
                <w:i/>
                <w:lang w:val="de-DE"/>
              </w:rPr>
              <w:t>:</w:t>
            </w:r>
          </w:p>
          <w:p>
            <w:pPr>
              <w:pStyle w:val="Liste2"/>
              <w:numPr>
                <w:ilvl w:val="0"/>
                <w:numId w:val="0"/>
              </w:numPr>
              <w:rPr>
                <w:i/>
                <w:lang w:val="de-DE"/>
              </w:rPr>
            </w:pPr>
            <w:r>
              <w:rPr>
                <w:i/>
                <w:lang w:val="de-DE"/>
              </w:rPr>
              <w:t xml:space="preserve">Aufnahme Folie 8 und 10 im erweiterten Bericht an BMG (FG36, </w:t>
            </w:r>
            <w:proofErr w:type="spellStart"/>
            <w:r>
              <w:rPr>
                <w:i/>
                <w:lang w:val="de-DE"/>
              </w:rPr>
              <w:t>Haas&amp;Buda</w:t>
            </w:r>
            <w:proofErr w:type="spellEnd"/>
            <w:r>
              <w:rPr>
                <w:i/>
                <w:lang w:val="de-DE"/>
              </w:rPr>
              <w:t>)</w:t>
            </w:r>
          </w:p>
          <w:bookmarkEnd w:id="1"/>
          <w:p>
            <w:pPr>
              <w:pStyle w:val="Liste2"/>
              <w:numPr>
                <w:ilvl w:val="0"/>
                <w:numId w:val="0"/>
              </w:numPr>
              <w:rPr>
                <w:lang w:val="de-DE"/>
              </w:rPr>
            </w:pPr>
          </w:p>
        </w:tc>
        <w:tc>
          <w:tcPr>
            <w:tcW w:w="1463" w:type="dxa"/>
          </w:tcPr>
          <w:p>
            <w:pPr>
              <w:rPr>
                <w:sz w:val="22"/>
                <w:szCs w:val="22"/>
              </w:rPr>
            </w:pPr>
          </w:p>
          <w:p>
            <w:pPr>
              <w:rPr>
                <w:sz w:val="22"/>
                <w:szCs w:val="22"/>
              </w:rPr>
            </w:pPr>
          </w:p>
          <w:p>
            <w:pPr>
              <w:rPr>
                <w:sz w:val="22"/>
                <w:szCs w:val="22"/>
              </w:rPr>
            </w:pPr>
            <w:r>
              <w:rPr>
                <w:sz w:val="22"/>
                <w:szCs w:val="22"/>
              </w:rPr>
              <w:t xml:space="preserve">ZIG1 </w:t>
            </w:r>
          </w:p>
          <w:p>
            <w:pPr>
              <w:rPr>
                <w:sz w:val="22"/>
                <w:szCs w:val="22"/>
              </w:rPr>
            </w:pPr>
            <w:r>
              <w:rPr>
                <w:sz w:val="22"/>
                <w:szCs w:val="22"/>
              </w:rPr>
              <w:t>(Esquevin)</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 (Dürrwald)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(Esins)</w:t>
            </w:r>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Wichtige Punkte für den Wochenbericht</w:t>
            </w:r>
          </w:p>
          <w:p>
            <w:pPr>
              <w:pStyle w:val="Liste2"/>
              <w:numPr>
                <w:ilvl w:val="0"/>
                <w:numId w:val="23"/>
              </w:numPr>
              <w:rPr>
                <w:lang w:val="de-DE"/>
              </w:rPr>
            </w:pPr>
            <w:r>
              <w:rPr>
                <w:lang w:val="de-DE"/>
              </w:rPr>
              <w:t>Tenor: Leichter Anstieg (10% Anstieg), lokal begrenzt</w:t>
            </w:r>
          </w:p>
          <w:p>
            <w:pPr>
              <w:pStyle w:val="Liste2"/>
              <w:numPr>
                <w:ilvl w:val="0"/>
                <w:numId w:val="23"/>
              </w:numPr>
              <w:rPr>
                <w:lang w:val="de-DE"/>
              </w:rPr>
            </w:pPr>
            <w:r>
              <w:rPr>
                <w:lang w:val="de-DE"/>
              </w:rPr>
              <w:t>„lokal begrenzt“</w:t>
            </w:r>
          </w:p>
          <w:p>
            <w:pPr>
              <w:pStyle w:val="Liste2"/>
              <w:numPr>
                <w:ilvl w:val="0"/>
                <w:numId w:val="23"/>
              </w:numPr>
              <w:rPr>
                <w:lang w:val="de-DE"/>
              </w:rPr>
            </w:pPr>
            <w:r>
              <w:rPr>
                <w:lang w:val="de-DE"/>
              </w:rPr>
              <w:t xml:space="preserve">Nicht auf Unschärfe in Meldedaten hinweisen (wegen Zunahme ARE und Testen). Erstmal warten. </w:t>
            </w:r>
          </w:p>
          <w:p>
            <w:pPr>
              <w:pStyle w:val="1"/>
            </w:pPr>
          </w:p>
        </w:tc>
        <w:tc>
          <w:tcPr>
            <w:tcW w:w="1463" w:type="dxa"/>
          </w:tcPr>
          <w:p>
            <w:pPr>
              <w:rPr>
                <w:sz w:val="22"/>
                <w:szCs w:val="22"/>
              </w:rPr>
            </w:pPr>
          </w:p>
        </w:tc>
      </w:tr>
      <w:tr>
        <w:tc>
          <w:tcPr>
            <w:tcW w:w="684" w:type="dxa"/>
          </w:tcPr>
          <w:p>
            <w:pPr>
              <w:rPr>
                <w:b/>
              </w:rPr>
            </w:pPr>
            <w:r>
              <w:rPr>
                <w:b/>
              </w:rPr>
              <w:t>3</w:t>
            </w:r>
          </w:p>
        </w:tc>
        <w:tc>
          <w:tcPr>
            <w:tcW w:w="6824" w:type="dxa"/>
          </w:tcPr>
          <w:p>
            <w:pPr>
              <w:spacing w:line="276" w:lineRule="auto"/>
              <w:rPr>
                <w:rStyle w:val="TagFrZchn"/>
              </w:rPr>
            </w:pPr>
            <w:r>
              <w:rPr>
                <w:rStyle w:val="1Zchn"/>
              </w:rPr>
              <w:t>Update Impfen</w:t>
            </w:r>
            <w:r>
              <w:rPr>
                <w:b/>
                <w:sz w:val="28"/>
              </w:rPr>
              <w:t xml:space="preserve"> </w:t>
            </w:r>
          </w:p>
          <w:p>
            <w:pPr>
              <w:pStyle w:val="Liste1"/>
            </w:pPr>
            <w:r>
              <w:t>24. Aktualisierung der STIKO Empfehlung (15.12.22)</w:t>
            </w:r>
          </w:p>
          <w:p>
            <w:pPr>
              <w:pStyle w:val="Liste3"/>
            </w:pPr>
            <w:r>
              <w:t>Keine Impfempfehlung für gesunde Kinder unter 5 Jahren</w:t>
            </w:r>
          </w:p>
          <w:p>
            <w:pPr>
              <w:pStyle w:val="Liste3"/>
            </w:pPr>
            <w:r>
              <w:t>Grundimmunisierung nur für vorerkrankte Kinder (0,5 bis 5 J)</w:t>
            </w:r>
          </w:p>
          <w:p>
            <w:pPr>
              <w:pStyle w:val="Liste3"/>
              <w:numPr>
                <w:ilvl w:val="2"/>
                <w:numId w:val="6"/>
              </w:numPr>
            </w:pPr>
            <w:r>
              <w:t xml:space="preserve">Vorzugsweise </w:t>
            </w:r>
            <w:proofErr w:type="spellStart"/>
            <w:r>
              <w:t>BioNTech</w:t>
            </w:r>
            <w:proofErr w:type="spellEnd"/>
            <w:r>
              <w:t xml:space="preserve"> (3 Dosen mit 0-3-8 Wochen Abstand)</w:t>
            </w:r>
          </w:p>
          <w:p>
            <w:pPr>
              <w:pStyle w:val="Liste3"/>
              <w:numPr>
                <w:ilvl w:val="2"/>
                <w:numId w:val="6"/>
              </w:numPr>
            </w:pPr>
            <w:r>
              <w:t xml:space="preserve">Alternativ </w:t>
            </w:r>
            <w:proofErr w:type="spellStart"/>
            <w:r>
              <w:t>Spikevax</w:t>
            </w:r>
            <w:proofErr w:type="spellEnd"/>
            <w:r>
              <w:t xml:space="preserve"> (2 Dosen mit 4 Wochen Abstand, in D nicht verfügbar)</w:t>
            </w:r>
          </w:p>
          <w:p>
            <w:pPr>
              <w:pStyle w:val="Liste3"/>
              <w:numPr>
                <w:ilvl w:val="2"/>
                <w:numId w:val="6"/>
              </w:numPr>
            </w:pPr>
            <w:r>
              <w:t>Nach durchgemachter Infektion 1 Dosis weniger</w:t>
            </w:r>
          </w:p>
          <w:p>
            <w:pPr>
              <w:pStyle w:val="Liste3"/>
            </w:pPr>
            <w:r>
              <w:lastRenderedPageBreak/>
              <w:t>Weiterhin nur 1 Impfdosis für gesunde Kinder 5 bis 11 Jahre</w:t>
            </w:r>
          </w:p>
          <w:p>
            <w:pPr>
              <w:pStyle w:val="Liste3"/>
            </w:pPr>
            <w:r>
              <w:t>Bis zu 4 Impfdosen (2x GI + 2 Booster) für Kinder 5-11 mit Vorerkrankungen</w:t>
            </w:r>
          </w:p>
          <w:p>
            <w:pPr>
              <w:pStyle w:val="Liste3"/>
            </w:pPr>
            <w:r>
              <w:t>Neu: „Kann“ Empfehlung für Kinder mit Kontakt zu Personen, die selbst keinen ausreichenden Immunschutz aufbauen können</w:t>
            </w:r>
          </w:p>
          <w:p>
            <w:pPr>
              <w:pStyle w:val="Liste3"/>
            </w:pPr>
            <w:r>
              <w:t>„Die STIKO relativiert ihre bisherige Empfehlung und rät dazu, nach individueller Abwägung und unter Berücksichtigung des Wunsches der Eltern zu entscheiden, ob eine Impfung durchgeführt werden sollte“</w:t>
            </w:r>
          </w:p>
          <w:p>
            <w:pPr>
              <w:pStyle w:val="Liste3"/>
            </w:pPr>
            <w:proofErr w:type="spellStart"/>
            <w:r>
              <w:t>Novavax</w:t>
            </w:r>
            <w:proofErr w:type="spellEnd"/>
            <w:r>
              <w:t xml:space="preserve">-Booster ab 18 Jahren als Alternative bei Kontraindikationen gegen mRNA </w:t>
            </w:r>
          </w:p>
          <w:p>
            <w:pPr>
              <w:pStyle w:val="Liste3"/>
              <w:numPr>
                <w:ilvl w:val="2"/>
                <w:numId w:val="6"/>
              </w:numPr>
            </w:pPr>
            <w:r>
              <w:t>(off-label auch für Jugendliche 12-17)</w:t>
            </w:r>
          </w:p>
          <w:p>
            <w:pPr>
              <w:pStyle w:val="Liste3"/>
              <w:numPr>
                <w:ilvl w:val="2"/>
                <w:numId w:val="6"/>
              </w:numPr>
            </w:pPr>
            <w:proofErr w:type="spellStart"/>
            <w:r>
              <w:t>Novavax</w:t>
            </w:r>
            <w:proofErr w:type="spellEnd"/>
            <w:r>
              <w:t xml:space="preserve"> Booster ist im Vergleich zu Omikron-adaptierten mRNA unterlegen (</w:t>
            </w:r>
            <w:proofErr w:type="spellStart"/>
            <w:r>
              <w:t>Immunogenitätsdaten</w:t>
            </w:r>
            <w:proofErr w:type="spellEnd"/>
            <w:r>
              <w:t>)</w:t>
            </w:r>
          </w:p>
          <w:p>
            <w:pPr>
              <w:pStyle w:val="Liste3"/>
            </w:pPr>
            <w:r>
              <w:t>Angepasste Omikron-Impfstoffe für Kinder (5-11 Jahre) präferenziell empfohlen</w:t>
            </w:r>
          </w:p>
          <w:p>
            <w:pPr>
              <w:pStyle w:val="Liste3"/>
            </w:pPr>
            <w:r>
              <w:t>Themen für 2023</w:t>
            </w:r>
          </w:p>
          <w:p>
            <w:pPr>
              <w:pStyle w:val="Liste3"/>
              <w:numPr>
                <w:ilvl w:val="2"/>
                <w:numId w:val="6"/>
              </w:numPr>
            </w:pPr>
            <w:r>
              <w:t>Überführung der COVID-Impfungen ins Regelsystem</w:t>
            </w:r>
          </w:p>
          <w:p>
            <w:pPr>
              <w:pStyle w:val="Liste3"/>
              <w:numPr>
                <w:ilvl w:val="2"/>
                <w:numId w:val="6"/>
              </w:numPr>
            </w:pPr>
            <w:proofErr w:type="spellStart"/>
            <w:r>
              <w:t>VidPrevtyn</w:t>
            </w:r>
            <w:proofErr w:type="spellEnd"/>
            <w:r>
              <w:t xml:space="preserve"> Beta</w:t>
            </w:r>
          </w:p>
          <w:p>
            <w:pPr>
              <w:pStyle w:val="Liste3"/>
              <w:numPr>
                <w:ilvl w:val="2"/>
                <w:numId w:val="6"/>
              </w:numPr>
            </w:pPr>
            <w:r>
              <w:t>Booster für Schwangere zum Nestschutz des Neugeborenen</w:t>
            </w:r>
          </w:p>
          <w:p>
            <w:pPr>
              <w:pStyle w:val="Liste3"/>
              <w:numPr>
                <w:ilvl w:val="2"/>
                <w:numId w:val="6"/>
              </w:numPr>
            </w:pPr>
            <w:proofErr w:type="spellStart"/>
            <w:r>
              <w:t>Evusheld</w:t>
            </w:r>
            <w:proofErr w:type="spellEnd"/>
            <w:r>
              <w:t xml:space="preserve"> (wirkungslos gegen BQ1.1)</w:t>
            </w:r>
          </w:p>
          <w:p>
            <w:pPr>
              <w:pStyle w:val="Liste1"/>
            </w:pPr>
            <w:r>
              <w:t>Impfdurchbrüche: größte Gruppe ab 60 Jahre</w:t>
            </w:r>
          </w:p>
          <w:p>
            <w:pPr>
              <w:pStyle w:val="Liste1"/>
            </w:pPr>
            <w:r>
              <w:t>Sonderauswertung: „ungeimpft“ größter Anteil der hospitalisiert/intensivmedizinisch Versorgten</w:t>
            </w:r>
          </w:p>
          <w:p>
            <w:pPr>
              <w:pStyle w:val="Liste1"/>
            </w:pPr>
            <w:r>
              <w:t>Impfverordnung soll zum 31.12 bis 07.4 verlängert werden</w:t>
            </w:r>
          </w:p>
          <w:p>
            <w:pPr>
              <w:pStyle w:val="Liste1"/>
            </w:pPr>
            <w:r>
              <w:t>Heute soll die Ressortabstimmung im BMG gestartet werden</w:t>
            </w:r>
          </w:p>
          <w:p>
            <w:pPr>
              <w:pStyle w:val="Liste3"/>
            </w:pPr>
            <w:r>
              <w:t>DIM soll weiterlaufen (Meldepflicht (§4) soll weiter bestehen</w:t>
            </w:r>
          </w:p>
          <w:p>
            <w:pPr>
              <w:pStyle w:val="Liste1"/>
            </w:pPr>
            <w:r>
              <w:t>Finanzierung der Impfungen soll neu geregelt werden</w:t>
            </w:r>
          </w:p>
          <w:p>
            <w:pPr>
              <w:pStyle w:val="Liste3"/>
            </w:pPr>
            <w:r>
              <w:t xml:space="preserve">Impfzentren können von den Ländern weiter betrieben werden </w:t>
            </w:r>
          </w:p>
          <w:p>
            <w:pPr>
              <w:pStyle w:val="Liste3"/>
            </w:pPr>
            <w:r>
              <w:t>Mobile Impfteams können von den KVen weiter betrieben werden</w:t>
            </w:r>
          </w:p>
          <w:p>
            <w:pPr>
              <w:pStyle w:val="Liste1"/>
            </w:pPr>
            <w:r>
              <w:t>Überführung der COVID Impfung ins Regelsystem geplant zum 7.4.2023</w:t>
            </w:r>
          </w:p>
          <w:p>
            <w:pPr>
              <w:pStyle w:val="Liste1"/>
              <w:numPr>
                <w:ilvl w:val="0"/>
                <w:numId w:val="0"/>
              </w:numPr>
              <w:ind w:left="473" w:hanging="360"/>
            </w:pPr>
            <w:bookmarkStart w:id="2" w:name="_GoBack"/>
            <w:bookmarkEnd w:id="2"/>
          </w:p>
          <w:p>
            <w:pPr>
              <w:pStyle w:val="Liste1"/>
              <w:numPr>
                <w:ilvl w:val="0"/>
                <w:numId w:val="0"/>
              </w:numPr>
              <w:ind w:left="473" w:hanging="360"/>
              <w:rPr>
                <w:b/>
                <w:i/>
              </w:rPr>
            </w:pPr>
            <w:r>
              <w:rPr>
                <w:b/>
                <w:i/>
              </w:rPr>
              <w:t>Diskussion:</w:t>
            </w:r>
          </w:p>
          <w:p>
            <w:pPr>
              <w:pStyle w:val="Liste1"/>
              <w:numPr>
                <w:ilvl w:val="0"/>
                <w:numId w:val="25"/>
              </w:numPr>
            </w:pPr>
            <w:r>
              <w:t>Schutz vor Hospitalisierung: Effektivität muss kleiner werden</w:t>
            </w:r>
          </w:p>
          <w:p>
            <w:pPr>
              <w:pStyle w:val="Liste1"/>
              <w:numPr>
                <w:ilvl w:val="0"/>
                <w:numId w:val="25"/>
              </w:numPr>
            </w:pPr>
            <w:r>
              <w:t>Vergleichsgruppe (ungeimpft) ist nach einer durchgemachten Infektion im Grunde immun, schwierig im Vergleich: schützt eine 3-fache Impfung genauso wie eine 3-fache Covid-19-Infektion? Wäre die Impfeffektivität hier bei 0? Betrifft die Visualisierung</w:t>
            </w:r>
          </w:p>
          <w:p>
            <w:pPr>
              <w:pStyle w:val="Liste1"/>
              <w:numPr>
                <w:ilvl w:val="0"/>
                <w:numId w:val="25"/>
              </w:numPr>
              <w:rPr>
                <w:rStyle w:val="1Zchn"/>
                <w:b w:val="0"/>
                <w:sz w:val="22"/>
              </w:rPr>
            </w:pPr>
            <w:r>
              <w:t xml:space="preserve">Virologische Sentineldaten im europäischen Projekt zur Berechnung der Impfeffektivität COVID-19: ECDC hat hierzu einen neuen Bericht zur Impfeffektivität veröffentlicht: Schutz geht hier runter, da Immunnaive nicht mehr gegen </w:t>
            </w:r>
            <w:r>
              <w:lastRenderedPageBreak/>
              <w:t>Geimpfte verglichen werden. Komplex, dies bei COVID-19 zu berechnen und zu kommunizieren</w:t>
            </w:r>
          </w:p>
        </w:tc>
        <w:tc>
          <w:tcPr>
            <w:tcW w:w="1463" w:type="dxa"/>
          </w:tcPr>
          <w:p>
            <w:pPr>
              <w:rPr>
                <w:sz w:val="22"/>
                <w:szCs w:val="22"/>
              </w:rPr>
            </w:pPr>
            <w:r>
              <w:rPr>
                <w:sz w:val="22"/>
                <w:szCs w:val="22"/>
              </w:rPr>
              <w:lastRenderedPageBreak/>
              <w:t>FG 33</w:t>
            </w:r>
          </w:p>
          <w:p>
            <w:pPr>
              <w:rPr>
                <w:sz w:val="22"/>
                <w:szCs w:val="22"/>
              </w:rPr>
            </w:pPr>
            <w:r>
              <w:rPr>
                <w:sz w:val="22"/>
                <w:szCs w:val="22"/>
              </w:rPr>
              <w:t>(Fischer-Fels)</w:t>
            </w:r>
          </w:p>
        </w:tc>
      </w:tr>
      <w:tr>
        <w:tc>
          <w:tcPr>
            <w:tcW w:w="684" w:type="dxa"/>
          </w:tcPr>
          <w:p>
            <w:pPr>
              <w:rPr>
                <w:b/>
              </w:rPr>
            </w:pPr>
            <w:r>
              <w:rPr>
                <w:b/>
              </w:rPr>
              <w:lastRenderedPageBreak/>
              <w:t>4</w:t>
            </w:r>
          </w:p>
        </w:tc>
        <w:tc>
          <w:tcPr>
            <w:tcW w:w="6824" w:type="dxa"/>
          </w:tcPr>
          <w:p>
            <w:pPr>
              <w:spacing w:line="276" w:lineRule="auto"/>
              <w:rPr>
                <w:b/>
                <w:sz w:val="28"/>
              </w:rPr>
            </w:pPr>
            <w:r>
              <w:rPr>
                <w:rStyle w:val="1Zchn"/>
              </w:rPr>
              <w:t>Internationales</w:t>
            </w:r>
          </w:p>
          <w:p>
            <w:pPr>
              <w:spacing w:line="276" w:lineRule="auto"/>
            </w:pPr>
            <w:r>
              <w:rPr>
                <w:sz w:val="22"/>
              </w:rPr>
              <w:t>(nicht berichtet)</w:t>
            </w:r>
          </w:p>
        </w:tc>
        <w:tc>
          <w:tcPr>
            <w:tcW w:w="1463" w:type="dxa"/>
          </w:tcPr>
          <w:p>
            <w:pPr>
              <w:rPr>
                <w:sz w:val="22"/>
                <w:szCs w:val="22"/>
              </w:rPr>
            </w:pPr>
          </w:p>
          <w:p>
            <w:pPr>
              <w:rPr>
                <w:sz w:val="22"/>
                <w:szCs w:val="22"/>
              </w:rPr>
            </w:pPr>
            <w:r>
              <w:rPr>
                <w:sz w:val="22"/>
                <w:szCs w:val="22"/>
              </w:rPr>
              <w:t xml:space="preserve"> </w:t>
            </w:r>
          </w:p>
          <w:p>
            <w:pPr>
              <w:rPr>
                <w:sz w:val="22"/>
                <w:szCs w:val="22"/>
              </w:rPr>
            </w:pPr>
          </w:p>
        </w:tc>
      </w:tr>
      <w:tr>
        <w:tc>
          <w:tcPr>
            <w:tcW w:w="684" w:type="dxa"/>
          </w:tcPr>
          <w:p>
            <w:pPr>
              <w:rPr>
                <w:b/>
              </w:rPr>
            </w:pPr>
            <w:r>
              <w:rPr>
                <w:b/>
              </w:rPr>
              <w:t>5</w:t>
            </w:r>
          </w:p>
        </w:tc>
        <w:tc>
          <w:tcPr>
            <w:tcW w:w="6824" w:type="dxa"/>
          </w:tcPr>
          <w:p>
            <w:pPr>
              <w:spacing w:line="276" w:lineRule="auto"/>
              <w:rPr>
                <w:rStyle w:val="1Zchn"/>
              </w:rPr>
            </w:pPr>
            <w:r>
              <w:rPr>
                <w:rStyle w:val="1Zchn"/>
              </w:rPr>
              <w:t>Digitale Projekte</w:t>
            </w:r>
          </w:p>
          <w:p>
            <w:pPr>
              <w:pStyle w:val="Listenabsatz"/>
              <w:numPr>
                <w:ilvl w:val="0"/>
                <w:numId w:val="27"/>
              </w:numPr>
              <w:spacing w:line="276" w:lineRule="auto"/>
              <w:rPr>
                <w:rStyle w:val="1Zchn"/>
                <w:b w:val="0"/>
                <w:sz w:val="22"/>
              </w:rPr>
            </w:pPr>
            <w:r>
              <w:rPr>
                <w:rStyle w:val="1Zchn"/>
                <w:b w:val="0"/>
                <w:sz w:val="22"/>
              </w:rPr>
              <w:t>Austausch (CWA, Abt.3, ZBS) in der 2. Januarwoche in Bezug auf Optionen, die durch die CWA gegeben sein könnten</w:t>
            </w:r>
          </w:p>
          <w:p>
            <w:pPr>
              <w:pStyle w:val="Listenabsatz"/>
              <w:numPr>
                <w:ilvl w:val="1"/>
                <w:numId w:val="27"/>
              </w:numPr>
              <w:spacing w:line="276" w:lineRule="auto"/>
              <w:rPr>
                <w:rStyle w:val="1Zchn"/>
                <w:b w:val="0"/>
                <w:sz w:val="22"/>
              </w:rPr>
            </w:pPr>
            <w:r>
              <w:rPr>
                <w:rStyle w:val="1Zchn"/>
                <w:b w:val="0"/>
                <w:sz w:val="22"/>
              </w:rPr>
              <w:t xml:space="preserve">Etablierung einer neuen App „allgemeine </w:t>
            </w:r>
            <w:proofErr w:type="spellStart"/>
            <w:r>
              <w:rPr>
                <w:rStyle w:val="1Zchn"/>
                <w:b w:val="0"/>
                <w:sz w:val="22"/>
              </w:rPr>
              <w:t>Gesundheitsapp</w:t>
            </w:r>
            <w:proofErr w:type="spellEnd"/>
            <w:r>
              <w:rPr>
                <w:rStyle w:val="1Zchn"/>
                <w:b w:val="0"/>
                <w:sz w:val="22"/>
              </w:rPr>
              <w:t>“</w:t>
            </w:r>
          </w:p>
          <w:p>
            <w:pPr>
              <w:pStyle w:val="Listenabsatz"/>
              <w:numPr>
                <w:ilvl w:val="2"/>
                <w:numId w:val="27"/>
              </w:numPr>
              <w:spacing w:line="276" w:lineRule="auto"/>
              <w:rPr>
                <w:rStyle w:val="1Zchn"/>
                <w:b w:val="0"/>
                <w:sz w:val="22"/>
              </w:rPr>
            </w:pPr>
            <w:r>
              <w:rPr>
                <w:rStyle w:val="1Zchn"/>
                <w:b w:val="0"/>
                <w:sz w:val="22"/>
              </w:rPr>
              <w:t>Elementen von Befragungen</w:t>
            </w:r>
          </w:p>
          <w:p>
            <w:pPr>
              <w:pStyle w:val="Listenabsatz"/>
              <w:numPr>
                <w:ilvl w:val="2"/>
                <w:numId w:val="27"/>
              </w:numPr>
              <w:spacing w:line="276" w:lineRule="auto"/>
              <w:rPr>
                <w:rStyle w:val="1Zchn"/>
                <w:b w:val="0"/>
                <w:sz w:val="22"/>
              </w:rPr>
            </w:pPr>
            <w:r>
              <w:rPr>
                <w:rStyle w:val="1Zchn"/>
                <w:b w:val="0"/>
                <w:sz w:val="22"/>
              </w:rPr>
              <w:t>Elementen zur Information der Teilnehmenden (Handlungsempfehlungen, Warnungen), weitere epidemiologische Fragestellungen</w:t>
            </w:r>
          </w:p>
          <w:p>
            <w:pPr>
              <w:pStyle w:val="Listenabsatz"/>
              <w:numPr>
                <w:ilvl w:val="0"/>
                <w:numId w:val="27"/>
              </w:numPr>
              <w:spacing w:line="276" w:lineRule="auto"/>
              <w:rPr>
                <w:rStyle w:val="1Zchn"/>
                <w:b w:val="0"/>
                <w:sz w:val="22"/>
              </w:rPr>
            </w:pPr>
            <w:r>
              <w:rPr>
                <w:rStyle w:val="1Zchn"/>
                <w:b w:val="0"/>
                <w:sz w:val="22"/>
              </w:rPr>
              <w:t>DEA:</w:t>
            </w:r>
            <w:r>
              <w:t xml:space="preserve"> </w:t>
            </w:r>
            <w:r>
              <w:rPr>
                <w:rStyle w:val="1Zchn"/>
                <w:b w:val="0"/>
                <w:sz w:val="22"/>
              </w:rPr>
              <w:t xml:space="preserve">aktuell CR in Arbeit um Betrieb bis März aufrecht zu erhalten. Parallel Umstieg auf EU </w:t>
            </w:r>
            <w:proofErr w:type="spellStart"/>
            <w:r>
              <w:rPr>
                <w:rStyle w:val="1Zchn"/>
                <w:b w:val="0"/>
                <w:sz w:val="22"/>
              </w:rPr>
              <w:t>dplf</w:t>
            </w:r>
            <w:proofErr w:type="spellEnd"/>
            <w:r>
              <w:rPr>
                <w:rStyle w:val="1Zchn"/>
                <w:b w:val="0"/>
                <w:sz w:val="22"/>
              </w:rPr>
              <w:t>, hier IT5 und FG33 im Lead.</w:t>
            </w:r>
          </w:p>
        </w:tc>
        <w:tc>
          <w:tcPr>
            <w:tcW w:w="1463" w:type="dxa"/>
          </w:tcPr>
          <w:p>
            <w:pPr>
              <w:rPr>
                <w:sz w:val="22"/>
                <w:szCs w:val="22"/>
              </w:rPr>
            </w:pPr>
            <w:r>
              <w:rPr>
                <w:sz w:val="22"/>
                <w:szCs w:val="22"/>
              </w:rPr>
              <w:t>FG21</w:t>
            </w:r>
          </w:p>
          <w:p>
            <w:pPr>
              <w:rPr>
                <w:sz w:val="22"/>
                <w:szCs w:val="22"/>
              </w:rPr>
            </w:pPr>
            <w:r>
              <w:rPr>
                <w:sz w:val="22"/>
                <w:szCs w:val="22"/>
              </w:rPr>
              <w:t>(Schmich)</w:t>
            </w:r>
          </w:p>
        </w:tc>
      </w:tr>
      <w:tr>
        <w:tc>
          <w:tcPr>
            <w:tcW w:w="684" w:type="dxa"/>
          </w:tcPr>
          <w:p>
            <w:pPr>
              <w:rPr>
                <w:b/>
              </w:rPr>
            </w:pPr>
            <w:r>
              <w:rPr>
                <w:b/>
              </w:rPr>
              <w:t>6</w:t>
            </w:r>
          </w:p>
        </w:tc>
        <w:tc>
          <w:tcPr>
            <w:tcW w:w="6824" w:type="dxa"/>
          </w:tcPr>
          <w:p>
            <w:pPr>
              <w:spacing w:line="276" w:lineRule="auto"/>
              <w:rPr>
                <w:rStyle w:val="1Zchn"/>
              </w:rPr>
            </w:pPr>
            <w:r>
              <w:rPr>
                <w:rStyle w:val="1Zchn"/>
              </w:rPr>
              <w:t>Daten aus der Gesundheitsberichterstattung</w:t>
            </w:r>
          </w:p>
          <w:p>
            <w:pPr>
              <w:pStyle w:val="Liste1"/>
              <w:numPr>
                <w:ilvl w:val="0"/>
                <w:numId w:val="0"/>
              </w:numPr>
              <w:ind w:left="473" w:hanging="360"/>
            </w:pPr>
            <w:r>
              <w:t>NCD-Themen in Bezug auf die Pandemie</w:t>
            </w:r>
          </w:p>
          <w:p>
            <w:pPr>
              <w:pStyle w:val="Liste1"/>
              <w:numPr>
                <w:ilvl w:val="0"/>
                <w:numId w:val="0"/>
              </w:numPr>
              <w:ind w:left="473" w:hanging="360"/>
            </w:pPr>
            <w:r>
              <w:t xml:space="preserve">„Beeinträchtigung onkologischer Diagnostik u. Versorgung: Zusammenfassung der vorliegenden Evidenz zum Thema, Ausblick </w:t>
            </w:r>
            <w:proofErr w:type="gramStart"/>
            <w:r>
              <w:t>auf kommende</w:t>
            </w:r>
            <w:proofErr w:type="gramEnd"/>
            <w:r>
              <w:t xml:space="preserve"> Projekte“</w:t>
            </w:r>
          </w:p>
          <w:p>
            <w:pPr>
              <w:pStyle w:val="Liste1"/>
            </w:pPr>
            <w:r>
              <w:t>Bei einige Krebsdiagnosen und in bestimmten Krankheitsphasen besteht ein erhöhtes Risiko für einen schweren COVID</w:t>
            </w:r>
            <w:r>
              <w:t>-</w:t>
            </w:r>
            <w:r>
              <w:t>19 Verlauf</w:t>
            </w:r>
          </w:p>
          <w:p>
            <w:pPr>
              <w:pStyle w:val="Liste1"/>
            </w:pPr>
            <w:r>
              <w:t xml:space="preserve">Krankenhaussterblichkeit bei </w:t>
            </w:r>
            <w:proofErr w:type="gramStart"/>
            <w:r>
              <w:t>Patient</w:t>
            </w:r>
            <w:r>
              <w:t>:innen</w:t>
            </w:r>
            <w:proofErr w:type="gramEnd"/>
            <w:r>
              <w:t xml:space="preserve"> mit C</w:t>
            </w:r>
            <w:r>
              <w:t>OVID</w:t>
            </w:r>
            <w:r>
              <w:t>-19 und Nebendiagnose Krebs ca</w:t>
            </w:r>
            <w:r>
              <w:t>.</w:t>
            </w:r>
            <w:r>
              <w:t xml:space="preserve"> 50% höher als bei Gleichaltrigen ohne Krebsd</w:t>
            </w:r>
            <w:r>
              <w:t>i</w:t>
            </w:r>
            <w:r>
              <w:t>agnosen</w:t>
            </w:r>
          </w:p>
          <w:p>
            <w:pPr>
              <w:pStyle w:val="Liste1"/>
            </w:pPr>
            <w:r>
              <w:t>Deutlicher</w:t>
            </w:r>
            <w:r>
              <w:t xml:space="preserve"> Rückgang von Krebsdiagnosen in der ersten Pandemiewelle</w:t>
            </w:r>
            <w:r>
              <w:t xml:space="preserve"> (2020)</w:t>
            </w:r>
          </w:p>
          <w:p>
            <w:pPr>
              <w:pStyle w:val="Liste1"/>
            </w:pPr>
            <w:r>
              <w:t>Stationäre Fallzahlen werden im Verlauf 2020/21 nur teilweise aufgeholt</w:t>
            </w:r>
          </w:p>
          <w:p>
            <w:pPr>
              <w:pStyle w:val="Liste1"/>
            </w:pPr>
            <w:r>
              <w:t>Auffal</w:t>
            </w:r>
            <w:r>
              <w:t>l</w:t>
            </w:r>
            <w:r>
              <w:t>ender Rückgang v.a. bei Diagnose und OPSs von Darmkrebs</w:t>
            </w:r>
          </w:p>
          <w:p>
            <w:pPr>
              <w:pStyle w:val="Liste1"/>
            </w:pPr>
            <w:r>
              <w:t xml:space="preserve">Bisher keine Hinweise für zwischenzeitlich von einigen </w:t>
            </w:r>
            <w:proofErr w:type="spellStart"/>
            <w:proofErr w:type="gramStart"/>
            <w:r>
              <w:t>Expert</w:t>
            </w:r>
            <w:r>
              <w:t>:innen</w:t>
            </w:r>
            <w:proofErr w:type="spellEnd"/>
            <w:proofErr w:type="gramEnd"/>
            <w:r>
              <w:t xml:space="preserve"> befürchtete Bugwelle</w:t>
            </w:r>
          </w:p>
          <w:p>
            <w:pPr>
              <w:pStyle w:val="Liste1"/>
            </w:pPr>
            <w:r>
              <w:t>Quartale mit Vorherigem Quartal vergleichen</w:t>
            </w:r>
          </w:p>
          <w:p>
            <w:pPr>
              <w:pStyle w:val="Liste1"/>
            </w:pPr>
            <w:r>
              <w:t xml:space="preserve">Erste Ergebnisse aus Krebsregistern: Fallzahlen erst 2020 aus 4 BL veröffentlicht: </w:t>
            </w:r>
          </w:p>
          <w:p>
            <w:pPr>
              <w:pStyle w:val="Liste1"/>
            </w:pPr>
            <w:r>
              <w:t>Krebs gesamt: -</w:t>
            </w:r>
            <w:r>
              <w:t>0,4 %</w:t>
            </w:r>
            <w:r>
              <w:t xml:space="preserve"> bis -6,1%</w:t>
            </w:r>
          </w:p>
          <w:p>
            <w:pPr>
              <w:pStyle w:val="Liste1"/>
            </w:pPr>
            <w:r>
              <w:t>Darmkrebs -4,3% bis -17,4%</w:t>
            </w:r>
          </w:p>
          <w:p>
            <w:pPr>
              <w:pStyle w:val="Liste1"/>
            </w:pPr>
            <w:r>
              <w:t>Mögliche Gründe für Rückgänge:</w:t>
            </w:r>
          </w:p>
          <w:p>
            <w:pPr>
              <w:pStyle w:val="Liste3"/>
            </w:pPr>
            <w:r>
              <w:t>Vermindertes Angebot/verminderte Inanspruchnahme</w:t>
            </w:r>
          </w:p>
          <w:p>
            <w:pPr>
              <w:pStyle w:val="Liste3"/>
            </w:pPr>
            <w:r>
              <w:t xml:space="preserve">Verzögerte Abklärung symptomatischer </w:t>
            </w:r>
            <w:proofErr w:type="gramStart"/>
            <w:r>
              <w:t>Patient:innen</w:t>
            </w:r>
            <w:proofErr w:type="gramEnd"/>
          </w:p>
          <w:p>
            <w:pPr>
              <w:pStyle w:val="Liste3"/>
            </w:pPr>
            <w:r>
              <w:t>Verlagerung von Therapien in den ambulanten Bereich zur Vermeidung der Überlastung der Krankenhäuser</w:t>
            </w:r>
          </w:p>
          <w:p>
            <w:pPr>
              <w:pStyle w:val="Liste3"/>
            </w:pPr>
            <w:r>
              <w:t>Verringerung des Infektionsrisikos der Betroffenen</w:t>
            </w:r>
            <w:r>
              <w:t>;</w:t>
            </w:r>
            <w:r>
              <w:t xml:space="preserve"> für Krebsoperationen unwahrscheinlich</w:t>
            </w:r>
          </w:p>
          <w:p>
            <w:pPr>
              <w:pStyle w:val="Liste1"/>
            </w:pPr>
            <w:r>
              <w:t>„Übersterblichkeit“ unter an Krebs erkrankten Personen durch SARS-CoV-2 Infektion</w:t>
            </w:r>
          </w:p>
          <w:p>
            <w:pPr>
              <w:pStyle w:val="Liste1"/>
            </w:pPr>
            <w:r>
              <w:t xml:space="preserve">Beeinträchtigung der Meldetätigkeit in Krebsregistern </w:t>
            </w:r>
          </w:p>
          <w:p>
            <w:pPr>
              <w:pStyle w:val="Liste1"/>
            </w:pPr>
            <w:r>
              <w:lastRenderedPageBreak/>
              <w:t xml:space="preserve">Offene Fragen: </w:t>
            </w:r>
          </w:p>
          <w:p>
            <w:pPr>
              <w:pStyle w:val="Liste3"/>
            </w:pPr>
            <w:r>
              <w:t>inwieweit</w:t>
            </w:r>
            <w:r>
              <w:t xml:space="preserve"> haben sich die Behandlungs- und Überlebenschance für Krebspatientinnen während der ersten/späteren Phase der Pandemie verschlechtert? (durch </w:t>
            </w:r>
            <w:r>
              <w:t>Verzögerung</w:t>
            </w:r>
            <w:r>
              <w:t xml:space="preserve"> der Diagnose/Therapie/SARS)</w:t>
            </w:r>
          </w:p>
          <w:p>
            <w:pPr>
              <w:pStyle w:val="Liste1"/>
            </w:pPr>
            <w:r>
              <w:t xml:space="preserve">Aktivitäten des </w:t>
            </w:r>
            <w:proofErr w:type="spellStart"/>
            <w:r>
              <w:t>ZfKD</w:t>
            </w:r>
            <w:proofErr w:type="spellEnd"/>
          </w:p>
          <w:p>
            <w:pPr>
              <w:pStyle w:val="Liste3"/>
            </w:pPr>
            <w:r>
              <w:t>Nächstes Jahr kommen Daten aus 2020 und 2021, Antrag geschrieben, mit diesen Daten systematisch mit Problemlage zu beschäftigen. Schwerpunkt: Auswertung der bu</w:t>
            </w:r>
            <w:r>
              <w:t>n</w:t>
            </w:r>
            <w:r>
              <w:t xml:space="preserve">desweiten Krebsregisterdaten. Weitere Daten werden hinzugezogen. (z.B. </w:t>
            </w:r>
            <w:proofErr w:type="spellStart"/>
            <w:r>
              <w:t>Bfarm</w:t>
            </w:r>
            <w:proofErr w:type="spellEnd"/>
            <w:r>
              <w:t>)</w:t>
            </w:r>
          </w:p>
          <w:p>
            <w:pPr>
              <w:pStyle w:val="Liste3"/>
            </w:pPr>
            <w:r>
              <w:t>BIPS (finanziert aus 9-PP</w:t>
            </w:r>
            <w:r>
              <w:t>)</w:t>
            </w:r>
          </w:p>
          <w:p>
            <w:pPr>
              <w:pStyle w:val="Liste3"/>
              <w:numPr>
                <w:ilvl w:val="0"/>
                <w:numId w:val="0"/>
              </w:numPr>
              <w:rPr>
                <w:rStyle w:val="1Zchn"/>
                <w:b w:val="0"/>
                <w:sz w:val="22"/>
              </w:rPr>
            </w:pPr>
          </w:p>
          <w:p>
            <w:pPr>
              <w:pStyle w:val="Liste3"/>
              <w:numPr>
                <w:ilvl w:val="0"/>
                <w:numId w:val="0"/>
              </w:numPr>
              <w:rPr>
                <w:rStyle w:val="1Zchn"/>
                <w:i/>
                <w:sz w:val="22"/>
              </w:rPr>
            </w:pPr>
            <w:r>
              <w:rPr>
                <w:rStyle w:val="1Zchn"/>
                <w:i/>
                <w:sz w:val="22"/>
              </w:rPr>
              <w:t>Diskussion:</w:t>
            </w:r>
          </w:p>
          <w:p>
            <w:pPr>
              <w:pStyle w:val="Liste1"/>
              <w:numPr>
                <w:ilvl w:val="0"/>
                <w:numId w:val="11"/>
              </w:numPr>
            </w:pPr>
            <w:r>
              <w:t>Wie normal ist das Vergleichsjahr 2019?</w:t>
            </w:r>
          </w:p>
          <w:p>
            <w:pPr>
              <w:pStyle w:val="Liste1"/>
              <w:numPr>
                <w:ilvl w:val="0"/>
                <w:numId w:val="11"/>
              </w:numPr>
            </w:pPr>
            <w:r>
              <w:t xml:space="preserve">Bei Krebs </w:t>
            </w:r>
            <w:r>
              <w:t xml:space="preserve">treten </w:t>
            </w:r>
            <w:r>
              <w:t>normalerweise nicht so starke Veränderungen</w:t>
            </w:r>
            <w:r>
              <w:t xml:space="preserve"> auf</w:t>
            </w:r>
            <w:r>
              <w:t>,</w:t>
            </w:r>
            <w:r>
              <w:t xml:space="preserve"> </w:t>
            </w:r>
            <w:r>
              <w:t xml:space="preserve">daher ist 1 Jahr zum </w:t>
            </w:r>
            <w:r>
              <w:t xml:space="preserve">Heranziehen eines </w:t>
            </w:r>
            <w:r>
              <w:t>Vergleich</w:t>
            </w:r>
            <w:r>
              <w:t>s</w:t>
            </w:r>
            <w:r>
              <w:t xml:space="preserve"> plausibel</w:t>
            </w:r>
          </w:p>
          <w:p>
            <w:pPr>
              <w:pStyle w:val="Liste1"/>
              <w:numPr>
                <w:ilvl w:val="0"/>
                <w:numId w:val="11"/>
              </w:numPr>
            </w:pPr>
            <w:r>
              <w:t xml:space="preserve">Rückgang in Krebsinzidenz wird durch demographische Veränderung ausgeglichen. </w:t>
            </w:r>
          </w:p>
          <w:p>
            <w:pPr>
              <w:pStyle w:val="Liste1"/>
              <w:numPr>
                <w:ilvl w:val="0"/>
                <w:numId w:val="11"/>
              </w:numPr>
              <w:rPr>
                <w:rStyle w:val="1Zchn"/>
                <w:b w:val="0"/>
                <w:sz w:val="22"/>
              </w:rPr>
            </w:pPr>
            <w:r>
              <w:t>Vorjahrestrends werden stärker mit einbezogen.</w:t>
            </w:r>
          </w:p>
        </w:tc>
        <w:tc>
          <w:tcPr>
            <w:tcW w:w="1463" w:type="dxa"/>
          </w:tcPr>
          <w:p>
            <w:pPr>
              <w:rPr>
                <w:sz w:val="22"/>
                <w:szCs w:val="22"/>
              </w:rPr>
            </w:pPr>
            <w:r>
              <w:rPr>
                <w:sz w:val="22"/>
                <w:szCs w:val="22"/>
              </w:rPr>
              <w:lastRenderedPageBreak/>
              <w:t>Abt. 2</w:t>
            </w:r>
          </w:p>
          <w:p>
            <w:pPr>
              <w:rPr>
                <w:sz w:val="22"/>
                <w:szCs w:val="22"/>
              </w:rPr>
            </w:pPr>
            <w:r>
              <w:rPr>
                <w:sz w:val="22"/>
                <w:szCs w:val="22"/>
              </w:rPr>
              <w:t>Klaus Kraywinkel (</w:t>
            </w:r>
            <w:proofErr w:type="spellStart"/>
            <w:r>
              <w:rPr>
                <w:sz w:val="22"/>
                <w:szCs w:val="22"/>
              </w:rPr>
              <w:t>ZfKD</w:t>
            </w:r>
            <w:proofErr w:type="spellEnd"/>
            <w:r>
              <w:rPr>
                <w:sz w:val="22"/>
                <w:szCs w:val="22"/>
              </w:rPr>
              <w:t>)</w:t>
            </w:r>
          </w:p>
        </w:tc>
      </w:tr>
      <w:tr>
        <w:tc>
          <w:tcPr>
            <w:tcW w:w="684" w:type="dxa"/>
          </w:tcPr>
          <w:p>
            <w:pPr>
              <w:rPr>
                <w:b/>
              </w:rPr>
            </w:pPr>
            <w:r>
              <w:rPr>
                <w:b/>
              </w:rPr>
              <w:t>7</w:t>
            </w:r>
          </w:p>
        </w:tc>
        <w:tc>
          <w:tcPr>
            <w:tcW w:w="6824" w:type="dxa"/>
          </w:tcPr>
          <w:p>
            <w:pPr>
              <w:pStyle w:val="1"/>
            </w:pPr>
            <w:r>
              <w:t>Aktuelle Risikobewertung</w:t>
            </w:r>
          </w:p>
          <w:p>
            <w:pPr>
              <w:pStyle w:val="Liste1"/>
            </w:pPr>
            <w:r>
              <w:t xml:space="preserve">Diskussion der Änderungsvorschläge zur Risikobewertung </w:t>
            </w:r>
          </w:p>
          <w:p>
            <w:pPr>
              <w:pStyle w:val="Liste2"/>
              <w:rPr>
                <w:lang w:val="de-DE"/>
              </w:rPr>
            </w:pPr>
            <w:r>
              <w:rPr>
                <w:lang w:val="de-DE"/>
              </w:rPr>
              <w:t>Eine Änderung der Risikobewertung (Herabstufung) wird in der derzeitigen Lage nicht gesehen. Wunsch, Risikobewertung textlich fertigzustellen und zu geeignetem Zeitpunkt zu veröffentlichen (nicht mehr diese oder nächste Woche)</w:t>
            </w:r>
          </w:p>
          <w:p>
            <w:pPr>
              <w:pStyle w:val="Liste2"/>
              <w:numPr>
                <w:ilvl w:val="0"/>
                <w:numId w:val="0"/>
              </w:numPr>
              <w:ind w:left="833"/>
              <w:rPr>
                <w:lang w:val="de-DE"/>
              </w:rPr>
            </w:pPr>
          </w:p>
          <w:p>
            <w:pPr>
              <w:pStyle w:val="Liste2"/>
              <w:numPr>
                <w:ilvl w:val="0"/>
                <w:numId w:val="0"/>
              </w:numPr>
              <w:rPr>
                <w:b/>
                <w:i/>
                <w:lang w:val="de-DE"/>
              </w:rPr>
            </w:pPr>
            <w:proofErr w:type="spellStart"/>
            <w:r>
              <w:rPr>
                <w:b/>
                <w:i/>
                <w:lang w:val="de-DE"/>
              </w:rPr>
              <w:t>ToDo</w:t>
            </w:r>
            <w:proofErr w:type="spellEnd"/>
            <w:r>
              <w:rPr>
                <w:b/>
                <w:i/>
                <w:lang w:val="de-DE"/>
              </w:rPr>
              <w:t>:</w:t>
            </w:r>
          </w:p>
          <w:p>
            <w:pPr>
              <w:pStyle w:val="Liste2"/>
              <w:numPr>
                <w:ilvl w:val="0"/>
                <w:numId w:val="0"/>
              </w:numPr>
              <w:rPr>
                <w:lang w:val="de-DE"/>
              </w:rPr>
            </w:pPr>
            <w:r>
              <w:rPr>
                <w:i/>
                <w:lang w:val="de-DE"/>
              </w:rPr>
              <w:t>Kommentare zur Änderung der Risikobewertung (Vorschlag von FG36) bitte bis Freitag, 09.12. einarbeiten und zurückhalten.</w:t>
            </w:r>
          </w:p>
        </w:tc>
        <w:tc>
          <w:tcPr>
            <w:tcW w:w="1463" w:type="dxa"/>
          </w:tcPr>
          <w:p>
            <w:pPr>
              <w:rPr>
                <w:sz w:val="22"/>
                <w:szCs w:val="22"/>
              </w:rPr>
            </w:pPr>
          </w:p>
          <w:p>
            <w:pPr>
              <w:rPr>
                <w:sz w:val="22"/>
                <w:szCs w:val="22"/>
              </w:rPr>
            </w:pPr>
            <w:r>
              <w:rPr>
                <w:sz w:val="22"/>
                <w:szCs w:val="22"/>
              </w:rPr>
              <w:t>Abt. 3</w:t>
            </w:r>
          </w:p>
          <w:p>
            <w:pPr>
              <w:rPr>
                <w:sz w:val="22"/>
                <w:szCs w:val="22"/>
              </w:rPr>
            </w:pPr>
            <w:r>
              <w:rPr>
                <w:sz w:val="22"/>
                <w:szCs w:val="22"/>
              </w:rPr>
              <w:t>(Haas)</w:t>
            </w:r>
            <w:r>
              <w:rPr>
                <w:sz w:val="22"/>
                <w:szCs w:val="22"/>
              </w:rPr>
              <w:br/>
            </w:r>
          </w:p>
          <w:p>
            <w:pPr>
              <w:rPr>
                <w:sz w:val="22"/>
                <w:szCs w:val="22"/>
              </w:rPr>
            </w:pPr>
          </w:p>
        </w:tc>
      </w:tr>
      <w:tr>
        <w:tc>
          <w:tcPr>
            <w:tcW w:w="684" w:type="dxa"/>
          </w:tcPr>
          <w:p>
            <w:pPr>
              <w:rPr>
                <w:b/>
              </w:rPr>
            </w:pPr>
            <w:r>
              <w:rPr>
                <w:b/>
              </w:rPr>
              <w:t>8</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(nicht berichtet)</w:t>
            </w:r>
          </w:p>
          <w:p>
            <w:pPr>
              <w:pStyle w:val="Liste1"/>
              <w:numPr>
                <w:ilvl w:val="0"/>
                <w:numId w:val="0"/>
              </w:numPr>
            </w:pPr>
          </w:p>
        </w:tc>
        <w:tc>
          <w:tcPr>
            <w:tcW w:w="1463" w:type="dxa"/>
          </w:tcPr>
          <w:p>
            <w:pPr>
              <w:rPr>
                <w:sz w:val="22"/>
                <w:szCs w:val="22"/>
              </w:rPr>
            </w:pPr>
            <w:r>
              <w:rPr>
                <w:sz w:val="22"/>
                <w:szCs w:val="22"/>
              </w:rPr>
              <w:t>Wieler</w:t>
            </w:r>
          </w:p>
        </w:tc>
      </w:tr>
      <w:tr>
        <w:trPr>
          <w:trHeight w:val="518"/>
        </w:trPr>
        <w:tc>
          <w:tcPr>
            <w:tcW w:w="684" w:type="dxa"/>
          </w:tcPr>
          <w:p>
            <w:pPr>
              <w:rPr>
                <w:b/>
              </w:rPr>
            </w:pPr>
            <w:r>
              <w:rPr>
                <w:b/>
              </w:rPr>
              <w:t>9</w:t>
            </w:r>
          </w:p>
        </w:tc>
        <w:tc>
          <w:tcPr>
            <w:tcW w:w="6824" w:type="dxa"/>
          </w:tcPr>
          <w:p>
            <w:pPr>
              <w:pStyle w:val="1"/>
            </w:pPr>
            <w:r>
              <w:t>Kommunikation</w:t>
            </w:r>
          </w:p>
          <w:p>
            <w:pPr>
              <w:pStyle w:val="2"/>
            </w:pPr>
            <w:r>
              <w:t>BZgA</w:t>
            </w:r>
          </w:p>
          <w:p>
            <w:pPr>
              <w:pStyle w:val="Liste1"/>
            </w:pPr>
            <w:r>
              <w:t>BZgA erstellt mit BVÖGD und dem RKI einen Steckbrief zu RSV</w:t>
            </w:r>
          </w:p>
          <w:p>
            <w:pPr>
              <w:pStyle w:val="Liste1"/>
              <w:numPr>
                <w:ilvl w:val="0"/>
                <w:numId w:val="0"/>
              </w:numPr>
              <w:ind w:left="473"/>
            </w:pPr>
          </w:p>
          <w:p>
            <w:pPr>
              <w:pStyle w:val="Liste1"/>
              <w:numPr>
                <w:ilvl w:val="0"/>
                <w:numId w:val="0"/>
              </w:numPr>
              <w:ind w:left="473" w:hanging="360"/>
              <w:rPr>
                <w:b/>
              </w:rPr>
            </w:pPr>
            <w:r>
              <w:rPr>
                <w:b/>
              </w:rPr>
              <w:t>Presse</w:t>
            </w:r>
          </w:p>
          <w:p>
            <w:pPr>
              <w:pStyle w:val="Liste1"/>
            </w:pPr>
            <w:r>
              <w:t>BMG gibt erst am 16.12.22 eine Rückmeldung zur Berichterstattung zwischen den Tagen</w:t>
            </w:r>
          </w:p>
          <w:p>
            <w:pPr>
              <w:pStyle w:val="Liste1"/>
              <w:numPr>
                <w:ilvl w:val="0"/>
                <w:numId w:val="0"/>
              </w:numPr>
              <w:ind w:left="113"/>
            </w:pPr>
          </w:p>
          <w:p>
            <w:pPr>
              <w:pStyle w:val="2"/>
            </w:pPr>
            <w:r>
              <w:t>P1</w:t>
            </w:r>
          </w:p>
          <w:p>
            <w:pPr>
              <w:pStyle w:val="Liste1"/>
              <w:rPr>
                <w:i/>
              </w:rPr>
            </w:pPr>
            <w:r>
              <w:t>(nicht berichtet)</w:t>
            </w:r>
            <w:r>
              <w:br/>
            </w:r>
          </w:p>
        </w:tc>
        <w:tc>
          <w:tcPr>
            <w:tcW w:w="1463" w:type="dxa"/>
          </w:tcPr>
          <w:p>
            <w:pPr>
              <w:rPr>
                <w:sz w:val="22"/>
                <w:szCs w:val="22"/>
              </w:rPr>
            </w:pPr>
          </w:p>
          <w:p>
            <w:pPr>
              <w:rPr>
                <w:sz w:val="22"/>
                <w:szCs w:val="22"/>
              </w:rPr>
            </w:pPr>
            <w:r>
              <w:rPr>
                <w:sz w:val="22"/>
                <w:szCs w:val="22"/>
              </w:rPr>
              <w:t>BZgA</w:t>
            </w:r>
          </w:p>
          <w:p>
            <w:pPr>
              <w:rPr>
                <w:sz w:val="22"/>
                <w:szCs w:val="22"/>
              </w:rPr>
            </w:pPr>
            <w:r>
              <w:rPr>
                <w:sz w:val="22"/>
                <w:szCs w:val="22"/>
              </w:rPr>
              <w:t>(Ommen)</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(Degen)</w:t>
            </w:r>
            <w:r>
              <w:rPr>
                <w:sz w:val="22"/>
                <w:szCs w:val="22"/>
              </w:rPr>
              <w:br/>
            </w:r>
          </w:p>
          <w:p>
            <w:pPr>
              <w:rPr>
                <w:sz w:val="22"/>
                <w:szCs w:val="22"/>
              </w:rPr>
            </w:pPr>
          </w:p>
          <w:p>
            <w:pPr>
              <w:rPr>
                <w:sz w:val="22"/>
                <w:szCs w:val="22"/>
              </w:rPr>
            </w:pPr>
            <w:r>
              <w:rPr>
                <w:sz w:val="22"/>
                <w:szCs w:val="22"/>
              </w:rPr>
              <w:t>P1</w:t>
            </w:r>
          </w:p>
          <w:p>
            <w:pPr>
              <w:rPr>
                <w:sz w:val="22"/>
                <w:szCs w:val="22"/>
              </w:rPr>
            </w:pPr>
            <w:r>
              <w:rPr>
                <w:sz w:val="22"/>
                <w:szCs w:val="22"/>
              </w:rPr>
              <w:t>(Lein)</w:t>
            </w:r>
            <w:r>
              <w:rPr>
                <w:sz w:val="22"/>
                <w:szCs w:val="22"/>
              </w:rPr>
              <w:br/>
            </w:r>
          </w:p>
        </w:tc>
      </w:tr>
      <w:tr>
        <w:tc>
          <w:tcPr>
            <w:tcW w:w="684" w:type="dxa"/>
          </w:tcPr>
          <w:p>
            <w:pPr>
              <w:rPr>
                <w:b/>
              </w:rPr>
            </w:pPr>
            <w:r>
              <w:rPr>
                <w:b/>
              </w:rPr>
              <w:lastRenderedPageBreak/>
              <w:t>10</w:t>
            </w:r>
          </w:p>
        </w:tc>
        <w:tc>
          <w:tcPr>
            <w:tcW w:w="6824" w:type="dxa"/>
          </w:tcPr>
          <w:p>
            <w:pPr>
              <w:pStyle w:val="1"/>
            </w:pPr>
            <w:r>
              <w:t>RKI-Strategie Fragen</w:t>
            </w:r>
          </w:p>
          <w:p>
            <w:pPr>
              <w:pStyle w:val="2"/>
            </w:pPr>
            <w:r>
              <w:t>Allgemein</w:t>
            </w:r>
          </w:p>
          <w:p>
            <w:pPr>
              <w:pStyle w:val="Liste1"/>
            </w:pPr>
            <w:r>
              <w:t>Bericht aus der UK „Technical report on COVID-19 in UK“</w:t>
            </w:r>
          </w:p>
          <w:p>
            <w:pPr>
              <w:pStyle w:val="Liste1"/>
            </w:pPr>
            <w:r>
              <w:t>Stand RKI an Berichten/Evaluierung?</w:t>
            </w:r>
          </w:p>
          <w:p>
            <w:pPr>
              <w:pStyle w:val="Liste1"/>
            </w:pPr>
            <w:r>
              <w:t xml:space="preserve">Diskussion am 21.12.22 um Evaluierung der COVID-19 Pandemie und Berichterstattung. </w:t>
            </w:r>
          </w:p>
          <w:p>
            <w:pPr>
              <w:pStyle w:val="Liste1"/>
              <w:numPr>
                <w:ilvl w:val="0"/>
                <w:numId w:val="0"/>
              </w:numPr>
              <w:ind w:left="113"/>
            </w:pPr>
          </w:p>
          <w:p>
            <w:pPr>
              <w:pStyle w:val="Liste1"/>
              <w:numPr>
                <w:ilvl w:val="0"/>
                <w:numId w:val="0"/>
              </w:numPr>
              <w:ind w:left="113"/>
              <w:rPr>
                <w:b/>
                <w:i/>
              </w:rPr>
            </w:pPr>
            <w:r>
              <w:rPr>
                <w:b/>
                <w:i/>
              </w:rPr>
              <w:t>Diskussion:</w:t>
            </w:r>
          </w:p>
          <w:p>
            <w:pPr>
              <w:pStyle w:val="Liste1"/>
            </w:pPr>
            <w:r>
              <w:t>Laufen systematische Reviews, die nicht Long-Covid betreffen?</w:t>
            </w:r>
          </w:p>
          <w:p>
            <w:pPr>
              <w:pStyle w:val="Liste1"/>
            </w:pPr>
            <w:r>
              <w:t>Christa Scheidt-Nave nimmt es mit in AG Long-Covid</w:t>
            </w:r>
          </w:p>
          <w:p>
            <w:pPr>
              <w:pStyle w:val="Liste1"/>
              <w:numPr>
                <w:ilvl w:val="0"/>
                <w:numId w:val="0"/>
              </w:numPr>
              <w:ind w:left="473" w:hanging="360"/>
            </w:pPr>
          </w:p>
          <w:p>
            <w:pPr>
              <w:pStyle w:val="Liste1"/>
              <w:numPr>
                <w:ilvl w:val="0"/>
                <w:numId w:val="0"/>
              </w:numPr>
              <w:ind w:left="113"/>
            </w:pPr>
          </w:p>
          <w:p>
            <w:pPr>
              <w:pStyle w:val="Liste1"/>
              <w:numPr>
                <w:ilvl w:val="0"/>
                <w:numId w:val="0"/>
              </w:numPr>
              <w:ind w:left="113"/>
              <w:rPr>
                <w:b/>
                <w:i/>
              </w:rPr>
            </w:pPr>
            <w:proofErr w:type="spellStart"/>
            <w:r>
              <w:rPr>
                <w:b/>
                <w:i/>
              </w:rPr>
              <w:t>ToDo</w:t>
            </w:r>
            <w:proofErr w:type="spellEnd"/>
            <w:r>
              <w:rPr>
                <w:b/>
                <w:i/>
              </w:rPr>
              <w:t>:</w:t>
            </w:r>
          </w:p>
          <w:p>
            <w:pPr>
              <w:pStyle w:val="Liste1"/>
              <w:numPr>
                <w:ilvl w:val="0"/>
                <w:numId w:val="0"/>
              </w:numPr>
              <w:ind w:left="113"/>
              <w:rPr>
                <w:i/>
              </w:rPr>
            </w:pPr>
            <w:r>
              <w:rPr>
                <w:i/>
              </w:rPr>
              <w:t>Bericht aus der UK sichten (alle). Am 21.12.2022 findet für den Punkt 6 kein Update von Abt.2 statt, sondern eine Diskussion um Evaluierung der COVID-19 Pandemie und Berichterstattung des RKI</w:t>
            </w:r>
          </w:p>
          <w:p>
            <w:pPr>
              <w:pStyle w:val="2"/>
              <w:rPr>
                <w:i/>
              </w:rPr>
            </w:pPr>
            <w:r>
              <w:t>RKI-intern</w:t>
            </w:r>
          </w:p>
          <w:p>
            <w:pPr>
              <w:pStyle w:val="Liste1"/>
            </w:pPr>
            <w:r>
              <w:t xml:space="preserve">Thema </w:t>
            </w:r>
            <w:proofErr w:type="spellStart"/>
            <w:r>
              <w:t>Entisolierung</w:t>
            </w:r>
            <w:proofErr w:type="spellEnd"/>
            <w:r>
              <w:t xml:space="preserve"> Pflege</w:t>
            </w:r>
          </w:p>
          <w:p>
            <w:pPr>
              <w:pStyle w:val="Liste1"/>
            </w:pPr>
            <w:r>
              <w:t>Rückmeldung, dass die 14-Tage Isolation in der Pflege als überzogen wahrgenommen wird und auch nicht mehr umgesetzt wird. Große</w:t>
            </w:r>
            <w:r>
              <w:t xml:space="preserve"> Diskrepanz zwischen Allgemeinbevölkerung und Pflege</w:t>
            </w:r>
          </w:p>
          <w:p>
            <w:pPr>
              <w:pStyle w:val="Liste1"/>
            </w:pPr>
            <w:r>
              <w:t>Pragmatische Anpassung des RKI?</w:t>
            </w:r>
          </w:p>
          <w:p>
            <w:pPr>
              <w:pStyle w:val="Liste1"/>
            </w:pPr>
            <w:r>
              <w:t>BMG hat diesbezüglich eine AG zum Schutz vulnerabler Gruppen einberufen, die beim BMG angesiedelt ist. Hier könnte dieses Thema transportiert werden</w:t>
            </w:r>
          </w:p>
          <w:p>
            <w:pPr>
              <w:pStyle w:val="Liste1"/>
            </w:pPr>
            <w:r>
              <w:t>Verkürzung würde nicht auf wissenschaftlichen Daten begründet werden</w:t>
            </w:r>
          </w:p>
          <w:p>
            <w:pPr>
              <w:pStyle w:val="Liste1"/>
            </w:pPr>
            <w:r>
              <w:t>Möglichkeit der Freitestung über Antigentest und Verkürzung auf 10 Tage</w:t>
            </w:r>
          </w:p>
          <w:p>
            <w:pPr>
              <w:pStyle w:val="Liste1"/>
            </w:pPr>
            <w:r>
              <w:t>Schutzzielkonflikt</w:t>
            </w:r>
          </w:p>
          <w:p>
            <w:pPr>
              <w:pStyle w:val="Liste1"/>
              <w:numPr>
                <w:ilvl w:val="0"/>
                <w:numId w:val="0"/>
              </w:numPr>
              <w:ind w:left="473" w:hanging="360"/>
            </w:pPr>
          </w:p>
          <w:p>
            <w:pPr>
              <w:pStyle w:val="Liste1"/>
              <w:numPr>
                <w:ilvl w:val="0"/>
                <w:numId w:val="0"/>
              </w:numPr>
              <w:ind w:left="473" w:hanging="360"/>
              <w:rPr>
                <w:b/>
                <w:i/>
              </w:rPr>
            </w:pPr>
            <w:proofErr w:type="spellStart"/>
            <w:r>
              <w:rPr>
                <w:b/>
                <w:i/>
              </w:rPr>
              <w:t>ToDo</w:t>
            </w:r>
            <w:proofErr w:type="spellEnd"/>
            <w:r>
              <w:rPr>
                <w:b/>
                <w:i/>
              </w:rPr>
              <w:t>:</w:t>
            </w:r>
          </w:p>
          <w:p>
            <w:pPr>
              <w:pStyle w:val="Liste1"/>
              <w:numPr>
                <w:ilvl w:val="0"/>
                <w:numId w:val="0"/>
              </w:numPr>
              <w:ind w:left="473" w:hanging="360"/>
              <w:rPr>
                <w:i/>
              </w:rPr>
            </w:pPr>
            <w:r>
              <w:rPr>
                <w:i/>
              </w:rPr>
              <w:t>Bearbeitung des Themas durch ZBS7 (Frau Niebank) mit Abt.1, FG</w:t>
            </w:r>
            <w:proofErr w:type="gramStart"/>
            <w:r>
              <w:rPr>
                <w:i/>
              </w:rPr>
              <w:t>14,  und</w:t>
            </w:r>
            <w:proofErr w:type="gramEnd"/>
            <w:r>
              <w:rPr>
                <w:i/>
              </w:rPr>
              <w:t xml:space="preserve"> FG37: Modifizieren mit Antigentest</w:t>
            </w:r>
          </w:p>
          <w:p>
            <w:pPr>
              <w:pStyle w:val="Liste1"/>
              <w:numPr>
                <w:ilvl w:val="0"/>
                <w:numId w:val="0"/>
              </w:numPr>
              <w:ind w:left="473" w:hanging="360"/>
            </w:pP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r>
              <w:rPr>
                <w:sz w:val="22"/>
                <w:szCs w:val="22"/>
                <w:lang w:val="en-GB"/>
              </w:rPr>
              <w:t>Abt. 3</w:t>
            </w: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r>
              <w:rPr>
                <w:sz w:val="22"/>
                <w:szCs w:val="22"/>
                <w:lang w:val="en-GB"/>
              </w:rPr>
              <w:br/>
            </w:r>
          </w:p>
        </w:tc>
      </w:tr>
      <w:tr>
        <w:tc>
          <w:tcPr>
            <w:tcW w:w="684" w:type="dxa"/>
          </w:tcPr>
          <w:p>
            <w:pPr>
              <w:rPr>
                <w:b/>
              </w:rPr>
            </w:pPr>
            <w:r>
              <w:rPr>
                <w:b/>
              </w:rPr>
              <w:t>11</w:t>
            </w:r>
          </w:p>
        </w:tc>
        <w:tc>
          <w:tcPr>
            <w:tcW w:w="6824" w:type="dxa"/>
          </w:tcPr>
          <w:p>
            <w:pPr>
              <w:spacing w:line="276" w:lineRule="auto"/>
              <w:rPr>
                <w:b/>
                <w:sz w:val="28"/>
              </w:rPr>
            </w:pPr>
            <w:r>
              <w:rPr>
                <w:b/>
                <w:sz w:val="28"/>
              </w:rPr>
              <w:t>Dokumente</w:t>
            </w:r>
          </w:p>
          <w:p>
            <w:pPr>
              <w:pStyle w:val="Liste1"/>
              <w:numPr>
                <w:ilvl w:val="0"/>
                <w:numId w:val="12"/>
              </w:numPr>
            </w:pPr>
            <w:r>
              <w:t xml:space="preserve"> (nicht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12</w:t>
            </w:r>
          </w:p>
        </w:tc>
        <w:tc>
          <w:tcPr>
            <w:tcW w:w="6824"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t xml:space="preserve">## saisonale (endemische) Coronaviren </w:t>
            </w:r>
          </w:p>
          <w:p>
            <w:pPr>
              <w:pStyle w:val="Liste2"/>
            </w:pPr>
            <w:r>
              <w:t>## Metapneumovirus</w:t>
            </w:r>
          </w:p>
          <w:p>
            <w:pPr>
              <w:pStyle w:val="Liste2"/>
            </w:pPr>
            <w:r>
              <w:lastRenderedPageBreak/>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lastRenderedPageBreak/>
              <w:t>13</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14</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15</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16</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17</w:t>
            </w:r>
          </w:p>
        </w:tc>
        <w:tc>
          <w:tcPr>
            <w:tcW w:w="6824" w:type="dxa"/>
          </w:tcPr>
          <w:p>
            <w:pPr>
              <w:spacing w:line="276" w:lineRule="auto"/>
              <w:rPr>
                <w:rStyle w:val="TagFrZchn"/>
              </w:rPr>
            </w:pPr>
            <w:r>
              <w:rPr>
                <w:rStyle w:val="1Zchn"/>
              </w:rPr>
              <w:t>Information aus der Koordinierungsstelle</w:t>
            </w:r>
            <w:r>
              <w:rPr>
                <w:b/>
                <w:sz w:val="28"/>
              </w:rPr>
              <w:t xml:space="preserve"> </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FG31</w:t>
            </w:r>
            <w:r>
              <w:rPr>
                <w:sz w:val="22"/>
                <w:szCs w:val="22"/>
              </w:rPr>
              <w:br/>
            </w:r>
          </w:p>
        </w:tc>
      </w:tr>
      <w:tr>
        <w:tc>
          <w:tcPr>
            <w:tcW w:w="684" w:type="dxa"/>
          </w:tcPr>
          <w:p>
            <w:pPr>
              <w:rPr>
                <w:b/>
              </w:rPr>
            </w:pPr>
            <w:r>
              <w:rPr>
                <w:b/>
              </w:rPr>
              <w:t>18</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19</w:t>
            </w:r>
          </w:p>
        </w:tc>
        <w:tc>
          <w:tcPr>
            <w:tcW w:w="6824" w:type="dxa"/>
          </w:tcPr>
          <w:p>
            <w:pPr>
              <w:pStyle w:val="1"/>
            </w:pPr>
            <w:r>
              <w:t>Andere Themen</w:t>
            </w:r>
          </w:p>
          <w:p>
            <w:pPr>
              <w:pStyle w:val="Liste1"/>
            </w:pPr>
            <w:r>
              <w:t xml:space="preserve">Nächste Sitzung: Mittwoch, 21.12.2022 11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13:15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DDD"/>
    <w:multiLevelType w:val="hybridMultilevel"/>
    <w:tmpl w:val="73A27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8460FD"/>
    <w:multiLevelType w:val="hybridMultilevel"/>
    <w:tmpl w:val="195AF286"/>
    <w:lvl w:ilvl="0" w:tplc="7E388FCE">
      <w:start w:val="1"/>
      <w:numFmt w:val="bullet"/>
      <w:lvlText w:val=""/>
      <w:lvlJc w:val="left"/>
      <w:pPr>
        <w:tabs>
          <w:tab w:val="num" w:pos="720"/>
        </w:tabs>
        <w:ind w:left="720" w:hanging="360"/>
      </w:pPr>
      <w:rPr>
        <w:rFonts w:ascii="Wingdings" w:hAnsi="Wingdings" w:hint="default"/>
      </w:rPr>
    </w:lvl>
    <w:lvl w:ilvl="1" w:tplc="768A069A">
      <w:start w:val="1"/>
      <w:numFmt w:val="bullet"/>
      <w:lvlText w:val=""/>
      <w:lvlJc w:val="left"/>
      <w:pPr>
        <w:tabs>
          <w:tab w:val="num" w:pos="1440"/>
        </w:tabs>
        <w:ind w:left="1440" w:hanging="360"/>
      </w:pPr>
      <w:rPr>
        <w:rFonts w:ascii="Wingdings" w:hAnsi="Wingdings" w:hint="default"/>
      </w:rPr>
    </w:lvl>
    <w:lvl w:ilvl="2" w:tplc="A106E674" w:tentative="1">
      <w:start w:val="1"/>
      <w:numFmt w:val="bullet"/>
      <w:lvlText w:val=""/>
      <w:lvlJc w:val="left"/>
      <w:pPr>
        <w:tabs>
          <w:tab w:val="num" w:pos="2160"/>
        </w:tabs>
        <w:ind w:left="2160" w:hanging="360"/>
      </w:pPr>
      <w:rPr>
        <w:rFonts w:ascii="Wingdings" w:hAnsi="Wingdings" w:hint="default"/>
      </w:rPr>
    </w:lvl>
    <w:lvl w:ilvl="3" w:tplc="7EF4B8E0" w:tentative="1">
      <w:start w:val="1"/>
      <w:numFmt w:val="bullet"/>
      <w:lvlText w:val=""/>
      <w:lvlJc w:val="left"/>
      <w:pPr>
        <w:tabs>
          <w:tab w:val="num" w:pos="2880"/>
        </w:tabs>
        <w:ind w:left="2880" w:hanging="360"/>
      </w:pPr>
      <w:rPr>
        <w:rFonts w:ascii="Wingdings" w:hAnsi="Wingdings" w:hint="default"/>
      </w:rPr>
    </w:lvl>
    <w:lvl w:ilvl="4" w:tplc="0E36AE74" w:tentative="1">
      <w:start w:val="1"/>
      <w:numFmt w:val="bullet"/>
      <w:lvlText w:val=""/>
      <w:lvlJc w:val="left"/>
      <w:pPr>
        <w:tabs>
          <w:tab w:val="num" w:pos="3600"/>
        </w:tabs>
        <w:ind w:left="3600" w:hanging="360"/>
      </w:pPr>
      <w:rPr>
        <w:rFonts w:ascii="Wingdings" w:hAnsi="Wingdings" w:hint="default"/>
      </w:rPr>
    </w:lvl>
    <w:lvl w:ilvl="5" w:tplc="31E68DD2" w:tentative="1">
      <w:start w:val="1"/>
      <w:numFmt w:val="bullet"/>
      <w:lvlText w:val=""/>
      <w:lvlJc w:val="left"/>
      <w:pPr>
        <w:tabs>
          <w:tab w:val="num" w:pos="4320"/>
        </w:tabs>
        <w:ind w:left="4320" w:hanging="360"/>
      </w:pPr>
      <w:rPr>
        <w:rFonts w:ascii="Wingdings" w:hAnsi="Wingdings" w:hint="default"/>
      </w:rPr>
    </w:lvl>
    <w:lvl w:ilvl="6" w:tplc="21BA5A52" w:tentative="1">
      <w:start w:val="1"/>
      <w:numFmt w:val="bullet"/>
      <w:lvlText w:val=""/>
      <w:lvlJc w:val="left"/>
      <w:pPr>
        <w:tabs>
          <w:tab w:val="num" w:pos="5040"/>
        </w:tabs>
        <w:ind w:left="5040" w:hanging="360"/>
      </w:pPr>
      <w:rPr>
        <w:rFonts w:ascii="Wingdings" w:hAnsi="Wingdings" w:hint="default"/>
      </w:rPr>
    </w:lvl>
    <w:lvl w:ilvl="7" w:tplc="87BCACF8" w:tentative="1">
      <w:start w:val="1"/>
      <w:numFmt w:val="bullet"/>
      <w:lvlText w:val=""/>
      <w:lvlJc w:val="left"/>
      <w:pPr>
        <w:tabs>
          <w:tab w:val="num" w:pos="5760"/>
        </w:tabs>
        <w:ind w:left="5760" w:hanging="360"/>
      </w:pPr>
      <w:rPr>
        <w:rFonts w:ascii="Wingdings" w:hAnsi="Wingdings" w:hint="default"/>
      </w:rPr>
    </w:lvl>
    <w:lvl w:ilvl="8" w:tplc="1B32BE7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286679"/>
    <w:multiLevelType w:val="hybridMultilevel"/>
    <w:tmpl w:val="0922D660"/>
    <w:lvl w:ilvl="0" w:tplc="CF2200B8">
      <w:start w:val="1"/>
      <w:numFmt w:val="bullet"/>
      <w:lvlText w:val="-"/>
      <w:lvlJc w:val="left"/>
      <w:pPr>
        <w:tabs>
          <w:tab w:val="num" w:pos="720"/>
        </w:tabs>
        <w:ind w:left="720" w:hanging="360"/>
      </w:pPr>
      <w:rPr>
        <w:rFonts w:ascii="Times New Roman" w:hAnsi="Times New Roman" w:hint="default"/>
      </w:rPr>
    </w:lvl>
    <w:lvl w:ilvl="1" w:tplc="FE0CA4DE" w:tentative="1">
      <w:start w:val="1"/>
      <w:numFmt w:val="bullet"/>
      <w:lvlText w:val="-"/>
      <w:lvlJc w:val="left"/>
      <w:pPr>
        <w:tabs>
          <w:tab w:val="num" w:pos="1440"/>
        </w:tabs>
        <w:ind w:left="1440" w:hanging="360"/>
      </w:pPr>
      <w:rPr>
        <w:rFonts w:ascii="Times New Roman" w:hAnsi="Times New Roman" w:hint="default"/>
      </w:rPr>
    </w:lvl>
    <w:lvl w:ilvl="2" w:tplc="4D926AEE" w:tentative="1">
      <w:start w:val="1"/>
      <w:numFmt w:val="bullet"/>
      <w:lvlText w:val="-"/>
      <w:lvlJc w:val="left"/>
      <w:pPr>
        <w:tabs>
          <w:tab w:val="num" w:pos="2160"/>
        </w:tabs>
        <w:ind w:left="2160" w:hanging="360"/>
      </w:pPr>
      <w:rPr>
        <w:rFonts w:ascii="Times New Roman" w:hAnsi="Times New Roman" w:hint="default"/>
      </w:rPr>
    </w:lvl>
    <w:lvl w:ilvl="3" w:tplc="C984801E" w:tentative="1">
      <w:start w:val="1"/>
      <w:numFmt w:val="bullet"/>
      <w:lvlText w:val="-"/>
      <w:lvlJc w:val="left"/>
      <w:pPr>
        <w:tabs>
          <w:tab w:val="num" w:pos="2880"/>
        </w:tabs>
        <w:ind w:left="2880" w:hanging="360"/>
      </w:pPr>
      <w:rPr>
        <w:rFonts w:ascii="Times New Roman" w:hAnsi="Times New Roman" w:hint="default"/>
      </w:rPr>
    </w:lvl>
    <w:lvl w:ilvl="4" w:tplc="78C0F242" w:tentative="1">
      <w:start w:val="1"/>
      <w:numFmt w:val="bullet"/>
      <w:lvlText w:val="-"/>
      <w:lvlJc w:val="left"/>
      <w:pPr>
        <w:tabs>
          <w:tab w:val="num" w:pos="3600"/>
        </w:tabs>
        <w:ind w:left="3600" w:hanging="360"/>
      </w:pPr>
      <w:rPr>
        <w:rFonts w:ascii="Times New Roman" w:hAnsi="Times New Roman" w:hint="default"/>
      </w:rPr>
    </w:lvl>
    <w:lvl w:ilvl="5" w:tplc="833E86D8" w:tentative="1">
      <w:start w:val="1"/>
      <w:numFmt w:val="bullet"/>
      <w:lvlText w:val="-"/>
      <w:lvlJc w:val="left"/>
      <w:pPr>
        <w:tabs>
          <w:tab w:val="num" w:pos="4320"/>
        </w:tabs>
        <w:ind w:left="4320" w:hanging="360"/>
      </w:pPr>
      <w:rPr>
        <w:rFonts w:ascii="Times New Roman" w:hAnsi="Times New Roman" w:hint="default"/>
      </w:rPr>
    </w:lvl>
    <w:lvl w:ilvl="6" w:tplc="82A8F57E" w:tentative="1">
      <w:start w:val="1"/>
      <w:numFmt w:val="bullet"/>
      <w:lvlText w:val="-"/>
      <w:lvlJc w:val="left"/>
      <w:pPr>
        <w:tabs>
          <w:tab w:val="num" w:pos="5040"/>
        </w:tabs>
        <w:ind w:left="5040" w:hanging="360"/>
      </w:pPr>
      <w:rPr>
        <w:rFonts w:ascii="Times New Roman" w:hAnsi="Times New Roman" w:hint="default"/>
      </w:rPr>
    </w:lvl>
    <w:lvl w:ilvl="7" w:tplc="71E835A4" w:tentative="1">
      <w:start w:val="1"/>
      <w:numFmt w:val="bullet"/>
      <w:lvlText w:val="-"/>
      <w:lvlJc w:val="left"/>
      <w:pPr>
        <w:tabs>
          <w:tab w:val="num" w:pos="5760"/>
        </w:tabs>
        <w:ind w:left="5760" w:hanging="360"/>
      </w:pPr>
      <w:rPr>
        <w:rFonts w:ascii="Times New Roman" w:hAnsi="Times New Roman" w:hint="default"/>
      </w:rPr>
    </w:lvl>
    <w:lvl w:ilvl="8" w:tplc="449CA62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6DD630D"/>
    <w:multiLevelType w:val="hybridMultilevel"/>
    <w:tmpl w:val="60ECCC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8B3941"/>
    <w:multiLevelType w:val="hybridMultilevel"/>
    <w:tmpl w:val="732AACD8"/>
    <w:lvl w:ilvl="0" w:tplc="6F78B2D2">
      <w:start w:val="1"/>
      <w:numFmt w:val="bullet"/>
      <w:lvlText w:val=""/>
      <w:lvlJc w:val="left"/>
      <w:pPr>
        <w:tabs>
          <w:tab w:val="num" w:pos="720"/>
        </w:tabs>
        <w:ind w:left="720" w:hanging="360"/>
      </w:pPr>
      <w:rPr>
        <w:rFonts w:ascii="Wingdings" w:hAnsi="Wingdings" w:hint="default"/>
      </w:rPr>
    </w:lvl>
    <w:lvl w:ilvl="1" w:tplc="9E34D1B2" w:tentative="1">
      <w:start w:val="1"/>
      <w:numFmt w:val="bullet"/>
      <w:lvlText w:val=""/>
      <w:lvlJc w:val="left"/>
      <w:pPr>
        <w:tabs>
          <w:tab w:val="num" w:pos="1440"/>
        </w:tabs>
        <w:ind w:left="1440" w:hanging="360"/>
      </w:pPr>
      <w:rPr>
        <w:rFonts w:ascii="Wingdings" w:hAnsi="Wingdings" w:hint="default"/>
      </w:rPr>
    </w:lvl>
    <w:lvl w:ilvl="2" w:tplc="40684A04" w:tentative="1">
      <w:start w:val="1"/>
      <w:numFmt w:val="bullet"/>
      <w:lvlText w:val=""/>
      <w:lvlJc w:val="left"/>
      <w:pPr>
        <w:tabs>
          <w:tab w:val="num" w:pos="2160"/>
        </w:tabs>
        <w:ind w:left="2160" w:hanging="360"/>
      </w:pPr>
      <w:rPr>
        <w:rFonts w:ascii="Wingdings" w:hAnsi="Wingdings" w:hint="default"/>
      </w:rPr>
    </w:lvl>
    <w:lvl w:ilvl="3" w:tplc="C9B002EC" w:tentative="1">
      <w:start w:val="1"/>
      <w:numFmt w:val="bullet"/>
      <w:lvlText w:val=""/>
      <w:lvlJc w:val="left"/>
      <w:pPr>
        <w:tabs>
          <w:tab w:val="num" w:pos="2880"/>
        </w:tabs>
        <w:ind w:left="2880" w:hanging="360"/>
      </w:pPr>
      <w:rPr>
        <w:rFonts w:ascii="Wingdings" w:hAnsi="Wingdings" w:hint="default"/>
      </w:rPr>
    </w:lvl>
    <w:lvl w:ilvl="4" w:tplc="94E6D7A4" w:tentative="1">
      <w:start w:val="1"/>
      <w:numFmt w:val="bullet"/>
      <w:lvlText w:val=""/>
      <w:lvlJc w:val="left"/>
      <w:pPr>
        <w:tabs>
          <w:tab w:val="num" w:pos="3600"/>
        </w:tabs>
        <w:ind w:left="3600" w:hanging="360"/>
      </w:pPr>
      <w:rPr>
        <w:rFonts w:ascii="Wingdings" w:hAnsi="Wingdings" w:hint="default"/>
      </w:rPr>
    </w:lvl>
    <w:lvl w:ilvl="5" w:tplc="646C1A78" w:tentative="1">
      <w:start w:val="1"/>
      <w:numFmt w:val="bullet"/>
      <w:lvlText w:val=""/>
      <w:lvlJc w:val="left"/>
      <w:pPr>
        <w:tabs>
          <w:tab w:val="num" w:pos="4320"/>
        </w:tabs>
        <w:ind w:left="4320" w:hanging="360"/>
      </w:pPr>
      <w:rPr>
        <w:rFonts w:ascii="Wingdings" w:hAnsi="Wingdings" w:hint="default"/>
      </w:rPr>
    </w:lvl>
    <w:lvl w:ilvl="6" w:tplc="BB02D4AE" w:tentative="1">
      <w:start w:val="1"/>
      <w:numFmt w:val="bullet"/>
      <w:lvlText w:val=""/>
      <w:lvlJc w:val="left"/>
      <w:pPr>
        <w:tabs>
          <w:tab w:val="num" w:pos="5040"/>
        </w:tabs>
        <w:ind w:left="5040" w:hanging="360"/>
      </w:pPr>
      <w:rPr>
        <w:rFonts w:ascii="Wingdings" w:hAnsi="Wingdings" w:hint="default"/>
      </w:rPr>
    </w:lvl>
    <w:lvl w:ilvl="7" w:tplc="A5146916" w:tentative="1">
      <w:start w:val="1"/>
      <w:numFmt w:val="bullet"/>
      <w:lvlText w:val=""/>
      <w:lvlJc w:val="left"/>
      <w:pPr>
        <w:tabs>
          <w:tab w:val="num" w:pos="5760"/>
        </w:tabs>
        <w:ind w:left="5760" w:hanging="360"/>
      </w:pPr>
      <w:rPr>
        <w:rFonts w:ascii="Wingdings" w:hAnsi="Wingdings" w:hint="default"/>
      </w:rPr>
    </w:lvl>
    <w:lvl w:ilvl="8" w:tplc="FFBC819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9B7A67"/>
    <w:multiLevelType w:val="hybridMultilevel"/>
    <w:tmpl w:val="4CAA8DF6"/>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8" w15:restartNumberingAfterBreak="0">
    <w:nsid w:val="22612C90"/>
    <w:multiLevelType w:val="hybridMultilevel"/>
    <w:tmpl w:val="BDFE6DE6"/>
    <w:lvl w:ilvl="0" w:tplc="7B3E8A96">
      <w:start w:val="1"/>
      <w:numFmt w:val="bullet"/>
      <w:lvlText w:val=""/>
      <w:lvlJc w:val="left"/>
      <w:pPr>
        <w:tabs>
          <w:tab w:val="num" w:pos="720"/>
        </w:tabs>
        <w:ind w:left="720" w:hanging="360"/>
      </w:pPr>
      <w:rPr>
        <w:rFonts w:ascii="Wingdings" w:hAnsi="Wingdings" w:hint="default"/>
      </w:rPr>
    </w:lvl>
    <w:lvl w:ilvl="1" w:tplc="0D722CD4" w:tentative="1">
      <w:start w:val="1"/>
      <w:numFmt w:val="bullet"/>
      <w:lvlText w:val=""/>
      <w:lvlJc w:val="left"/>
      <w:pPr>
        <w:tabs>
          <w:tab w:val="num" w:pos="1440"/>
        </w:tabs>
        <w:ind w:left="1440" w:hanging="360"/>
      </w:pPr>
      <w:rPr>
        <w:rFonts w:ascii="Wingdings" w:hAnsi="Wingdings" w:hint="default"/>
      </w:rPr>
    </w:lvl>
    <w:lvl w:ilvl="2" w:tplc="167024DE" w:tentative="1">
      <w:start w:val="1"/>
      <w:numFmt w:val="bullet"/>
      <w:lvlText w:val=""/>
      <w:lvlJc w:val="left"/>
      <w:pPr>
        <w:tabs>
          <w:tab w:val="num" w:pos="2160"/>
        </w:tabs>
        <w:ind w:left="2160" w:hanging="360"/>
      </w:pPr>
      <w:rPr>
        <w:rFonts w:ascii="Wingdings" w:hAnsi="Wingdings" w:hint="default"/>
      </w:rPr>
    </w:lvl>
    <w:lvl w:ilvl="3" w:tplc="BA8E4ADE" w:tentative="1">
      <w:start w:val="1"/>
      <w:numFmt w:val="bullet"/>
      <w:lvlText w:val=""/>
      <w:lvlJc w:val="left"/>
      <w:pPr>
        <w:tabs>
          <w:tab w:val="num" w:pos="2880"/>
        </w:tabs>
        <w:ind w:left="2880" w:hanging="360"/>
      </w:pPr>
      <w:rPr>
        <w:rFonts w:ascii="Wingdings" w:hAnsi="Wingdings" w:hint="default"/>
      </w:rPr>
    </w:lvl>
    <w:lvl w:ilvl="4" w:tplc="96583C80" w:tentative="1">
      <w:start w:val="1"/>
      <w:numFmt w:val="bullet"/>
      <w:lvlText w:val=""/>
      <w:lvlJc w:val="left"/>
      <w:pPr>
        <w:tabs>
          <w:tab w:val="num" w:pos="3600"/>
        </w:tabs>
        <w:ind w:left="3600" w:hanging="360"/>
      </w:pPr>
      <w:rPr>
        <w:rFonts w:ascii="Wingdings" w:hAnsi="Wingdings" w:hint="default"/>
      </w:rPr>
    </w:lvl>
    <w:lvl w:ilvl="5" w:tplc="53F8E918" w:tentative="1">
      <w:start w:val="1"/>
      <w:numFmt w:val="bullet"/>
      <w:lvlText w:val=""/>
      <w:lvlJc w:val="left"/>
      <w:pPr>
        <w:tabs>
          <w:tab w:val="num" w:pos="4320"/>
        </w:tabs>
        <w:ind w:left="4320" w:hanging="360"/>
      </w:pPr>
      <w:rPr>
        <w:rFonts w:ascii="Wingdings" w:hAnsi="Wingdings" w:hint="default"/>
      </w:rPr>
    </w:lvl>
    <w:lvl w:ilvl="6" w:tplc="E36AFB66" w:tentative="1">
      <w:start w:val="1"/>
      <w:numFmt w:val="bullet"/>
      <w:lvlText w:val=""/>
      <w:lvlJc w:val="left"/>
      <w:pPr>
        <w:tabs>
          <w:tab w:val="num" w:pos="5040"/>
        </w:tabs>
        <w:ind w:left="5040" w:hanging="360"/>
      </w:pPr>
      <w:rPr>
        <w:rFonts w:ascii="Wingdings" w:hAnsi="Wingdings" w:hint="default"/>
      </w:rPr>
    </w:lvl>
    <w:lvl w:ilvl="7" w:tplc="1D140FBA" w:tentative="1">
      <w:start w:val="1"/>
      <w:numFmt w:val="bullet"/>
      <w:lvlText w:val=""/>
      <w:lvlJc w:val="left"/>
      <w:pPr>
        <w:tabs>
          <w:tab w:val="num" w:pos="5760"/>
        </w:tabs>
        <w:ind w:left="5760" w:hanging="360"/>
      </w:pPr>
      <w:rPr>
        <w:rFonts w:ascii="Wingdings" w:hAnsi="Wingdings" w:hint="default"/>
      </w:rPr>
    </w:lvl>
    <w:lvl w:ilvl="8" w:tplc="907208A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10" w15:restartNumberingAfterBreak="0">
    <w:nsid w:val="24A75F65"/>
    <w:multiLevelType w:val="hybridMultilevel"/>
    <w:tmpl w:val="780A7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8E6862"/>
    <w:multiLevelType w:val="hybridMultilevel"/>
    <w:tmpl w:val="65A4C9A6"/>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2" w15:restartNumberingAfterBreak="0">
    <w:nsid w:val="28906668"/>
    <w:multiLevelType w:val="hybridMultilevel"/>
    <w:tmpl w:val="CC96139E"/>
    <w:lvl w:ilvl="0" w:tplc="0E6ECCC2">
      <w:start w:val="1"/>
      <w:numFmt w:val="bullet"/>
      <w:lvlText w:val="-"/>
      <w:lvlJc w:val="left"/>
      <w:pPr>
        <w:tabs>
          <w:tab w:val="num" w:pos="720"/>
        </w:tabs>
        <w:ind w:left="720" w:hanging="360"/>
      </w:pPr>
      <w:rPr>
        <w:rFonts w:ascii="Times New Roman" w:hAnsi="Times New Roman" w:hint="default"/>
      </w:rPr>
    </w:lvl>
    <w:lvl w:ilvl="1" w:tplc="DF8A48F0" w:tentative="1">
      <w:start w:val="1"/>
      <w:numFmt w:val="bullet"/>
      <w:lvlText w:val="-"/>
      <w:lvlJc w:val="left"/>
      <w:pPr>
        <w:tabs>
          <w:tab w:val="num" w:pos="1440"/>
        </w:tabs>
        <w:ind w:left="1440" w:hanging="360"/>
      </w:pPr>
      <w:rPr>
        <w:rFonts w:ascii="Times New Roman" w:hAnsi="Times New Roman" w:hint="default"/>
      </w:rPr>
    </w:lvl>
    <w:lvl w:ilvl="2" w:tplc="701C7546" w:tentative="1">
      <w:start w:val="1"/>
      <w:numFmt w:val="bullet"/>
      <w:lvlText w:val="-"/>
      <w:lvlJc w:val="left"/>
      <w:pPr>
        <w:tabs>
          <w:tab w:val="num" w:pos="2160"/>
        </w:tabs>
        <w:ind w:left="2160" w:hanging="360"/>
      </w:pPr>
      <w:rPr>
        <w:rFonts w:ascii="Times New Roman" w:hAnsi="Times New Roman" w:hint="default"/>
      </w:rPr>
    </w:lvl>
    <w:lvl w:ilvl="3" w:tplc="8EF6F2C0" w:tentative="1">
      <w:start w:val="1"/>
      <w:numFmt w:val="bullet"/>
      <w:lvlText w:val="-"/>
      <w:lvlJc w:val="left"/>
      <w:pPr>
        <w:tabs>
          <w:tab w:val="num" w:pos="2880"/>
        </w:tabs>
        <w:ind w:left="2880" w:hanging="360"/>
      </w:pPr>
      <w:rPr>
        <w:rFonts w:ascii="Times New Roman" w:hAnsi="Times New Roman" w:hint="default"/>
      </w:rPr>
    </w:lvl>
    <w:lvl w:ilvl="4" w:tplc="4B00B854" w:tentative="1">
      <w:start w:val="1"/>
      <w:numFmt w:val="bullet"/>
      <w:lvlText w:val="-"/>
      <w:lvlJc w:val="left"/>
      <w:pPr>
        <w:tabs>
          <w:tab w:val="num" w:pos="3600"/>
        </w:tabs>
        <w:ind w:left="3600" w:hanging="360"/>
      </w:pPr>
      <w:rPr>
        <w:rFonts w:ascii="Times New Roman" w:hAnsi="Times New Roman" w:hint="default"/>
      </w:rPr>
    </w:lvl>
    <w:lvl w:ilvl="5" w:tplc="FC06180C" w:tentative="1">
      <w:start w:val="1"/>
      <w:numFmt w:val="bullet"/>
      <w:lvlText w:val="-"/>
      <w:lvlJc w:val="left"/>
      <w:pPr>
        <w:tabs>
          <w:tab w:val="num" w:pos="4320"/>
        </w:tabs>
        <w:ind w:left="4320" w:hanging="360"/>
      </w:pPr>
      <w:rPr>
        <w:rFonts w:ascii="Times New Roman" w:hAnsi="Times New Roman" w:hint="default"/>
      </w:rPr>
    </w:lvl>
    <w:lvl w:ilvl="6" w:tplc="D08C494E" w:tentative="1">
      <w:start w:val="1"/>
      <w:numFmt w:val="bullet"/>
      <w:lvlText w:val="-"/>
      <w:lvlJc w:val="left"/>
      <w:pPr>
        <w:tabs>
          <w:tab w:val="num" w:pos="5040"/>
        </w:tabs>
        <w:ind w:left="5040" w:hanging="360"/>
      </w:pPr>
      <w:rPr>
        <w:rFonts w:ascii="Times New Roman" w:hAnsi="Times New Roman" w:hint="default"/>
      </w:rPr>
    </w:lvl>
    <w:lvl w:ilvl="7" w:tplc="8AA8BC00" w:tentative="1">
      <w:start w:val="1"/>
      <w:numFmt w:val="bullet"/>
      <w:lvlText w:val="-"/>
      <w:lvlJc w:val="left"/>
      <w:pPr>
        <w:tabs>
          <w:tab w:val="num" w:pos="5760"/>
        </w:tabs>
        <w:ind w:left="5760" w:hanging="360"/>
      </w:pPr>
      <w:rPr>
        <w:rFonts w:ascii="Times New Roman" w:hAnsi="Times New Roman" w:hint="default"/>
      </w:rPr>
    </w:lvl>
    <w:lvl w:ilvl="8" w:tplc="E5EC2AA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F6314DC"/>
    <w:multiLevelType w:val="hybridMultilevel"/>
    <w:tmpl w:val="00563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21F181A"/>
    <w:multiLevelType w:val="hybridMultilevel"/>
    <w:tmpl w:val="9440E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A27256"/>
    <w:multiLevelType w:val="hybridMultilevel"/>
    <w:tmpl w:val="3098C7CA"/>
    <w:lvl w:ilvl="0" w:tplc="2BDE3142">
      <w:start w:val="1"/>
      <w:numFmt w:val="bullet"/>
      <w:lvlText w:val="•"/>
      <w:lvlJc w:val="left"/>
      <w:pPr>
        <w:tabs>
          <w:tab w:val="num" w:pos="720"/>
        </w:tabs>
        <w:ind w:left="720" w:hanging="360"/>
      </w:pPr>
      <w:rPr>
        <w:rFonts w:ascii="Arial" w:hAnsi="Arial" w:hint="default"/>
      </w:rPr>
    </w:lvl>
    <w:lvl w:ilvl="1" w:tplc="0AF604EC" w:tentative="1">
      <w:start w:val="1"/>
      <w:numFmt w:val="bullet"/>
      <w:lvlText w:val="•"/>
      <w:lvlJc w:val="left"/>
      <w:pPr>
        <w:tabs>
          <w:tab w:val="num" w:pos="1440"/>
        </w:tabs>
        <w:ind w:left="1440" w:hanging="360"/>
      </w:pPr>
      <w:rPr>
        <w:rFonts w:ascii="Arial" w:hAnsi="Arial" w:hint="default"/>
      </w:rPr>
    </w:lvl>
    <w:lvl w:ilvl="2" w:tplc="3DD8E5E2" w:tentative="1">
      <w:start w:val="1"/>
      <w:numFmt w:val="bullet"/>
      <w:lvlText w:val="•"/>
      <w:lvlJc w:val="left"/>
      <w:pPr>
        <w:tabs>
          <w:tab w:val="num" w:pos="2160"/>
        </w:tabs>
        <w:ind w:left="2160" w:hanging="360"/>
      </w:pPr>
      <w:rPr>
        <w:rFonts w:ascii="Arial" w:hAnsi="Arial" w:hint="default"/>
      </w:rPr>
    </w:lvl>
    <w:lvl w:ilvl="3" w:tplc="93DCE560" w:tentative="1">
      <w:start w:val="1"/>
      <w:numFmt w:val="bullet"/>
      <w:lvlText w:val="•"/>
      <w:lvlJc w:val="left"/>
      <w:pPr>
        <w:tabs>
          <w:tab w:val="num" w:pos="2880"/>
        </w:tabs>
        <w:ind w:left="2880" w:hanging="360"/>
      </w:pPr>
      <w:rPr>
        <w:rFonts w:ascii="Arial" w:hAnsi="Arial" w:hint="default"/>
      </w:rPr>
    </w:lvl>
    <w:lvl w:ilvl="4" w:tplc="1584EFBA" w:tentative="1">
      <w:start w:val="1"/>
      <w:numFmt w:val="bullet"/>
      <w:lvlText w:val="•"/>
      <w:lvlJc w:val="left"/>
      <w:pPr>
        <w:tabs>
          <w:tab w:val="num" w:pos="3600"/>
        </w:tabs>
        <w:ind w:left="3600" w:hanging="360"/>
      </w:pPr>
      <w:rPr>
        <w:rFonts w:ascii="Arial" w:hAnsi="Arial" w:hint="default"/>
      </w:rPr>
    </w:lvl>
    <w:lvl w:ilvl="5" w:tplc="70D4183A" w:tentative="1">
      <w:start w:val="1"/>
      <w:numFmt w:val="bullet"/>
      <w:lvlText w:val="•"/>
      <w:lvlJc w:val="left"/>
      <w:pPr>
        <w:tabs>
          <w:tab w:val="num" w:pos="4320"/>
        </w:tabs>
        <w:ind w:left="4320" w:hanging="360"/>
      </w:pPr>
      <w:rPr>
        <w:rFonts w:ascii="Arial" w:hAnsi="Arial" w:hint="default"/>
      </w:rPr>
    </w:lvl>
    <w:lvl w:ilvl="6" w:tplc="D0142630" w:tentative="1">
      <w:start w:val="1"/>
      <w:numFmt w:val="bullet"/>
      <w:lvlText w:val="•"/>
      <w:lvlJc w:val="left"/>
      <w:pPr>
        <w:tabs>
          <w:tab w:val="num" w:pos="5040"/>
        </w:tabs>
        <w:ind w:left="5040" w:hanging="360"/>
      </w:pPr>
      <w:rPr>
        <w:rFonts w:ascii="Arial" w:hAnsi="Arial" w:hint="default"/>
      </w:rPr>
    </w:lvl>
    <w:lvl w:ilvl="7" w:tplc="4ECAFA82" w:tentative="1">
      <w:start w:val="1"/>
      <w:numFmt w:val="bullet"/>
      <w:lvlText w:val="•"/>
      <w:lvlJc w:val="left"/>
      <w:pPr>
        <w:tabs>
          <w:tab w:val="num" w:pos="5760"/>
        </w:tabs>
        <w:ind w:left="5760" w:hanging="360"/>
      </w:pPr>
      <w:rPr>
        <w:rFonts w:ascii="Arial" w:hAnsi="Arial" w:hint="default"/>
      </w:rPr>
    </w:lvl>
    <w:lvl w:ilvl="8" w:tplc="01C4F77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6FC7021"/>
    <w:multiLevelType w:val="hybridMultilevel"/>
    <w:tmpl w:val="DC8A394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9" w15:restartNumberingAfterBreak="0">
    <w:nsid w:val="48AB08AF"/>
    <w:multiLevelType w:val="hybridMultilevel"/>
    <w:tmpl w:val="03F65CF6"/>
    <w:lvl w:ilvl="0" w:tplc="71F40AC2">
      <w:start w:val="1"/>
      <w:numFmt w:val="bullet"/>
      <w:pStyle w:val="Liste2"/>
      <w:lvlText w:val="o"/>
      <w:lvlJc w:val="left"/>
      <w:pPr>
        <w:ind w:left="833" w:hanging="360"/>
      </w:pPr>
      <w:rPr>
        <w:rFonts w:ascii="Courier New" w:hAnsi="Courier New" w:cs="Courier New" w:hint="default"/>
        <w:color w:val="auto"/>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26750F"/>
    <w:multiLevelType w:val="hybridMultilevel"/>
    <w:tmpl w:val="3E56E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8E61C9"/>
    <w:multiLevelType w:val="hybridMultilevel"/>
    <w:tmpl w:val="35F682E0"/>
    <w:lvl w:ilvl="0" w:tplc="71F40AC2">
      <w:start w:val="1"/>
      <w:numFmt w:val="bullet"/>
      <w:lvlText w:val="o"/>
      <w:lvlJc w:val="left"/>
      <w:pPr>
        <w:ind w:left="833" w:hanging="360"/>
      </w:pPr>
      <w:rPr>
        <w:rFonts w:ascii="Courier New" w:hAnsi="Courier New" w:cs="Courier New" w:hint="default"/>
        <w:color w:val="auto"/>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3" w15:restartNumberingAfterBreak="0">
    <w:nsid w:val="5CAC0447"/>
    <w:multiLevelType w:val="hybridMultilevel"/>
    <w:tmpl w:val="B3DEFE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47F3316"/>
    <w:multiLevelType w:val="hybridMultilevel"/>
    <w:tmpl w:val="105C015E"/>
    <w:lvl w:ilvl="0" w:tplc="D7CE8396">
      <w:start w:val="1"/>
      <w:numFmt w:val="bullet"/>
      <w:lvlText w:val="-"/>
      <w:lvlJc w:val="left"/>
      <w:pPr>
        <w:tabs>
          <w:tab w:val="num" w:pos="720"/>
        </w:tabs>
        <w:ind w:left="720" w:hanging="360"/>
      </w:pPr>
      <w:rPr>
        <w:rFonts w:ascii="Times New Roman" w:hAnsi="Times New Roman" w:hint="default"/>
      </w:rPr>
    </w:lvl>
    <w:lvl w:ilvl="1" w:tplc="963AA12C" w:tentative="1">
      <w:start w:val="1"/>
      <w:numFmt w:val="bullet"/>
      <w:lvlText w:val="-"/>
      <w:lvlJc w:val="left"/>
      <w:pPr>
        <w:tabs>
          <w:tab w:val="num" w:pos="1440"/>
        </w:tabs>
        <w:ind w:left="1440" w:hanging="360"/>
      </w:pPr>
      <w:rPr>
        <w:rFonts w:ascii="Times New Roman" w:hAnsi="Times New Roman" w:hint="default"/>
      </w:rPr>
    </w:lvl>
    <w:lvl w:ilvl="2" w:tplc="A106CBF4" w:tentative="1">
      <w:start w:val="1"/>
      <w:numFmt w:val="bullet"/>
      <w:lvlText w:val="-"/>
      <w:lvlJc w:val="left"/>
      <w:pPr>
        <w:tabs>
          <w:tab w:val="num" w:pos="2160"/>
        </w:tabs>
        <w:ind w:left="2160" w:hanging="360"/>
      </w:pPr>
      <w:rPr>
        <w:rFonts w:ascii="Times New Roman" w:hAnsi="Times New Roman" w:hint="default"/>
      </w:rPr>
    </w:lvl>
    <w:lvl w:ilvl="3" w:tplc="E782E7BA" w:tentative="1">
      <w:start w:val="1"/>
      <w:numFmt w:val="bullet"/>
      <w:lvlText w:val="-"/>
      <w:lvlJc w:val="left"/>
      <w:pPr>
        <w:tabs>
          <w:tab w:val="num" w:pos="2880"/>
        </w:tabs>
        <w:ind w:left="2880" w:hanging="360"/>
      </w:pPr>
      <w:rPr>
        <w:rFonts w:ascii="Times New Roman" w:hAnsi="Times New Roman" w:hint="default"/>
      </w:rPr>
    </w:lvl>
    <w:lvl w:ilvl="4" w:tplc="65445C70" w:tentative="1">
      <w:start w:val="1"/>
      <w:numFmt w:val="bullet"/>
      <w:lvlText w:val="-"/>
      <w:lvlJc w:val="left"/>
      <w:pPr>
        <w:tabs>
          <w:tab w:val="num" w:pos="3600"/>
        </w:tabs>
        <w:ind w:left="3600" w:hanging="360"/>
      </w:pPr>
      <w:rPr>
        <w:rFonts w:ascii="Times New Roman" w:hAnsi="Times New Roman" w:hint="default"/>
      </w:rPr>
    </w:lvl>
    <w:lvl w:ilvl="5" w:tplc="C346EAB0" w:tentative="1">
      <w:start w:val="1"/>
      <w:numFmt w:val="bullet"/>
      <w:lvlText w:val="-"/>
      <w:lvlJc w:val="left"/>
      <w:pPr>
        <w:tabs>
          <w:tab w:val="num" w:pos="4320"/>
        </w:tabs>
        <w:ind w:left="4320" w:hanging="360"/>
      </w:pPr>
      <w:rPr>
        <w:rFonts w:ascii="Times New Roman" w:hAnsi="Times New Roman" w:hint="default"/>
      </w:rPr>
    </w:lvl>
    <w:lvl w:ilvl="6" w:tplc="E10C3F94" w:tentative="1">
      <w:start w:val="1"/>
      <w:numFmt w:val="bullet"/>
      <w:lvlText w:val="-"/>
      <w:lvlJc w:val="left"/>
      <w:pPr>
        <w:tabs>
          <w:tab w:val="num" w:pos="5040"/>
        </w:tabs>
        <w:ind w:left="5040" w:hanging="360"/>
      </w:pPr>
      <w:rPr>
        <w:rFonts w:ascii="Times New Roman" w:hAnsi="Times New Roman" w:hint="default"/>
      </w:rPr>
    </w:lvl>
    <w:lvl w:ilvl="7" w:tplc="A15A7B02" w:tentative="1">
      <w:start w:val="1"/>
      <w:numFmt w:val="bullet"/>
      <w:lvlText w:val="-"/>
      <w:lvlJc w:val="left"/>
      <w:pPr>
        <w:tabs>
          <w:tab w:val="num" w:pos="5760"/>
        </w:tabs>
        <w:ind w:left="5760" w:hanging="360"/>
      </w:pPr>
      <w:rPr>
        <w:rFonts w:ascii="Times New Roman" w:hAnsi="Times New Roman" w:hint="default"/>
      </w:rPr>
    </w:lvl>
    <w:lvl w:ilvl="8" w:tplc="7A2EB5F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8B06AC9"/>
    <w:multiLevelType w:val="hybridMultilevel"/>
    <w:tmpl w:val="CAC8E256"/>
    <w:lvl w:ilvl="0" w:tplc="AC1A0EB4">
      <w:start w:val="1"/>
      <w:numFmt w:val="bullet"/>
      <w:lvlText w:val="-"/>
      <w:lvlJc w:val="left"/>
      <w:pPr>
        <w:tabs>
          <w:tab w:val="num" w:pos="720"/>
        </w:tabs>
        <w:ind w:left="720" w:hanging="360"/>
      </w:pPr>
      <w:rPr>
        <w:rFonts w:ascii="Times New Roman" w:hAnsi="Times New Roman" w:hint="default"/>
      </w:rPr>
    </w:lvl>
    <w:lvl w:ilvl="1" w:tplc="6036847E" w:tentative="1">
      <w:start w:val="1"/>
      <w:numFmt w:val="bullet"/>
      <w:lvlText w:val="-"/>
      <w:lvlJc w:val="left"/>
      <w:pPr>
        <w:tabs>
          <w:tab w:val="num" w:pos="1440"/>
        </w:tabs>
        <w:ind w:left="1440" w:hanging="360"/>
      </w:pPr>
      <w:rPr>
        <w:rFonts w:ascii="Times New Roman" w:hAnsi="Times New Roman" w:hint="default"/>
      </w:rPr>
    </w:lvl>
    <w:lvl w:ilvl="2" w:tplc="75E0AFE8" w:tentative="1">
      <w:start w:val="1"/>
      <w:numFmt w:val="bullet"/>
      <w:lvlText w:val="-"/>
      <w:lvlJc w:val="left"/>
      <w:pPr>
        <w:tabs>
          <w:tab w:val="num" w:pos="2160"/>
        </w:tabs>
        <w:ind w:left="2160" w:hanging="360"/>
      </w:pPr>
      <w:rPr>
        <w:rFonts w:ascii="Times New Roman" w:hAnsi="Times New Roman" w:hint="default"/>
      </w:rPr>
    </w:lvl>
    <w:lvl w:ilvl="3" w:tplc="F574FE7A" w:tentative="1">
      <w:start w:val="1"/>
      <w:numFmt w:val="bullet"/>
      <w:lvlText w:val="-"/>
      <w:lvlJc w:val="left"/>
      <w:pPr>
        <w:tabs>
          <w:tab w:val="num" w:pos="2880"/>
        </w:tabs>
        <w:ind w:left="2880" w:hanging="360"/>
      </w:pPr>
      <w:rPr>
        <w:rFonts w:ascii="Times New Roman" w:hAnsi="Times New Roman" w:hint="default"/>
      </w:rPr>
    </w:lvl>
    <w:lvl w:ilvl="4" w:tplc="35B84C78" w:tentative="1">
      <w:start w:val="1"/>
      <w:numFmt w:val="bullet"/>
      <w:lvlText w:val="-"/>
      <w:lvlJc w:val="left"/>
      <w:pPr>
        <w:tabs>
          <w:tab w:val="num" w:pos="3600"/>
        </w:tabs>
        <w:ind w:left="3600" w:hanging="360"/>
      </w:pPr>
      <w:rPr>
        <w:rFonts w:ascii="Times New Roman" w:hAnsi="Times New Roman" w:hint="default"/>
      </w:rPr>
    </w:lvl>
    <w:lvl w:ilvl="5" w:tplc="F2B6C0BC" w:tentative="1">
      <w:start w:val="1"/>
      <w:numFmt w:val="bullet"/>
      <w:lvlText w:val="-"/>
      <w:lvlJc w:val="left"/>
      <w:pPr>
        <w:tabs>
          <w:tab w:val="num" w:pos="4320"/>
        </w:tabs>
        <w:ind w:left="4320" w:hanging="360"/>
      </w:pPr>
      <w:rPr>
        <w:rFonts w:ascii="Times New Roman" w:hAnsi="Times New Roman" w:hint="default"/>
      </w:rPr>
    </w:lvl>
    <w:lvl w:ilvl="6" w:tplc="A3B86562" w:tentative="1">
      <w:start w:val="1"/>
      <w:numFmt w:val="bullet"/>
      <w:lvlText w:val="-"/>
      <w:lvlJc w:val="left"/>
      <w:pPr>
        <w:tabs>
          <w:tab w:val="num" w:pos="5040"/>
        </w:tabs>
        <w:ind w:left="5040" w:hanging="360"/>
      </w:pPr>
      <w:rPr>
        <w:rFonts w:ascii="Times New Roman" w:hAnsi="Times New Roman" w:hint="default"/>
      </w:rPr>
    </w:lvl>
    <w:lvl w:ilvl="7" w:tplc="B7B8C434" w:tentative="1">
      <w:start w:val="1"/>
      <w:numFmt w:val="bullet"/>
      <w:lvlText w:val="-"/>
      <w:lvlJc w:val="left"/>
      <w:pPr>
        <w:tabs>
          <w:tab w:val="num" w:pos="5760"/>
        </w:tabs>
        <w:ind w:left="5760" w:hanging="360"/>
      </w:pPr>
      <w:rPr>
        <w:rFonts w:ascii="Times New Roman" w:hAnsi="Times New Roman" w:hint="default"/>
      </w:rPr>
    </w:lvl>
    <w:lvl w:ilvl="8" w:tplc="7BAC0A2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1DB349B"/>
    <w:multiLevelType w:val="hybridMultilevel"/>
    <w:tmpl w:val="D92624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D1F58D5"/>
    <w:multiLevelType w:val="hybridMultilevel"/>
    <w:tmpl w:val="641853F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A57F44"/>
    <w:multiLevelType w:val="hybridMultilevel"/>
    <w:tmpl w:val="57605990"/>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6"/>
  </w:num>
  <w:num w:numId="2">
    <w:abstractNumId w:val="3"/>
  </w:num>
  <w:num w:numId="3">
    <w:abstractNumId w:val="2"/>
  </w:num>
  <w:num w:numId="4">
    <w:abstractNumId w:val="20"/>
  </w:num>
  <w:num w:numId="5">
    <w:abstractNumId w:val="13"/>
  </w:num>
  <w:num w:numId="6">
    <w:abstractNumId w:val="9"/>
  </w:num>
  <w:num w:numId="7">
    <w:abstractNumId w:val="19"/>
  </w:num>
  <w:num w:numId="8">
    <w:abstractNumId w:val="5"/>
  </w:num>
  <w:num w:numId="9">
    <w:abstractNumId w:val="11"/>
  </w:num>
  <w:num w:numId="10">
    <w:abstractNumId w:val="21"/>
  </w:num>
  <w:num w:numId="11">
    <w:abstractNumId w:val="28"/>
  </w:num>
  <w:num w:numId="12">
    <w:abstractNumId w:val="7"/>
  </w:num>
  <w:num w:numId="13">
    <w:abstractNumId w:val="22"/>
  </w:num>
  <w:num w:numId="14">
    <w:abstractNumId w:val="27"/>
  </w:num>
  <w:num w:numId="15">
    <w:abstractNumId w:val="24"/>
  </w:num>
  <w:num w:numId="16">
    <w:abstractNumId w:val="4"/>
  </w:num>
  <w:num w:numId="17">
    <w:abstractNumId w:val="25"/>
  </w:num>
  <w:num w:numId="18">
    <w:abstractNumId w:val="12"/>
  </w:num>
  <w:num w:numId="19">
    <w:abstractNumId w:val="17"/>
  </w:num>
  <w:num w:numId="20">
    <w:abstractNumId w:val="8"/>
  </w:num>
  <w:num w:numId="21">
    <w:abstractNumId w:val="6"/>
  </w:num>
  <w:num w:numId="22">
    <w:abstractNumId w:val="14"/>
  </w:num>
  <w:num w:numId="23">
    <w:abstractNumId w:val="0"/>
  </w:num>
  <w:num w:numId="24">
    <w:abstractNumId w:val="1"/>
  </w:num>
  <w:num w:numId="25">
    <w:abstractNumId w:val="18"/>
  </w:num>
  <w:num w:numId="26">
    <w:abstractNumId w:val="15"/>
  </w:num>
  <w:num w:numId="27">
    <w:abstractNumId w:val="26"/>
  </w:num>
  <w:num w:numId="28">
    <w:abstractNumId w:val="10"/>
  </w:num>
  <w:num w:numId="29">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716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14140358">
      <w:bodyDiv w:val="1"/>
      <w:marLeft w:val="0"/>
      <w:marRight w:val="0"/>
      <w:marTop w:val="0"/>
      <w:marBottom w:val="0"/>
      <w:divBdr>
        <w:top w:val="none" w:sz="0" w:space="0" w:color="auto"/>
        <w:left w:val="none" w:sz="0" w:space="0" w:color="auto"/>
        <w:bottom w:val="none" w:sz="0" w:space="0" w:color="auto"/>
        <w:right w:val="none" w:sz="0" w:space="0" w:color="auto"/>
      </w:divBdr>
      <w:divsChild>
        <w:div w:id="1415397152">
          <w:marLeft w:val="274"/>
          <w:marRight w:val="0"/>
          <w:marTop w:val="0"/>
          <w:marBottom w:val="0"/>
          <w:divBdr>
            <w:top w:val="none" w:sz="0" w:space="0" w:color="auto"/>
            <w:left w:val="none" w:sz="0" w:space="0" w:color="auto"/>
            <w:bottom w:val="none" w:sz="0" w:space="0" w:color="auto"/>
            <w:right w:val="none" w:sz="0" w:space="0" w:color="auto"/>
          </w:divBdr>
        </w:div>
        <w:div w:id="1409571527">
          <w:marLeft w:val="274"/>
          <w:marRight w:val="0"/>
          <w:marTop w:val="0"/>
          <w:marBottom w:val="0"/>
          <w:divBdr>
            <w:top w:val="none" w:sz="0" w:space="0" w:color="auto"/>
            <w:left w:val="none" w:sz="0" w:space="0" w:color="auto"/>
            <w:bottom w:val="none" w:sz="0" w:space="0" w:color="auto"/>
            <w:right w:val="none" w:sz="0" w:space="0" w:color="auto"/>
          </w:divBdr>
        </w:div>
        <w:div w:id="838738967">
          <w:marLeft w:val="274"/>
          <w:marRight w:val="0"/>
          <w:marTop w:val="0"/>
          <w:marBottom w:val="0"/>
          <w:divBdr>
            <w:top w:val="none" w:sz="0" w:space="0" w:color="auto"/>
            <w:left w:val="none" w:sz="0" w:space="0" w:color="auto"/>
            <w:bottom w:val="none" w:sz="0" w:space="0" w:color="auto"/>
            <w:right w:val="none" w:sz="0" w:space="0" w:color="auto"/>
          </w:divBdr>
        </w:div>
      </w:divsChild>
    </w:div>
    <w:div w:id="395982070">
      <w:bodyDiv w:val="1"/>
      <w:marLeft w:val="0"/>
      <w:marRight w:val="0"/>
      <w:marTop w:val="0"/>
      <w:marBottom w:val="0"/>
      <w:divBdr>
        <w:top w:val="none" w:sz="0" w:space="0" w:color="auto"/>
        <w:left w:val="none" w:sz="0" w:space="0" w:color="auto"/>
        <w:bottom w:val="none" w:sz="0" w:space="0" w:color="auto"/>
        <w:right w:val="none" w:sz="0" w:space="0" w:color="auto"/>
      </w:divBdr>
      <w:divsChild>
        <w:div w:id="576671803">
          <w:marLeft w:val="547"/>
          <w:marRight w:val="0"/>
          <w:marTop w:val="86"/>
          <w:marBottom w:val="0"/>
          <w:divBdr>
            <w:top w:val="none" w:sz="0" w:space="0" w:color="auto"/>
            <w:left w:val="none" w:sz="0" w:space="0" w:color="auto"/>
            <w:bottom w:val="none" w:sz="0" w:space="0" w:color="auto"/>
            <w:right w:val="none" w:sz="0" w:space="0" w:color="auto"/>
          </w:divBdr>
        </w:div>
        <w:div w:id="126318588">
          <w:marLeft w:val="547"/>
          <w:marRight w:val="0"/>
          <w:marTop w:val="86"/>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563763500">
      <w:bodyDiv w:val="1"/>
      <w:marLeft w:val="0"/>
      <w:marRight w:val="0"/>
      <w:marTop w:val="0"/>
      <w:marBottom w:val="0"/>
      <w:divBdr>
        <w:top w:val="none" w:sz="0" w:space="0" w:color="auto"/>
        <w:left w:val="none" w:sz="0" w:space="0" w:color="auto"/>
        <w:bottom w:val="none" w:sz="0" w:space="0" w:color="auto"/>
        <w:right w:val="none" w:sz="0" w:space="0" w:color="auto"/>
      </w:divBdr>
      <w:divsChild>
        <w:div w:id="1173031776">
          <w:marLeft w:val="547"/>
          <w:marRight w:val="0"/>
          <w:marTop w:val="86"/>
          <w:marBottom w:val="0"/>
          <w:divBdr>
            <w:top w:val="none" w:sz="0" w:space="0" w:color="auto"/>
            <w:left w:val="none" w:sz="0" w:space="0" w:color="auto"/>
            <w:bottom w:val="none" w:sz="0" w:space="0" w:color="auto"/>
            <w:right w:val="none" w:sz="0" w:space="0" w:color="auto"/>
          </w:divBdr>
        </w:div>
        <w:div w:id="1749618551">
          <w:marLeft w:val="1166"/>
          <w:marRight w:val="0"/>
          <w:marTop w:val="86"/>
          <w:marBottom w:val="0"/>
          <w:divBdr>
            <w:top w:val="none" w:sz="0" w:space="0" w:color="auto"/>
            <w:left w:val="none" w:sz="0" w:space="0" w:color="auto"/>
            <w:bottom w:val="none" w:sz="0" w:space="0" w:color="auto"/>
            <w:right w:val="none" w:sz="0" w:space="0" w:color="auto"/>
          </w:divBdr>
        </w:div>
        <w:div w:id="1152402484">
          <w:marLeft w:val="1166"/>
          <w:marRight w:val="0"/>
          <w:marTop w:val="86"/>
          <w:marBottom w:val="0"/>
          <w:divBdr>
            <w:top w:val="none" w:sz="0" w:space="0" w:color="auto"/>
            <w:left w:val="none" w:sz="0" w:space="0" w:color="auto"/>
            <w:bottom w:val="none" w:sz="0" w:space="0" w:color="auto"/>
            <w:right w:val="none" w:sz="0" w:space="0" w:color="auto"/>
          </w:divBdr>
        </w:div>
        <w:div w:id="775443673">
          <w:marLeft w:val="547"/>
          <w:marRight w:val="0"/>
          <w:marTop w:val="86"/>
          <w:marBottom w:val="0"/>
          <w:divBdr>
            <w:top w:val="none" w:sz="0" w:space="0" w:color="auto"/>
            <w:left w:val="none" w:sz="0" w:space="0" w:color="auto"/>
            <w:bottom w:val="none" w:sz="0" w:space="0" w:color="auto"/>
            <w:right w:val="none" w:sz="0" w:space="0" w:color="auto"/>
          </w:divBdr>
        </w:div>
        <w:div w:id="718548726">
          <w:marLeft w:val="1166"/>
          <w:marRight w:val="0"/>
          <w:marTop w:val="86"/>
          <w:marBottom w:val="0"/>
          <w:divBdr>
            <w:top w:val="none" w:sz="0" w:space="0" w:color="auto"/>
            <w:left w:val="none" w:sz="0" w:space="0" w:color="auto"/>
            <w:bottom w:val="none" w:sz="0" w:space="0" w:color="auto"/>
            <w:right w:val="none" w:sz="0" w:space="0" w:color="auto"/>
          </w:divBdr>
        </w:div>
        <w:div w:id="513686135">
          <w:marLeft w:val="547"/>
          <w:marRight w:val="0"/>
          <w:marTop w:val="86"/>
          <w:marBottom w:val="0"/>
          <w:divBdr>
            <w:top w:val="none" w:sz="0" w:space="0" w:color="auto"/>
            <w:left w:val="none" w:sz="0" w:space="0" w:color="auto"/>
            <w:bottom w:val="none" w:sz="0" w:space="0" w:color="auto"/>
            <w:right w:val="none" w:sz="0" w:space="0" w:color="auto"/>
          </w:divBdr>
        </w:div>
        <w:div w:id="2088073948">
          <w:marLeft w:val="1166"/>
          <w:marRight w:val="0"/>
          <w:marTop w:val="86"/>
          <w:marBottom w:val="0"/>
          <w:divBdr>
            <w:top w:val="none" w:sz="0" w:space="0" w:color="auto"/>
            <w:left w:val="none" w:sz="0" w:space="0" w:color="auto"/>
            <w:bottom w:val="none" w:sz="0" w:space="0" w:color="auto"/>
            <w:right w:val="none" w:sz="0" w:space="0" w:color="auto"/>
          </w:divBdr>
        </w:div>
        <w:div w:id="2053580232">
          <w:marLeft w:val="1166"/>
          <w:marRight w:val="0"/>
          <w:marTop w:val="86"/>
          <w:marBottom w:val="0"/>
          <w:divBdr>
            <w:top w:val="none" w:sz="0" w:space="0" w:color="auto"/>
            <w:left w:val="none" w:sz="0" w:space="0" w:color="auto"/>
            <w:bottom w:val="none" w:sz="0" w:space="0" w:color="auto"/>
            <w:right w:val="none" w:sz="0" w:space="0" w:color="auto"/>
          </w:divBdr>
        </w:div>
        <w:div w:id="81873817">
          <w:marLeft w:val="1166"/>
          <w:marRight w:val="0"/>
          <w:marTop w:val="86"/>
          <w:marBottom w:val="0"/>
          <w:divBdr>
            <w:top w:val="none" w:sz="0" w:space="0" w:color="auto"/>
            <w:left w:val="none" w:sz="0" w:space="0" w:color="auto"/>
            <w:bottom w:val="none" w:sz="0" w:space="0" w:color="auto"/>
            <w:right w:val="none" w:sz="0" w:space="0" w:color="auto"/>
          </w:divBdr>
        </w:div>
        <w:div w:id="1171335402">
          <w:marLeft w:val="1166"/>
          <w:marRight w:val="0"/>
          <w:marTop w:val="86"/>
          <w:marBottom w:val="0"/>
          <w:divBdr>
            <w:top w:val="none" w:sz="0" w:space="0" w:color="auto"/>
            <w:left w:val="none" w:sz="0" w:space="0" w:color="auto"/>
            <w:bottom w:val="none" w:sz="0" w:space="0" w:color="auto"/>
            <w:right w:val="none" w:sz="0" w:space="0" w:color="auto"/>
          </w:divBdr>
        </w:div>
      </w:divsChild>
    </w:div>
    <w:div w:id="580600665">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30398649">
      <w:bodyDiv w:val="1"/>
      <w:marLeft w:val="0"/>
      <w:marRight w:val="0"/>
      <w:marTop w:val="0"/>
      <w:marBottom w:val="0"/>
      <w:divBdr>
        <w:top w:val="none" w:sz="0" w:space="0" w:color="auto"/>
        <w:left w:val="none" w:sz="0" w:space="0" w:color="auto"/>
        <w:bottom w:val="none" w:sz="0" w:space="0" w:color="auto"/>
        <w:right w:val="none" w:sz="0" w:space="0" w:color="auto"/>
      </w:divBdr>
      <w:divsChild>
        <w:div w:id="1381636168">
          <w:marLeft w:val="274"/>
          <w:marRight w:val="0"/>
          <w:marTop w:val="0"/>
          <w:marBottom w:val="0"/>
          <w:divBdr>
            <w:top w:val="none" w:sz="0" w:space="0" w:color="auto"/>
            <w:left w:val="none" w:sz="0" w:space="0" w:color="auto"/>
            <w:bottom w:val="none" w:sz="0" w:space="0" w:color="auto"/>
            <w:right w:val="none" w:sz="0" w:space="0" w:color="auto"/>
          </w:divBdr>
        </w:div>
        <w:div w:id="435372343">
          <w:marLeft w:val="274"/>
          <w:marRight w:val="0"/>
          <w:marTop w:val="0"/>
          <w:marBottom w:val="0"/>
          <w:divBdr>
            <w:top w:val="none" w:sz="0" w:space="0" w:color="auto"/>
            <w:left w:val="none" w:sz="0" w:space="0" w:color="auto"/>
            <w:bottom w:val="none" w:sz="0" w:space="0" w:color="auto"/>
            <w:right w:val="none" w:sz="0" w:space="0" w:color="auto"/>
          </w:divBdr>
        </w:div>
        <w:div w:id="53742291">
          <w:marLeft w:val="274"/>
          <w:marRight w:val="0"/>
          <w:marTop w:val="0"/>
          <w:marBottom w:val="0"/>
          <w:divBdr>
            <w:top w:val="none" w:sz="0" w:space="0" w:color="auto"/>
            <w:left w:val="none" w:sz="0" w:space="0" w:color="auto"/>
            <w:bottom w:val="none" w:sz="0" w:space="0" w:color="auto"/>
            <w:right w:val="none" w:sz="0" w:space="0" w:color="auto"/>
          </w:divBdr>
        </w:div>
        <w:div w:id="1333876396">
          <w:marLeft w:val="274"/>
          <w:marRight w:val="0"/>
          <w:marTop w:val="0"/>
          <w:marBottom w:val="0"/>
          <w:divBdr>
            <w:top w:val="none" w:sz="0" w:space="0" w:color="auto"/>
            <w:left w:val="none" w:sz="0" w:space="0" w:color="auto"/>
            <w:bottom w:val="none" w:sz="0" w:space="0" w:color="auto"/>
            <w:right w:val="none" w:sz="0" w:space="0" w:color="auto"/>
          </w:divBdr>
        </w:div>
      </w:divsChild>
    </w:div>
    <w:div w:id="647831636">
      <w:bodyDiv w:val="1"/>
      <w:marLeft w:val="0"/>
      <w:marRight w:val="0"/>
      <w:marTop w:val="0"/>
      <w:marBottom w:val="0"/>
      <w:divBdr>
        <w:top w:val="none" w:sz="0" w:space="0" w:color="auto"/>
        <w:left w:val="none" w:sz="0" w:space="0" w:color="auto"/>
        <w:bottom w:val="none" w:sz="0" w:space="0" w:color="auto"/>
        <w:right w:val="none" w:sz="0" w:space="0" w:color="auto"/>
      </w:divBdr>
      <w:divsChild>
        <w:div w:id="1032267799">
          <w:marLeft w:val="547"/>
          <w:marRight w:val="0"/>
          <w:marTop w:val="86"/>
          <w:marBottom w:val="0"/>
          <w:divBdr>
            <w:top w:val="none" w:sz="0" w:space="0" w:color="auto"/>
            <w:left w:val="none" w:sz="0" w:space="0" w:color="auto"/>
            <w:bottom w:val="none" w:sz="0" w:space="0" w:color="auto"/>
            <w:right w:val="none" w:sz="0" w:space="0" w:color="auto"/>
          </w:divBdr>
        </w:div>
        <w:div w:id="303003002">
          <w:marLeft w:val="547"/>
          <w:marRight w:val="0"/>
          <w:marTop w:val="86"/>
          <w:marBottom w:val="0"/>
          <w:divBdr>
            <w:top w:val="none" w:sz="0" w:space="0" w:color="auto"/>
            <w:left w:val="none" w:sz="0" w:space="0" w:color="auto"/>
            <w:bottom w:val="none" w:sz="0" w:space="0" w:color="auto"/>
            <w:right w:val="none" w:sz="0" w:space="0" w:color="auto"/>
          </w:divBdr>
        </w:div>
        <w:div w:id="2103522823">
          <w:marLeft w:val="547"/>
          <w:marRight w:val="0"/>
          <w:marTop w:val="86"/>
          <w:marBottom w:val="0"/>
          <w:divBdr>
            <w:top w:val="none" w:sz="0" w:space="0" w:color="auto"/>
            <w:left w:val="none" w:sz="0" w:space="0" w:color="auto"/>
            <w:bottom w:val="none" w:sz="0" w:space="0" w:color="auto"/>
            <w:right w:val="none" w:sz="0" w:space="0" w:color="auto"/>
          </w:divBdr>
        </w:div>
        <w:div w:id="1381826641">
          <w:marLeft w:val="1166"/>
          <w:marRight w:val="0"/>
          <w:marTop w:val="86"/>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79849883">
      <w:bodyDiv w:val="1"/>
      <w:marLeft w:val="0"/>
      <w:marRight w:val="0"/>
      <w:marTop w:val="0"/>
      <w:marBottom w:val="0"/>
      <w:divBdr>
        <w:top w:val="none" w:sz="0" w:space="0" w:color="auto"/>
        <w:left w:val="none" w:sz="0" w:space="0" w:color="auto"/>
        <w:bottom w:val="none" w:sz="0" w:space="0" w:color="auto"/>
        <w:right w:val="none" w:sz="0" w:space="0" w:color="auto"/>
      </w:divBdr>
      <w:divsChild>
        <w:div w:id="775949428">
          <w:marLeft w:val="1166"/>
          <w:marRight w:val="0"/>
          <w:marTop w:val="86"/>
          <w:marBottom w:val="0"/>
          <w:divBdr>
            <w:top w:val="none" w:sz="0" w:space="0" w:color="auto"/>
            <w:left w:val="none" w:sz="0" w:space="0" w:color="auto"/>
            <w:bottom w:val="none" w:sz="0" w:space="0" w:color="auto"/>
            <w:right w:val="none" w:sz="0" w:space="0" w:color="auto"/>
          </w:divBdr>
        </w:div>
      </w:divsChild>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146163609">
      <w:bodyDiv w:val="1"/>
      <w:marLeft w:val="0"/>
      <w:marRight w:val="0"/>
      <w:marTop w:val="0"/>
      <w:marBottom w:val="0"/>
      <w:divBdr>
        <w:top w:val="none" w:sz="0" w:space="0" w:color="auto"/>
        <w:left w:val="none" w:sz="0" w:space="0" w:color="auto"/>
        <w:bottom w:val="none" w:sz="0" w:space="0" w:color="auto"/>
        <w:right w:val="none" w:sz="0" w:space="0" w:color="auto"/>
      </w:divBdr>
      <w:divsChild>
        <w:div w:id="744686336">
          <w:marLeft w:val="1166"/>
          <w:marRight w:val="0"/>
          <w:marTop w:val="86"/>
          <w:marBottom w:val="0"/>
          <w:divBdr>
            <w:top w:val="none" w:sz="0" w:space="0" w:color="auto"/>
            <w:left w:val="none" w:sz="0" w:space="0" w:color="auto"/>
            <w:bottom w:val="none" w:sz="0" w:space="0" w:color="auto"/>
            <w:right w:val="none" w:sz="0" w:space="0" w:color="auto"/>
          </w:divBdr>
        </w:div>
        <w:div w:id="308023424">
          <w:marLeft w:val="1166"/>
          <w:marRight w:val="0"/>
          <w:marTop w:val="86"/>
          <w:marBottom w:val="0"/>
          <w:divBdr>
            <w:top w:val="none" w:sz="0" w:space="0" w:color="auto"/>
            <w:left w:val="none" w:sz="0" w:space="0" w:color="auto"/>
            <w:bottom w:val="none" w:sz="0" w:space="0" w:color="auto"/>
            <w:right w:val="none" w:sz="0" w:space="0" w:color="auto"/>
          </w:divBdr>
        </w:div>
        <w:div w:id="79185933">
          <w:marLeft w:val="1166"/>
          <w:marRight w:val="0"/>
          <w:marTop w:val="86"/>
          <w:marBottom w:val="0"/>
          <w:divBdr>
            <w:top w:val="none" w:sz="0" w:space="0" w:color="auto"/>
            <w:left w:val="none" w:sz="0" w:space="0" w:color="auto"/>
            <w:bottom w:val="none" w:sz="0" w:space="0" w:color="auto"/>
            <w:right w:val="none" w:sz="0" w:space="0" w:color="auto"/>
          </w:divBdr>
        </w:div>
      </w:divsChild>
    </w:div>
    <w:div w:id="1342777201">
      <w:bodyDiv w:val="1"/>
      <w:marLeft w:val="0"/>
      <w:marRight w:val="0"/>
      <w:marTop w:val="0"/>
      <w:marBottom w:val="0"/>
      <w:divBdr>
        <w:top w:val="none" w:sz="0" w:space="0" w:color="auto"/>
        <w:left w:val="none" w:sz="0" w:space="0" w:color="auto"/>
        <w:bottom w:val="none" w:sz="0" w:space="0" w:color="auto"/>
        <w:right w:val="none" w:sz="0" w:space="0" w:color="auto"/>
      </w:divBdr>
    </w:div>
    <w:div w:id="1376657530">
      <w:bodyDiv w:val="1"/>
      <w:marLeft w:val="0"/>
      <w:marRight w:val="0"/>
      <w:marTop w:val="0"/>
      <w:marBottom w:val="0"/>
      <w:divBdr>
        <w:top w:val="none" w:sz="0" w:space="0" w:color="auto"/>
        <w:left w:val="none" w:sz="0" w:space="0" w:color="auto"/>
        <w:bottom w:val="none" w:sz="0" w:space="0" w:color="auto"/>
        <w:right w:val="none" w:sz="0" w:space="0" w:color="auto"/>
      </w:divBdr>
    </w:div>
    <w:div w:id="1488743866">
      <w:bodyDiv w:val="1"/>
      <w:marLeft w:val="0"/>
      <w:marRight w:val="0"/>
      <w:marTop w:val="0"/>
      <w:marBottom w:val="0"/>
      <w:divBdr>
        <w:top w:val="none" w:sz="0" w:space="0" w:color="auto"/>
        <w:left w:val="none" w:sz="0" w:space="0" w:color="auto"/>
        <w:bottom w:val="none" w:sz="0" w:space="0" w:color="auto"/>
        <w:right w:val="none" w:sz="0" w:space="0" w:color="auto"/>
      </w:divBdr>
    </w:div>
    <w:div w:id="1536890683">
      <w:bodyDiv w:val="1"/>
      <w:marLeft w:val="0"/>
      <w:marRight w:val="0"/>
      <w:marTop w:val="0"/>
      <w:marBottom w:val="0"/>
      <w:divBdr>
        <w:top w:val="none" w:sz="0" w:space="0" w:color="auto"/>
        <w:left w:val="none" w:sz="0" w:space="0" w:color="auto"/>
        <w:bottom w:val="none" w:sz="0" w:space="0" w:color="auto"/>
        <w:right w:val="none" w:sz="0" w:space="0" w:color="auto"/>
      </w:divBdr>
      <w:divsChild>
        <w:div w:id="1220555768">
          <w:marLeft w:val="274"/>
          <w:marRight w:val="0"/>
          <w:marTop w:val="0"/>
          <w:marBottom w:val="0"/>
          <w:divBdr>
            <w:top w:val="none" w:sz="0" w:space="0" w:color="auto"/>
            <w:left w:val="none" w:sz="0" w:space="0" w:color="auto"/>
            <w:bottom w:val="none" w:sz="0" w:space="0" w:color="auto"/>
            <w:right w:val="none" w:sz="0" w:space="0" w:color="auto"/>
          </w:divBdr>
        </w:div>
        <w:div w:id="959527603">
          <w:marLeft w:val="274"/>
          <w:marRight w:val="0"/>
          <w:marTop w:val="0"/>
          <w:marBottom w:val="0"/>
          <w:divBdr>
            <w:top w:val="none" w:sz="0" w:space="0" w:color="auto"/>
            <w:left w:val="none" w:sz="0" w:space="0" w:color="auto"/>
            <w:bottom w:val="none" w:sz="0" w:space="0" w:color="auto"/>
            <w:right w:val="none" w:sz="0" w:space="0" w:color="auto"/>
          </w:divBdr>
        </w:div>
        <w:div w:id="2096706542">
          <w:marLeft w:val="274"/>
          <w:marRight w:val="0"/>
          <w:marTop w:val="0"/>
          <w:marBottom w:val="0"/>
          <w:divBdr>
            <w:top w:val="none" w:sz="0" w:space="0" w:color="auto"/>
            <w:left w:val="none" w:sz="0" w:space="0" w:color="auto"/>
            <w:bottom w:val="none" w:sz="0" w:space="0" w:color="auto"/>
            <w:right w:val="none" w:sz="0" w:space="0" w:color="auto"/>
          </w:divBdr>
        </w:div>
        <w:div w:id="920456375">
          <w:marLeft w:val="274"/>
          <w:marRight w:val="0"/>
          <w:marTop w:val="0"/>
          <w:marBottom w:val="0"/>
          <w:divBdr>
            <w:top w:val="none" w:sz="0" w:space="0" w:color="auto"/>
            <w:left w:val="none" w:sz="0" w:space="0" w:color="auto"/>
            <w:bottom w:val="none" w:sz="0" w:space="0" w:color="auto"/>
            <w:right w:val="none" w:sz="0" w:space="0" w:color="auto"/>
          </w:divBdr>
        </w:div>
        <w:div w:id="1462187831">
          <w:marLeft w:val="274"/>
          <w:marRight w:val="0"/>
          <w:marTop w:val="0"/>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48474258">
      <w:bodyDiv w:val="1"/>
      <w:marLeft w:val="0"/>
      <w:marRight w:val="0"/>
      <w:marTop w:val="0"/>
      <w:marBottom w:val="0"/>
      <w:divBdr>
        <w:top w:val="none" w:sz="0" w:space="0" w:color="auto"/>
        <w:left w:val="none" w:sz="0" w:space="0" w:color="auto"/>
        <w:bottom w:val="none" w:sz="0" w:space="0" w:color="auto"/>
        <w:right w:val="none" w:sz="0" w:space="0" w:color="auto"/>
      </w:divBdr>
      <w:divsChild>
        <w:div w:id="2061588767">
          <w:marLeft w:val="274"/>
          <w:marRight w:val="0"/>
          <w:marTop w:val="0"/>
          <w:marBottom w:val="0"/>
          <w:divBdr>
            <w:top w:val="none" w:sz="0" w:space="0" w:color="auto"/>
            <w:left w:val="none" w:sz="0" w:space="0" w:color="auto"/>
            <w:bottom w:val="none" w:sz="0" w:space="0" w:color="auto"/>
            <w:right w:val="none" w:sz="0" w:space="0" w:color="auto"/>
          </w:divBdr>
        </w:div>
        <w:div w:id="771360371">
          <w:marLeft w:val="274"/>
          <w:marRight w:val="0"/>
          <w:marTop w:val="0"/>
          <w:marBottom w:val="0"/>
          <w:divBdr>
            <w:top w:val="none" w:sz="0" w:space="0" w:color="auto"/>
            <w:left w:val="none" w:sz="0" w:space="0" w:color="auto"/>
            <w:bottom w:val="none" w:sz="0" w:space="0" w:color="auto"/>
            <w:right w:val="none" w:sz="0" w:space="0" w:color="auto"/>
          </w:divBdr>
        </w:div>
        <w:div w:id="40905205">
          <w:marLeft w:val="274"/>
          <w:marRight w:val="0"/>
          <w:marTop w:val="0"/>
          <w:marBottom w:val="0"/>
          <w:divBdr>
            <w:top w:val="none" w:sz="0" w:space="0" w:color="auto"/>
            <w:left w:val="none" w:sz="0" w:space="0" w:color="auto"/>
            <w:bottom w:val="none" w:sz="0" w:space="0" w:color="auto"/>
            <w:right w:val="none" w:sz="0" w:space="0" w:color="auto"/>
          </w:divBdr>
        </w:div>
        <w:div w:id="1404642076">
          <w:marLeft w:val="274"/>
          <w:marRight w:val="0"/>
          <w:marTop w:val="0"/>
          <w:marBottom w:val="0"/>
          <w:divBdr>
            <w:top w:val="none" w:sz="0" w:space="0" w:color="auto"/>
            <w:left w:val="none" w:sz="0" w:space="0" w:color="auto"/>
            <w:bottom w:val="none" w:sz="0" w:space="0" w:color="auto"/>
            <w:right w:val="none" w:sz="0" w:space="0" w:color="auto"/>
          </w:divBdr>
        </w:div>
      </w:divsChild>
    </w:div>
    <w:div w:id="1897859935">
      <w:bodyDiv w:val="1"/>
      <w:marLeft w:val="0"/>
      <w:marRight w:val="0"/>
      <w:marTop w:val="0"/>
      <w:marBottom w:val="0"/>
      <w:divBdr>
        <w:top w:val="none" w:sz="0" w:space="0" w:color="auto"/>
        <w:left w:val="none" w:sz="0" w:space="0" w:color="auto"/>
        <w:bottom w:val="none" w:sz="0" w:space="0" w:color="auto"/>
        <w:right w:val="none" w:sz="0" w:space="0" w:color="auto"/>
      </w:divBdr>
      <w:divsChild>
        <w:div w:id="2086563307">
          <w:marLeft w:val="547"/>
          <w:marRight w:val="0"/>
          <w:marTop w:val="86"/>
          <w:marBottom w:val="0"/>
          <w:divBdr>
            <w:top w:val="none" w:sz="0" w:space="0" w:color="auto"/>
            <w:left w:val="none" w:sz="0" w:space="0" w:color="auto"/>
            <w:bottom w:val="none" w:sz="0" w:space="0" w:color="auto"/>
            <w:right w:val="none" w:sz="0" w:space="0" w:color="auto"/>
          </w:divBdr>
        </w:div>
      </w:divsChild>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1938444137">
      <w:bodyDiv w:val="1"/>
      <w:marLeft w:val="0"/>
      <w:marRight w:val="0"/>
      <w:marTop w:val="0"/>
      <w:marBottom w:val="0"/>
      <w:divBdr>
        <w:top w:val="none" w:sz="0" w:space="0" w:color="auto"/>
        <w:left w:val="none" w:sz="0" w:space="0" w:color="auto"/>
        <w:bottom w:val="none" w:sz="0" w:space="0" w:color="auto"/>
        <w:right w:val="none" w:sz="0" w:space="0" w:color="auto"/>
      </w:divBdr>
      <w:divsChild>
        <w:div w:id="993800796">
          <w:marLeft w:val="274"/>
          <w:marRight w:val="0"/>
          <w:marTop w:val="0"/>
          <w:marBottom w:val="0"/>
          <w:divBdr>
            <w:top w:val="none" w:sz="0" w:space="0" w:color="auto"/>
            <w:left w:val="none" w:sz="0" w:space="0" w:color="auto"/>
            <w:bottom w:val="none" w:sz="0" w:space="0" w:color="auto"/>
            <w:right w:val="none" w:sz="0" w:space="0" w:color="auto"/>
          </w:divBdr>
        </w:div>
        <w:div w:id="162936638">
          <w:marLeft w:val="274"/>
          <w:marRight w:val="0"/>
          <w:marTop w:val="0"/>
          <w:marBottom w:val="0"/>
          <w:divBdr>
            <w:top w:val="none" w:sz="0" w:space="0" w:color="auto"/>
            <w:left w:val="none" w:sz="0" w:space="0" w:color="auto"/>
            <w:bottom w:val="none" w:sz="0" w:space="0" w:color="auto"/>
            <w:right w:val="none" w:sz="0" w:space="0" w:color="auto"/>
          </w:divBdr>
        </w:div>
        <w:div w:id="1351837560">
          <w:marLeft w:val="274"/>
          <w:marRight w:val="0"/>
          <w:marTop w:val="0"/>
          <w:marBottom w:val="0"/>
          <w:divBdr>
            <w:top w:val="none" w:sz="0" w:space="0" w:color="auto"/>
            <w:left w:val="none" w:sz="0" w:space="0" w:color="auto"/>
            <w:bottom w:val="none" w:sz="0" w:space="0" w:color="auto"/>
            <w:right w:val="none" w:sz="0" w:space="0" w:color="auto"/>
          </w:divBdr>
        </w:div>
        <w:div w:id="510069661">
          <w:marLeft w:val="274"/>
          <w:marRight w:val="0"/>
          <w:marTop w:val="0"/>
          <w:marBottom w:val="0"/>
          <w:divBdr>
            <w:top w:val="none" w:sz="0" w:space="0" w:color="auto"/>
            <w:left w:val="none" w:sz="0" w:space="0" w:color="auto"/>
            <w:bottom w:val="none" w:sz="0" w:space="0" w:color="auto"/>
            <w:right w:val="none" w:sz="0" w:space="0" w:color="auto"/>
          </w:divBdr>
        </w:div>
        <w:div w:id="425199395">
          <w:marLeft w:val="274"/>
          <w:marRight w:val="0"/>
          <w:marTop w:val="0"/>
          <w:marBottom w:val="0"/>
          <w:divBdr>
            <w:top w:val="none" w:sz="0" w:space="0" w:color="auto"/>
            <w:left w:val="none" w:sz="0" w:space="0" w:color="auto"/>
            <w:bottom w:val="none" w:sz="0" w:space="0" w:color="auto"/>
            <w:right w:val="none" w:sz="0" w:space="0" w:color="auto"/>
          </w:divBdr>
        </w:div>
        <w:div w:id="1304850710">
          <w:marLeft w:val="274"/>
          <w:marRight w:val="0"/>
          <w:marTop w:val="0"/>
          <w:marBottom w:val="0"/>
          <w:divBdr>
            <w:top w:val="none" w:sz="0" w:space="0" w:color="auto"/>
            <w:left w:val="none" w:sz="0" w:space="0" w:color="auto"/>
            <w:bottom w:val="none" w:sz="0" w:space="0" w:color="auto"/>
            <w:right w:val="none" w:sz="0" w:space="0" w:color="auto"/>
          </w:divBdr>
        </w:div>
      </w:divsChild>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 w:id="2141800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rki.local\daten\Wissdaten\RKI_nCoV-Lage\1.Lagemanagement\1.3.Besprechungen_TKs\1.Lage_AG\2022-12-07-Lage-AG\LageNational_2022-12-07_draft.ppt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Wissdaten\RKI_nCoV-Lage\1.Lagemanagement\1.3.Besprechungen_TKs\1.Lage_AG\2022-12-07-Lage-AG\COVID-19_internat.%20Lage_2022-12-07.ppt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ED529-146F-43BF-A904-A6E208D3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2895</Words>
  <Characters>18241</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Wolter, Amrei</cp:lastModifiedBy>
  <cp:revision>11</cp:revision>
  <cp:lastPrinted>2020-05-06T16:43:00Z</cp:lastPrinted>
  <dcterms:created xsi:type="dcterms:W3CDTF">2022-12-07T13:43:00Z</dcterms:created>
  <dcterms:modified xsi:type="dcterms:W3CDTF">2022-12-07T17:28:00Z</dcterms:modified>
</cp:coreProperties>
</file>