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Wochentag, 21.12.2022,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 / Osamah Hamouda</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spacing w:after="0"/>
        <w:ind w:left="108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Julika Loss</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Marc Thanheiser</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Maria an der Heiden</w:t>
      </w:r>
    </w:p>
    <w:p>
      <w:pPr>
        <w:pStyle w:val="Listenabsatz"/>
        <w:numPr>
          <w:ilvl w:val="1"/>
          <w:numId w:val="2"/>
        </w:numPr>
        <w:spacing w:after="0"/>
        <w:contextualSpacing w:val="0"/>
        <w:rPr>
          <w:sz w:val="22"/>
          <w:szCs w:val="22"/>
        </w:rPr>
      </w:pPr>
      <w:r>
        <w:rPr>
          <w:sz w:val="22"/>
          <w:szCs w:val="22"/>
        </w:rPr>
        <w:t>Claudia Siffczyk</w:t>
      </w:r>
    </w:p>
    <w:p>
      <w:pPr>
        <w:pStyle w:val="Listenabsatz"/>
        <w:numPr>
          <w:ilvl w:val="1"/>
          <w:numId w:val="2"/>
        </w:numPr>
        <w:spacing w:after="0"/>
        <w:contextualSpacing w:val="0"/>
        <w:rPr>
          <w:sz w:val="22"/>
          <w:szCs w:val="22"/>
        </w:rPr>
      </w:pPr>
      <w:r>
        <w:rPr>
          <w:sz w:val="22"/>
          <w:szCs w:val="22"/>
        </w:rPr>
        <w:t>Alexandra Hofmann</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1"/>
          <w:numId w:val="2"/>
        </w:numPr>
        <w:spacing w:after="0"/>
        <w:contextualSpacing w:val="0"/>
        <w:rPr>
          <w:sz w:val="22"/>
        </w:rPr>
      </w:pPr>
      <w:r>
        <w:rPr>
          <w:sz w:val="22"/>
        </w:rPr>
        <w:t>Justus Benzler</w:t>
      </w:r>
    </w:p>
    <w:p>
      <w:pPr>
        <w:spacing w:after="0"/>
        <w:rPr>
          <w:sz w:val="22"/>
        </w:rPr>
      </w:pPr>
    </w:p>
    <w:p>
      <w:pPr>
        <w:spacing w:after="0"/>
        <w:rPr>
          <w:sz w:val="22"/>
        </w:rPr>
      </w:pP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rPr>
      </w:pPr>
      <w:r>
        <w:rPr>
          <w:sz w:val="22"/>
          <w:szCs w:val="22"/>
        </w:rPr>
        <w:t>Jonathan Fischer-Fels</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Sebastian Haller</w:t>
      </w:r>
    </w:p>
    <w:p>
      <w:pPr>
        <w:pStyle w:val="Listenabsatz"/>
        <w:numPr>
          <w:ilvl w:val="1"/>
          <w:numId w:val="2"/>
        </w:numPr>
        <w:spacing w:after="0"/>
        <w:contextualSpacing w:val="0"/>
        <w:rPr>
          <w:sz w:val="22"/>
          <w:szCs w:val="22"/>
        </w:rPr>
      </w:pPr>
      <w:r>
        <w:rPr>
          <w:sz w:val="22"/>
          <w:szCs w:val="22"/>
        </w:rPr>
        <w:t xml:space="preserve">Werner </w:t>
      </w:r>
      <w:proofErr w:type="spellStart"/>
      <w:r>
        <w:rPr>
          <w:sz w:val="22"/>
          <w:szCs w:val="22"/>
        </w:rPr>
        <w:t>Espelage</w:t>
      </w:r>
      <w:proofErr w:type="spellEnd"/>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Janina Esins</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rPr>
          <w:sz w:val="22"/>
        </w:rPr>
      </w:pPr>
      <w:r>
        <w:rPr>
          <w:sz w:val="22"/>
        </w:rPr>
        <w:t xml:space="preserve">Pascal </w:t>
      </w:r>
      <w:proofErr w:type="spellStart"/>
      <w:r>
        <w:rPr>
          <w:sz w:val="22"/>
        </w:rPr>
        <w:t>Klamser</w:t>
      </w:r>
      <w:proofErr w:type="spellEnd"/>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Carlos Correa-Martinez</w:t>
      </w:r>
    </w:p>
    <w:p>
      <w:pPr>
        <w:pStyle w:val="Listenabsatz"/>
        <w:numPr>
          <w:ilvl w:val="0"/>
          <w:numId w:val="2"/>
        </w:numPr>
        <w:spacing w:after="0"/>
        <w:contextualSpacing w:val="0"/>
        <w:rPr>
          <w:rStyle w:val="highlight"/>
          <w:sz w:val="22"/>
          <w:szCs w:val="22"/>
        </w:rPr>
      </w:pPr>
      <w:r>
        <w:rPr>
          <w:rStyle w:val="highlight"/>
          <w:sz w:val="22"/>
          <w:szCs w:val="22"/>
        </w:rPr>
        <w:t>ZIG2</w:t>
      </w:r>
    </w:p>
    <w:p>
      <w:pPr>
        <w:pStyle w:val="Listenabsatz"/>
        <w:numPr>
          <w:ilvl w:val="0"/>
          <w:numId w:val="9"/>
        </w:numPr>
        <w:spacing w:after="0"/>
        <w:contextualSpacing w:val="0"/>
        <w:rPr>
          <w:rStyle w:val="highlight"/>
          <w:sz w:val="22"/>
          <w:szCs w:val="22"/>
        </w:rPr>
      </w:pPr>
      <w:r>
        <w:rPr>
          <w:rStyle w:val="highlight"/>
          <w:sz w:val="22"/>
          <w:szCs w:val="22"/>
        </w:rPr>
        <w:t>Charbel El Bcheraoui</w:t>
      </w:r>
    </w:p>
    <w:p>
      <w:pPr>
        <w:pStyle w:val="Listenabsatz"/>
        <w:numPr>
          <w:ilvl w:val="0"/>
          <w:numId w:val="9"/>
        </w:numPr>
        <w:spacing w:after="0"/>
        <w:contextualSpacing w:val="0"/>
        <w:rPr>
          <w:sz w:val="22"/>
          <w:szCs w:val="22"/>
          <w:lang w:val="en-US"/>
        </w:rPr>
      </w:pPr>
      <w:r>
        <w:rPr>
          <w:rStyle w:val="highlight"/>
          <w:sz w:val="22"/>
          <w:szCs w:val="22"/>
          <w:lang w:val="en-US"/>
        </w:rPr>
        <w:t xml:space="preserve">Francisco </w:t>
      </w:r>
      <w:proofErr w:type="spellStart"/>
      <w:r>
        <w:rPr>
          <w:rStyle w:val="highlight"/>
          <w:sz w:val="22"/>
          <w:szCs w:val="22"/>
          <w:lang w:val="en-US"/>
        </w:rPr>
        <w:t>Pozo</w:t>
      </w:r>
      <w:proofErr w:type="spellEnd"/>
      <w:r>
        <w:rPr>
          <w:rStyle w:val="highlight"/>
          <w:sz w:val="22"/>
          <w:szCs w:val="22"/>
          <w:lang w:val="en-US"/>
        </w:rPr>
        <w:t xml:space="preserve"> Martin </w:t>
      </w:r>
    </w:p>
    <w:p>
      <w:pPr>
        <w:pStyle w:val="Listenabsatz"/>
        <w:numPr>
          <w:ilvl w:val="0"/>
          <w:numId w:val="9"/>
        </w:numPr>
        <w:spacing w:after="0"/>
        <w:ind w:left="714" w:hanging="357"/>
        <w:rPr>
          <w:sz w:val="22"/>
          <w:szCs w:val="22"/>
          <w:lang w:val="en-US"/>
        </w:rPr>
      </w:pPr>
      <w:proofErr w:type="spellStart"/>
      <w:r>
        <w:rPr>
          <w:sz w:val="22"/>
          <w:szCs w:val="22"/>
          <w:lang w:val="en-US"/>
        </w:rPr>
        <w:t>BZgA</w:t>
      </w:r>
      <w:proofErr w:type="spellEnd"/>
      <w:r>
        <w:rPr>
          <w:sz w:val="22"/>
          <w:szCs w:val="22"/>
          <w:lang w:val="en-US"/>
        </w:rPr>
        <w:t xml:space="preserve"> </w:t>
      </w:r>
    </w:p>
    <w:p>
      <w:pPr>
        <w:pStyle w:val="Listenabsatz"/>
        <w:numPr>
          <w:ilvl w:val="1"/>
          <w:numId w:val="2"/>
        </w:numPr>
        <w:spacing w:after="0"/>
        <w:contextualSpacing w:val="0"/>
        <w:rPr>
          <w:sz w:val="22"/>
          <w:szCs w:val="22"/>
        </w:rPr>
      </w:pPr>
      <w:r>
        <w:rPr>
          <w:color w:val="000000" w:themeColor="text1"/>
          <w:sz w:val="22"/>
          <w:szCs w:val="22"/>
        </w:rPr>
        <w:t xml:space="preserve">Andrea </w:t>
      </w:r>
      <w:proofErr w:type="spellStart"/>
      <w:r>
        <w:rPr>
          <w:color w:val="000000" w:themeColor="text1"/>
          <w:sz w:val="22"/>
          <w:szCs w:val="22"/>
        </w:rPr>
        <w:t>Rückle</w:t>
      </w:r>
      <w:proofErr w:type="spellEnd"/>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MiZchn"/>
                <w:bCs/>
              </w:rPr>
            </w:pPr>
            <w:r>
              <w:rPr>
                <w:rStyle w:val="2Zchn"/>
                <w:sz w:val="22"/>
                <w:szCs w:val="22"/>
              </w:rPr>
              <w:t>International</w:t>
            </w:r>
            <w:r>
              <w:rPr>
                <w:rStyle w:val="TagMiZchn"/>
                <w:bCs/>
              </w:rPr>
              <w:t xml:space="preserve"> </w:t>
            </w:r>
          </w:p>
          <w:p>
            <w:pPr>
              <w:pStyle w:val="Liste2"/>
              <w:numPr>
                <w:ilvl w:val="0"/>
                <w:numId w:val="0"/>
              </w:numPr>
              <w:ind w:left="833" w:hanging="360"/>
            </w:pPr>
            <w:proofErr w:type="spellStart"/>
            <w:r>
              <w:t>Folien</w:t>
            </w:r>
            <w:proofErr w:type="spellEnd"/>
            <w:r>
              <w:t xml:space="preserve"> </w:t>
            </w:r>
            <w:hyperlink r:id="rId11" w:history="1">
              <w:proofErr w:type="spellStart"/>
              <w:r>
                <w:rPr>
                  <w:rStyle w:val="Hyperlink"/>
                </w:rPr>
                <w:t>hie</w:t>
              </w:r>
              <w:r>
                <w:rPr>
                  <w:rStyle w:val="Hyperlink"/>
                </w:rPr>
                <w:t>r</w:t>
              </w:r>
              <w:proofErr w:type="spellEnd"/>
            </w:hyperlink>
          </w:p>
          <w:p>
            <w:pPr>
              <w:pStyle w:val="Liste2"/>
              <w:rPr>
                <w:lang w:val="de-DE"/>
              </w:rPr>
            </w:pPr>
            <w:r>
              <w:rPr>
                <w:lang w:val="de-DE"/>
              </w:rPr>
              <w:t xml:space="preserve">Fallzahlen weltweit mit Ausnahme Region Amerika sinkend; </w:t>
            </w:r>
          </w:p>
          <w:p>
            <w:pPr>
              <w:pStyle w:val="Liste2"/>
              <w:rPr>
                <w:lang w:val="de-DE"/>
              </w:rPr>
            </w:pPr>
            <w:r>
              <w:rPr>
                <w:lang w:val="de-DE"/>
              </w:rPr>
              <w:t>Amerika: 16% Anstieg (Argentinien, Chile, Uruguay, Brasilien und Peru). BA5. Untervarianten verbreiten sich;</w:t>
            </w:r>
          </w:p>
          <w:p>
            <w:pPr>
              <w:pStyle w:val="Liste2"/>
              <w:rPr>
                <w:lang w:val="de-DE"/>
              </w:rPr>
            </w:pPr>
            <w:r>
              <w:rPr>
                <w:lang w:val="de-DE"/>
              </w:rPr>
              <w:t>Europa: 7TI sinken in allen Altersgruppen; und vor allem bei Ü65; Hospitalisierungen und ITS-Belegungen auf einem stabilen Niveau (Infos aus KW45);</w:t>
            </w:r>
          </w:p>
          <w:p>
            <w:pPr>
              <w:pStyle w:val="Liste2"/>
              <w:rPr>
                <w:lang w:val="de-DE"/>
              </w:rPr>
            </w:pPr>
            <w:r>
              <w:rPr>
                <w:lang w:val="de-DE"/>
              </w:rPr>
              <w:t xml:space="preserve">European Forecast Hub prognostiziert leicht steigende Fallzahlen, aber weiter sinkende Todesfallzahlen; </w:t>
            </w:r>
          </w:p>
          <w:p>
            <w:pPr>
              <w:pStyle w:val="Liste2"/>
              <w:rPr>
                <w:lang w:val="de-DE"/>
              </w:rPr>
            </w:pPr>
            <w:r>
              <w:rPr>
                <w:lang w:val="de-DE"/>
              </w:rPr>
              <w:t>Anstieg Frankreich Fallzahlen: BQ1.1. (über 60% der Sequenzen). Situation in den Krankenhäusern stabil;</w:t>
            </w:r>
          </w:p>
          <w:p>
            <w:pPr>
              <w:pStyle w:val="Liste2"/>
              <w:rPr>
                <w:lang w:val="de-DE"/>
              </w:rPr>
            </w:pPr>
            <w:r>
              <w:rPr>
                <w:lang w:val="de-DE"/>
              </w:rPr>
              <w:t xml:space="preserve">Anstieg Norwegen: Plateau in </w:t>
            </w:r>
            <w:proofErr w:type="spellStart"/>
            <w:r>
              <w:rPr>
                <w:lang w:val="de-DE"/>
              </w:rPr>
              <w:t>Abwassersurveillance</w:t>
            </w:r>
            <w:proofErr w:type="spellEnd"/>
            <w:r>
              <w:rPr>
                <w:lang w:val="de-DE"/>
              </w:rPr>
              <w:t xml:space="preserve"> berichtet; es wird eine Stabilisierung der Zahlen erwartet; Situation ITS: stabil</w:t>
            </w:r>
          </w:p>
          <w:p>
            <w:pPr>
              <w:pStyle w:val="Liste2"/>
              <w:numPr>
                <w:ilvl w:val="0"/>
                <w:numId w:val="0"/>
              </w:numPr>
              <w:ind w:left="833" w:hanging="360"/>
              <w:rPr>
                <w:lang w:val="de-DE"/>
              </w:rPr>
            </w:pPr>
            <w:r>
              <w:rPr>
                <w:lang w:val="de-DE"/>
              </w:rPr>
              <w:t xml:space="preserve">Lage in China: </w:t>
            </w:r>
          </w:p>
          <w:p>
            <w:pPr>
              <w:pStyle w:val="Liste2"/>
              <w:numPr>
                <w:ilvl w:val="0"/>
                <w:numId w:val="10"/>
              </w:numPr>
              <w:rPr>
                <w:lang w:val="de-DE"/>
              </w:rPr>
            </w:pPr>
            <w:r>
              <w:rPr>
                <w:lang w:val="de-DE"/>
              </w:rPr>
              <w:t xml:space="preserve">Offizielle Zahlen zeigen eine niedrige 7TI von10/100T EinwohnerInnen; </w:t>
            </w:r>
          </w:p>
          <w:p>
            <w:pPr>
              <w:pStyle w:val="Liste2"/>
              <w:numPr>
                <w:ilvl w:val="0"/>
                <w:numId w:val="10"/>
              </w:numPr>
              <w:rPr>
                <w:lang w:val="de-DE"/>
              </w:rPr>
            </w:pPr>
            <w:r>
              <w:rPr>
                <w:lang w:val="de-DE"/>
              </w:rPr>
              <w:t>Hospitalisierungen steigen seit Mitte November an;</w:t>
            </w:r>
          </w:p>
          <w:p>
            <w:pPr>
              <w:pStyle w:val="Liste2"/>
              <w:numPr>
                <w:ilvl w:val="0"/>
                <w:numId w:val="10"/>
              </w:numPr>
              <w:rPr>
                <w:lang w:val="de-DE"/>
              </w:rPr>
            </w:pPr>
            <w:r>
              <w:rPr>
                <w:lang w:val="de-DE"/>
              </w:rPr>
              <w:t xml:space="preserve">Lockerungen seit 07.12. </w:t>
            </w:r>
          </w:p>
          <w:p>
            <w:pPr>
              <w:pStyle w:val="Liste2"/>
              <w:numPr>
                <w:ilvl w:val="0"/>
                <w:numId w:val="10"/>
              </w:numPr>
              <w:rPr>
                <w:lang w:val="de-DE"/>
              </w:rPr>
            </w:pPr>
            <w:r>
              <w:rPr>
                <w:lang w:val="de-DE"/>
              </w:rPr>
              <w:t xml:space="preserve">Schnelltests als PCR-Ersatz akzeptiert; </w:t>
            </w:r>
          </w:p>
          <w:p>
            <w:pPr>
              <w:pStyle w:val="Liste2"/>
              <w:numPr>
                <w:ilvl w:val="0"/>
                <w:numId w:val="10"/>
              </w:numPr>
              <w:rPr>
                <w:lang w:val="de-DE"/>
              </w:rPr>
            </w:pPr>
            <w:r>
              <w:rPr>
                <w:lang w:val="de-DE"/>
              </w:rPr>
              <w:t xml:space="preserve">Schulen offen seit 12.12. </w:t>
            </w:r>
          </w:p>
          <w:p>
            <w:pPr>
              <w:pStyle w:val="Liste2"/>
              <w:numPr>
                <w:ilvl w:val="0"/>
                <w:numId w:val="10"/>
              </w:numPr>
              <w:rPr>
                <w:lang w:val="de-DE"/>
              </w:rPr>
            </w:pPr>
            <w:r>
              <w:rPr>
                <w:lang w:val="de-DE"/>
              </w:rPr>
              <w:t>Corona-App zur Kontaktpersonennachverfolgung deaktiviert.</w:t>
            </w:r>
          </w:p>
          <w:p>
            <w:pPr>
              <w:pStyle w:val="Liste2"/>
              <w:numPr>
                <w:ilvl w:val="0"/>
                <w:numId w:val="10"/>
              </w:numPr>
              <w:rPr>
                <w:lang w:val="de-DE"/>
              </w:rPr>
            </w:pPr>
            <w:r>
              <w:rPr>
                <w:lang w:val="de-DE"/>
              </w:rPr>
              <w:t>BA.2.75, BA.5 (inkl. BF.7, BQ.1) nachgewiesen</w:t>
            </w:r>
          </w:p>
          <w:p>
            <w:pPr>
              <w:pStyle w:val="Liste2"/>
              <w:numPr>
                <w:ilvl w:val="0"/>
                <w:numId w:val="10"/>
              </w:numPr>
              <w:rPr>
                <w:lang w:val="de-DE"/>
              </w:rPr>
            </w:pPr>
            <w:r>
              <w:rPr>
                <w:lang w:val="de-DE"/>
              </w:rPr>
              <w:t xml:space="preserve">Keine wirklich belastbaren Zahlen und Daten verfügbar </w:t>
            </w:r>
          </w:p>
          <w:p>
            <w:pPr>
              <w:pStyle w:val="Liste2"/>
              <w:numPr>
                <w:ilvl w:val="0"/>
                <w:numId w:val="10"/>
              </w:numPr>
              <w:rPr>
                <w:lang w:val="de-DE"/>
              </w:rPr>
            </w:pPr>
            <w:r>
              <w:rPr>
                <w:lang w:val="de-DE"/>
              </w:rPr>
              <w:t xml:space="preserve">Impfquote Ü80: 2 Dosen </w:t>
            </w:r>
            <w:proofErr w:type="spellStart"/>
            <w:r>
              <w:rPr>
                <w:lang w:val="de-DE"/>
              </w:rPr>
              <w:t>Sinovac</w:t>
            </w:r>
            <w:proofErr w:type="spellEnd"/>
            <w:r>
              <w:rPr>
                <w:lang w:val="de-DE"/>
              </w:rPr>
              <w:t xml:space="preserve"> knapp 66%, Booster knapp 40%</w:t>
            </w:r>
          </w:p>
          <w:p>
            <w:pPr>
              <w:pStyle w:val="Liste2"/>
              <w:numPr>
                <w:ilvl w:val="0"/>
                <w:numId w:val="0"/>
              </w:numPr>
              <w:ind w:left="833" w:hanging="360"/>
              <w:rPr>
                <w:lang w:val="de-DE"/>
              </w:rPr>
            </w:pPr>
            <w:r>
              <w:rPr>
                <w:lang w:val="de-DE"/>
              </w:rPr>
              <w:t>Frage:</w:t>
            </w:r>
          </w:p>
          <w:p>
            <w:pPr>
              <w:pStyle w:val="Liste2"/>
              <w:numPr>
                <w:ilvl w:val="0"/>
                <w:numId w:val="10"/>
              </w:numPr>
              <w:rPr>
                <w:lang w:val="de-DE"/>
              </w:rPr>
            </w:pPr>
            <w:r>
              <w:rPr>
                <w:lang w:val="de-DE"/>
              </w:rPr>
              <w:t xml:space="preserve">Woher könnten wir ein verlässlicheres Lagebild aus China erhalten? - Nachbarländer (Taiwan und Hongkong betrachten: Taiwan stabil, in Hongkong wird ein Anstieg beobachtet). Es wird versucht, über internationale Netzwerke mehr Informationen zu erhalten. </w:t>
            </w:r>
          </w:p>
          <w:p>
            <w:pPr>
              <w:pStyle w:val="2"/>
            </w:pPr>
            <w:r>
              <w:t xml:space="preserve">National </w:t>
            </w:r>
          </w:p>
          <w:p>
            <w:pPr>
              <w:pStyle w:val="Liste2"/>
            </w:pPr>
            <w:r>
              <w:t xml:space="preserve">Fallzahlen, </w:t>
            </w:r>
            <w:proofErr w:type="spellStart"/>
            <w:r>
              <w:t>Todesfälle</w:t>
            </w:r>
            <w:proofErr w:type="spellEnd"/>
            <w:r>
              <w:t xml:space="preserve">, Trend, </w:t>
            </w:r>
            <w:proofErr w:type="spellStart"/>
            <w:r>
              <w:t>Folien</w:t>
            </w:r>
            <w:proofErr w:type="spellEnd"/>
            <w:r>
              <w:t xml:space="preserve"> </w:t>
            </w:r>
            <w:hyperlink r:id="rId12" w:history="1">
              <w:proofErr w:type="spellStart"/>
              <w:r>
                <w:rPr>
                  <w:rStyle w:val="Hyperlink"/>
                </w:rPr>
                <w:t>hi</w:t>
              </w:r>
              <w:r>
                <w:rPr>
                  <w:rStyle w:val="Hyperlink"/>
                </w:rPr>
                <w:t>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36.346.100 (+19.000), davon 160.246 (+210) Todesfälle </w:t>
            </w:r>
          </w:p>
          <w:p>
            <w:pPr>
              <w:pStyle w:val="Liste2"/>
            </w:pPr>
            <w:r>
              <w:t xml:space="preserve">7-Tage-Inzidenz: 250/100.000 </w:t>
            </w:r>
            <w:proofErr w:type="spellStart"/>
            <w:r>
              <w:t>Einw.</w:t>
            </w:r>
            <w:proofErr w:type="spellEnd"/>
          </w:p>
          <w:p>
            <w:pPr>
              <w:pStyle w:val="Liste2"/>
              <w:rPr>
                <w:lang w:val="de-DE"/>
              </w:rPr>
            </w:pPr>
            <w:r>
              <w:rPr>
                <w:lang w:val="de-DE"/>
              </w:rPr>
              <w:t xml:space="preserve">Ähnliches Bild im Vergleich zu den Vorwochen. </w:t>
            </w:r>
          </w:p>
          <w:p>
            <w:pPr>
              <w:pStyle w:val="Liste2"/>
              <w:rPr>
                <w:lang w:val="de-DE"/>
              </w:rPr>
            </w:pPr>
            <w:r>
              <w:rPr>
                <w:lang w:val="de-DE"/>
              </w:rPr>
              <w:t xml:space="preserve">Leichter Anstieg in der 7THI in der Gruppe Ü60; </w:t>
            </w:r>
          </w:p>
          <w:p>
            <w:pPr>
              <w:pStyle w:val="Liste2"/>
              <w:rPr>
                <w:lang w:val="de-DE"/>
              </w:rPr>
            </w:pPr>
            <w:r>
              <w:rPr>
                <w:lang w:val="de-DE"/>
              </w:rPr>
              <w:t>BL: Bundesweiter Trend leicht ansteigend, aber eher Abflachung zu beobachten; nördliche BL mit höchsten 7TI, aber auch hier kein weiterer Anstieg. Nord-Süd-Gefälle;</w:t>
            </w:r>
          </w:p>
          <w:p>
            <w:pPr>
              <w:pStyle w:val="Liste2"/>
              <w:rPr>
                <w:lang w:val="de-DE"/>
              </w:rPr>
            </w:pPr>
            <w:r>
              <w:rPr>
                <w:lang w:val="de-DE"/>
              </w:rPr>
              <w:t xml:space="preserve">18 Kreise mit 7TI über 500, 260 Kreise mit 7TI zwischen 50-250; </w:t>
            </w:r>
          </w:p>
          <w:p>
            <w:pPr>
              <w:pStyle w:val="Liste2"/>
              <w:rPr>
                <w:lang w:val="de-DE"/>
              </w:rPr>
            </w:pPr>
            <w:r>
              <w:rPr>
                <w:lang w:val="de-DE"/>
              </w:rPr>
              <w:t>Aktuelle Tendenz Altersgruppen: höchste 7TI in Gruppe Ü85; gefolgt von 50-65-Jährigen. Bei Kindern eher Abfall</w:t>
            </w:r>
          </w:p>
          <w:p>
            <w:pPr>
              <w:pStyle w:val="Liste2"/>
              <w:rPr>
                <w:lang w:val="de-DE"/>
              </w:rPr>
            </w:pPr>
            <w:proofErr w:type="spellStart"/>
            <w:r>
              <w:lastRenderedPageBreak/>
              <w:t>Todesfälle</w:t>
            </w:r>
            <w:proofErr w:type="spellEnd"/>
            <w:r>
              <w:t xml:space="preserve">: </w:t>
            </w:r>
            <w:proofErr w:type="spellStart"/>
            <w:r>
              <w:t>stagnierend</w:t>
            </w:r>
            <w:proofErr w:type="spellEnd"/>
          </w:p>
          <w:p>
            <w:pPr>
              <w:pStyle w:val="Liste3"/>
              <w:numPr>
                <w:ilvl w:val="0"/>
                <w:numId w:val="0"/>
              </w:numPr>
            </w:pPr>
          </w:p>
          <w:p>
            <w:pPr>
              <w:pStyle w:val="Liste3"/>
              <w:numPr>
                <w:ilvl w:val="0"/>
                <w:numId w:val="0"/>
              </w:numPr>
              <w:rPr>
                <w:b/>
              </w:rPr>
            </w:pPr>
            <w:r>
              <w:rPr>
                <w:b/>
              </w:rPr>
              <w:t>Testzahlen</w:t>
            </w:r>
          </w:p>
          <w:p>
            <w:pPr>
              <w:pStyle w:val="Liste3"/>
              <w:numPr>
                <w:ilvl w:val="0"/>
                <w:numId w:val="0"/>
              </w:numPr>
            </w:pPr>
            <w:r>
              <w:t>Nicht berichtet</w:t>
            </w:r>
          </w:p>
          <w:p>
            <w:pPr>
              <w:pStyle w:val="Liste3"/>
              <w:numPr>
                <w:ilvl w:val="0"/>
                <w:numId w:val="0"/>
              </w:numPr>
            </w:pPr>
          </w:p>
          <w:p>
            <w:pPr>
              <w:pStyle w:val="Liste2"/>
              <w:numPr>
                <w:ilvl w:val="0"/>
                <w:numId w:val="0"/>
              </w:numPr>
              <w:rPr>
                <w:b/>
              </w:rPr>
            </w:pPr>
            <w:r>
              <w:rPr>
                <w:b/>
              </w:rPr>
              <w:t>ARS-</w:t>
            </w:r>
            <w:proofErr w:type="spellStart"/>
            <w:r>
              <w:rPr>
                <w:b/>
              </w:rPr>
              <w:t>Daten</w:t>
            </w:r>
            <w:proofErr w:type="spellEnd"/>
            <w:r>
              <w:rPr>
                <w:b/>
              </w:rPr>
              <w:t xml:space="preserve"> </w:t>
            </w:r>
          </w:p>
          <w:p>
            <w:pPr>
              <w:pStyle w:val="Liste2"/>
              <w:numPr>
                <w:ilvl w:val="0"/>
                <w:numId w:val="0"/>
              </w:numPr>
            </w:pPr>
            <w:proofErr w:type="spellStart"/>
            <w:r>
              <w:t>Folien</w:t>
            </w:r>
            <w:proofErr w:type="spellEnd"/>
            <w:r>
              <w:t xml:space="preserve"> </w:t>
            </w:r>
            <w:hyperlink r:id="rId13" w:history="1">
              <w:proofErr w:type="spellStart"/>
              <w:r>
                <w:rPr>
                  <w:rStyle w:val="Hyperlink"/>
                </w:rPr>
                <w:t>hie</w:t>
              </w:r>
              <w:r>
                <w:rPr>
                  <w:rStyle w:val="Hyperlink"/>
                </w:rPr>
                <w:t>r</w:t>
              </w:r>
              <w:proofErr w:type="spellEnd"/>
            </w:hyperlink>
          </w:p>
          <w:p>
            <w:pPr>
              <w:pStyle w:val="Liste2"/>
              <w:numPr>
                <w:ilvl w:val="0"/>
                <w:numId w:val="10"/>
              </w:numPr>
              <w:rPr>
                <w:lang w:val="de-DE"/>
              </w:rPr>
            </w:pPr>
            <w:r>
              <w:rPr>
                <w:lang w:val="de-DE"/>
              </w:rPr>
              <w:t xml:space="preserve"> Anzahl Testungen/100T: bei 0-4- und 5-14-Jährigen stabil über die letzten 10 Wochen. </w:t>
            </w:r>
          </w:p>
          <w:p>
            <w:pPr>
              <w:pStyle w:val="Liste2"/>
              <w:numPr>
                <w:ilvl w:val="0"/>
                <w:numId w:val="10"/>
              </w:numPr>
              <w:rPr>
                <w:lang w:val="de-DE"/>
              </w:rPr>
            </w:pPr>
            <w:r>
              <w:rPr>
                <w:lang w:val="de-DE"/>
              </w:rPr>
              <w:t>Anzahl pos. Getestet/100T: Kein Anstieg bei 0-4 und 5-</w:t>
            </w:r>
            <w:proofErr w:type="gramStart"/>
            <w:r>
              <w:rPr>
                <w:lang w:val="de-DE"/>
              </w:rPr>
              <w:t>14 Jährigen</w:t>
            </w:r>
            <w:proofErr w:type="gramEnd"/>
            <w:r>
              <w:rPr>
                <w:lang w:val="de-DE"/>
              </w:rPr>
              <w:t xml:space="preserve">, in allen anderen Altersgruppen: Anstieg; </w:t>
            </w:r>
          </w:p>
          <w:p>
            <w:pPr>
              <w:pStyle w:val="Liste2"/>
              <w:numPr>
                <w:ilvl w:val="0"/>
                <w:numId w:val="10"/>
              </w:numPr>
              <w:rPr>
                <w:lang w:val="de-DE"/>
              </w:rPr>
            </w:pPr>
            <w:r>
              <w:rPr>
                <w:lang w:val="de-DE"/>
              </w:rPr>
              <w:t xml:space="preserve">Konstant hohe Anzahl an Ausbrüchen in medizinischen Behandlungseinrichtungen (250- Vorwoche: 230), und Alten- und Pflegeheimen (379- Vorwoche: 328): </w:t>
            </w:r>
          </w:p>
          <w:p>
            <w:pPr>
              <w:pStyle w:val="Liste2"/>
              <w:numPr>
                <w:ilvl w:val="0"/>
                <w:numId w:val="0"/>
              </w:numPr>
            </w:pPr>
          </w:p>
          <w:p>
            <w:pPr>
              <w:pStyle w:val="Liste2"/>
              <w:numPr>
                <w:ilvl w:val="0"/>
                <w:numId w:val="0"/>
              </w:numPr>
              <w:rPr>
                <w:b/>
              </w:rPr>
            </w:pPr>
            <w:r>
              <w:rPr>
                <w:b/>
              </w:rPr>
              <w:t>VOC-</w:t>
            </w:r>
            <w:proofErr w:type="spellStart"/>
            <w:r>
              <w:rPr>
                <w:b/>
              </w:rPr>
              <w:t>Bericht</w:t>
            </w:r>
            <w:proofErr w:type="spellEnd"/>
          </w:p>
          <w:p>
            <w:pPr>
              <w:pStyle w:val="Liste2"/>
              <w:numPr>
                <w:ilvl w:val="0"/>
                <w:numId w:val="0"/>
              </w:numPr>
            </w:pPr>
            <w:proofErr w:type="spellStart"/>
            <w:r>
              <w:t>Nicht</w:t>
            </w:r>
            <w:proofErr w:type="spellEnd"/>
            <w:r>
              <w:t xml:space="preserve"> </w:t>
            </w:r>
            <w:proofErr w:type="spellStart"/>
            <w:r>
              <w:t>berichtet</w:t>
            </w:r>
            <w:proofErr w:type="spellEnd"/>
          </w:p>
          <w:p>
            <w:pPr>
              <w:pStyle w:val="Liste2"/>
              <w:numPr>
                <w:ilvl w:val="0"/>
                <w:numId w:val="0"/>
              </w:numPr>
            </w:pPr>
          </w:p>
          <w:p>
            <w:pPr>
              <w:pStyle w:val="Liste2"/>
              <w:numPr>
                <w:ilvl w:val="0"/>
                <w:numId w:val="0"/>
              </w:numPr>
              <w:rPr>
                <w:b/>
                <w:color w:val="000000" w:themeColor="text1"/>
              </w:rPr>
            </w:pPr>
            <w:proofErr w:type="spellStart"/>
            <w:r>
              <w:rPr>
                <w:b/>
                <w:color w:val="000000" w:themeColor="text1"/>
              </w:rPr>
              <w:t>Molekulare</w:t>
            </w:r>
            <w:proofErr w:type="spellEnd"/>
            <w:r>
              <w:rPr>
                <w:b/>
                <w:color w:val="000000" w:themeColor="text1"/>
              </w:rPr>
              <w:t xml:space="preserve"> Surveillance</w:t>
            </w:r>
          </w:p>
          <w:p>
            <w:pPr>
              <w:pStyle w:val="Liste2"/>
              <w:numPr>
                <w:ilvl w:val="0"/>
                <w:numId w:val="0"/>
              </w:numPr>
              <w:rPr>
                <w:color w:val="000000" w:themeColor="text1"/>
              </w:rPr>
            </w:pPr>
            <w:proofErr w:type="spellStart"/>
            <w:r>
              <w:rPr>
                <w:color w:val="000000" w:themeColor="text1"/>
              </w:rPr>
              <w:t>Nicht</w:t>
            </w:r>
            <w:proofErr w:type="spellEnd"/>
            <w:r>
              <w:rPr>
                <w:color w:val="000000" w:themeColor="text1"/>
              </w:rPr>
              <w:t xml:space="preserve"> </w:t>
            </w:r>
            <w:proofErr w:type="spellStart"/>
            <w:r>
              <w:rPr>
                <w:color w:val="000000" w:themeColor="text1"/>
              </w:rPr>
              <w:t>berichtet</w:t>
            </w:r>
            <w:proofErr w:type="spellEnd"/>
            <w:r>
              <w:rPr>
                <w:color w:val="000000" w:themeColor="text1"/>
              </w:rPr>
              <w:t xml:space="preserve"> </w:t>
            </w:r>
          </w:p>
          <w:p>
            <w:pPr>
              <w:pStyle w:val="Liste2"/>
              <w:numPr>
                <w:ilvl w:val="0"/>
                <w:numId w:val="0"/>
              </w:numPr>
              <w:rPr>
                <w:color w:val="000000" w:themeColor="text1"/>
              </w:rPr>
            </w:pPr>
          </w:p>
          <w:p>
            <w:pPr>
              <w:pStyle w:val="Liste2"/>
              <w:numPr>
                <w:ilvl w:val="0"/>
                <w:numId w:val="0"/>
              </w:numPr>
              <w:rPr>
                <w:rStyle w:val="TagMiZchn"/>
                <w:b w:val="0"/>
              </w:rPr>
            </w:pPr>
            <w:proofErr w:type="spellStart"/>
            <w:r>
              <w:rPr>
                <w:b/>
              </w:rPr>
              <w:t>Syndromische</w:t>
            </w:r>
            <w:proofErr w:type="spellEnd"/>
            <w:r>
              <w:rPr>
                <w:b/>
              </w:rPr>
              <w:t xml:space="preserve"> Surveillance</w:t>
            </w:r>
            <w:r>
              <w:rPr>
                <w:rStyle w:val="TagMiZchn"/>
                <w:b w:val="0"/>
              </w:rPr>
              <w:t xml:space="preserve"> </w:t>
            </w:r>
          </w:p>
          <w:p>
            <w:pPr>
              <w:pStyle w:val="Liste2"/>
              <w:numPr>
                <w:ilvl w:val="0"/>
                <w:numId w:val="0"/>
              </w:numPr>
              <w:rPr>
                <w:rStyle w:val="TagMiZchn"/>
                <w:b w:val="0"/>
                <w:i w:val="0"/>
                <w:color w:val="auto"/>
              </w:rPr>
            </w:pPr>
            <w:proofErr w:type="spellStart"/>
            <w:r>
              <w:rPr>
                <w:rStyle w:val="TagMiZchn"/>
                <w:b w:val="0"/>
                <w:i w:val="0"/>
                <w:color w:val="auto"/>
              </w:rPr>
              <w:t>Folien</w:t>
            </w:r>
            <w:proofErr w:type="spellEnd"/>
            <w:r>
              <w:rPr>
                <w:rStyle w:val="TagMiZchn"/>
                <w:b w:val="0"/>
                <w:i w:val="0"/>
                <w:color w:val="auto"/>
              </w:rPr>
              <w:t xml:space="preserve"> </w:t>
            </w:r>
            <w:hyperlink r:id="rId14" w:history="1">
              <w:proofErr w:type="spellStart"/>
              <w:r>
                <w:rPr>
                  <w:rStyle w:val="Hyperlink"/>
                </w:rPr>
                <w:t>hi</w:t>
              </w:r>
              <w:r>
                <w:rPr>
                  <w:rStyle w:val="Hyperlink"/>
                </w:rPr>
                <w:t>er</w:t>
              </w:r>
              <w:proofErr w:type="spellEnd"/>
            </w:hyperlink>
          </w:p>
          <w:p>
            <w:pPr>
              <w:pStyle w:val="Liste2"/>
              <w:numPr>
                <w:ilvl w:val="0"/>
                <w:numId w:val="10"/>
              </w:numPr>
              <w:rPr>
                <w:rStyle w:val="TagMiZchn"/>
                <w:b w:val="0"/>
                <w:i w:val="0"/>
                <w:color w:val="auto"/>
                <w:lang w:val="de-DE"/>
              </w:rPr>
            </w:pPr>
            <w:proofErr w:type="spellStart"/>
            <w:r>
              <w:rPr>
                <w:rStyle w:val="TagMiZchn"/>
                <w:b w:val="0"/>
                <w:i w:val="0"/>
                <w:color w:val="auto"/>
                <w:lang w:val="de-DE"/>
              </w:rPr>
              <w:t>GrippeWeb</w:t>
            </w:r>
            <w:proofErr w:type="spellEnd"/>
            <w:r>
              <w:rPr>
                <w:rStyle w:val="TagMiZchn"/>
                <w:b w:val="0"/>
                <w:i w:val="0"/>
                <w:color w:val="auto"/>
                <w:lang w:val="de-DE"/>
              </w:rPr>
              <w:t xml:space="preserve">: ARE-Raten nicht weiter ansteigend, aber weiterhin auf sehr hohem Niveau, 10.800 ARE (Vorwoche: 11.200) pro 100T; entspricht einer Gesamtzahl von </w:t>
            </w:r>
          </w:p>
          <w:p>
            <w:pPr>
              <w:pStyle w:val="Liste2"/>
              <w:numPr>
                <w:ilvl w:val="0"/>
                <w:numId w:val="0"/>
              </w:numPr>
              <w:ind w:left="833"/>
              <w:rPr>
                <w:rStyle w:val="TagMiZchn"/>
                <w:b w:val="0"/>
                <w:i w:val="0"/>
                <w:color w:val="auto"/>
                <w:lang w:val="de-DE"/>
              </w:rPr>
            </w:pPr>
            <w:r>
              <w:rPr>
                <w:rStyle w:val="TagMiZchn"/>
                <w:b w:val="0"/>
                <w:i w:val="0"/>
                <w:color w:val="auto"/>
                <w:lang w:val="de-DE"/>
              </w:rPr>
              <w:t>9,0 Mio. ARE in Deutschland, unabhängig von einem Arztbesuch (49. KW: ca. 9,3 Millionen);</w:t>
            </w:r>
          </w:p>
          <w:p>
            <w:pPr>
              <w:pStyle w:val="Liste2"/>
              <w:numPr>
                <w:ilvl w:val="0"/>
                <w:numId w:val="10"/>
              </w:numPr>
              <w:rPr>
                <w:rStyle w:val="TagMiZchn"/>
                <w:b w:val="0"/>
                <w:i w:val="0"/>
                <w:color w:val="auto"/>
                <w:lang w:val="de-DE"/>
              </w:rPr>
            </w:pPr>
            <w:r>
              <w:rPr>
                <w:rStyle w:val="TagMiZchn"/>
                <w:b w:val="0"/>
                <w:i w:val="0"/>
                <w:color w:val="auto"/>
                <w:lang w:val="de-DE"/>
              </w:rPr>
              <w:t>Ambulanter Bereich: vergleichbares Bild; die Konsultationsinzidenz ist nicht weiter gestiegen, aber auf einem sehr hohen Niveau, bei den 0-14-Jährigen zeigt sich ein verlässlicher Rückgang, in allen anderen Altersgruppen wohl auch, allerdings noch abhängig von Nachmeldungen, es wird hier kein steiler Anstieg mehr erwartet.</w:t>
            </w:r>
          </w:p>
          <w:p>
            <w:pPr>
              <w:pStyle w:val="Liste2"/>
              <w:numPr>
                <w:ilvl w:val="0"/>
                <w:numId w:val="10"/>
              </w:numPr>
              <w:rPr>
                <w:rStyle w:val="TagMiZchn"/>
                <w:b w:val="0"/>
                <w:i w:val="0"/>
                <w:color w:val="auto"/>
                <w:lang w:val="de-DE"/>
              </w:rPr>
            </w:pPr>
            <w:r>
              <w:rPr>
                <w:rStyle w:val="TagMiZchn"/>
                <w:b w:val="0"/>
                <w:i w:val="0"/>
                <w:color w:val="auto"/>
                <w:lang w:val="de-DE"/>
              </w:rPr>
              <w:t xml:space="preserve">SEED-ARE mit COVID </w:t>
            </w:r>
            <w:proofErr w:type="spellStart"/>
            <w:r>
              <w:rPr>
                <w:rStyle w:val="TagMiZchn"/>
                <w:b w:val="0"/>
                <w:i w:val="0"/>
                <w:color w:val="auto"/>
                <w:lang w:val="de-DE"/>
              </w:rPr>
              <w:t>Konsulationsinzidenzen</w:t>
            </w:r>
            <w:proofErr w:type="spellEnd"/>
            <w:r>
              <w:rPr>
                <w:rStyle w:val="TagMiZchn"/>
                <w:b w:val="0"/>
                <w:i w:val="0"/>
                <w:color w:val="auto"/>
                <w:lang w:val="de-DE"/>
              </w:rPr>
              <w:t xml:space="preserve">: leichter Anstieg bei allen Ü15. </w:t>
            </w:r>
          </w:p>
          <w:p>
            <w:pPr>
              <w:pStyle w:val="Liste2"/>
              <w:numPr>
                <w:ilvl w:val="0"/>
                <w:numId w:val="10"/>
              </w:numPr>
              <w:rPr>
                <w:rStyle w:val="TagMiZchn"/>
                <w:b w:val="0"/>
                <w:i w:val="0"/>
                <w:color w:val="auto"/>
                <w:lang w:val="de-DE"/>
              </w:rPr>
            </w:pPr>
            <w:r>
              <w:rPr>
                <w:rStyle w:val="TagMiZchn"/>
                <w:b w:val="0"/>
                <w:i w:val="0"/>
                <w:color w:val="auto"/>
                <w:lang w:val="de-DE"/>
              </w:rPr>
              <w:t xml:space="preserve">ICOSARI: SARI-Inzidenz: Niveau so hoch wie bei schwerer Grippewelle 2017/18. Kontinuierlicher Anstieg auf den ITS; Werte liegen allerdings noch unter den Spitzenwerten </w:t>
            </w:r>
            <w:proofErr w:type="gramStart"/>
            <w:r>
              <w:rPr>
                <w:rStyle w:val="TagMiZchn"/>
                <w:b w:val="0"/>
                <w:i w:val="0"/>
                <w:color w:val="auto"/>
                <w:lang w:val="de-DE"/>
              </w:rPr>
              <w:t>des COVID-Winter</w:t>
            </w:r>
            <w:proofErr w:type="gramEnd"/>
            <w:r>
              <w:rPr>
                <w:rStyle w:val="TagMiZchn"/>
                <w:b w:val="0"/>
                <w:i w:val="0"/>
                <w:color w:val="auto"/>
                <w:lang w:val="de-DE"/>
              </w:rPr>
              <w:t xml:space="preserve"> 2020/21. </w:t>
            </w:r>
          </w:p>
          <w:p>
            <w:pPr>
              <w:pStyle w:val="Liste2"/>
              <w:numPr>
                <w:ilvl w:val="0"/>
                <w:numId w:val="10"/>
              </w:numPr>
              <w:rPr>
                <w:rStyle w:val="TagMiZchn"/>
                <w:b w:val="0"/>
                <w:i w:val="0"/>
                <w:color w:val="auto"/>
                <w:lang w:val="de-DE"/>
              </w:rPr>
            </w:pPr>
            <w:r>
              <w:rPr>
                <w:rStyle w:val="TagMiZchn"/>
                <w:b w:val="0"/>
                <w:i w:val="0"/>
                <w:color w:val="auto"/>
                <w:lang w:val="de-DE"/>
              </w:rPr>
              <w:t xml:space="preserve">Anteil COVID-spez. Diagnosen an SARI Fällen stationär und mit ITS-Behandlung bis KW50: 11, RSV Rückgang (18%), Influenza mit höchstem Anteil (28%); bei ITS-behandelten Fällen ähnliches Bild.  </w:t>
            </w:r>
          </w:p>
          <w:p>
            <w:pPr>
              <w:pStyle w:val="Liste2"/>
              <w:numPr>
                <w:ilvl w:val="0"/>
                <w:numId w:val="10"/>
              </w:numPr>
              <w:rPr>
                <w:rStyle w:val="TagMiZchn"/>
                <w:b w:val="0"/>
                <w:i w:val="0"/>
                <w:color w:val="auto"/>
                <w:lang w:val="de-DE"/>
              </w:rPr>
            </w:pPr>
            <w:r>
              <w:rPr>
                <w:rStyle w:val="TagMiZchn"/>
                <w:b w:val="0"/>
                <w:i w:val="0"/>
                <w:color w:val="auto"/>
                <w:lang w:val="de-DE"/>
              </w:rPr>
              <w:t xml:space="preserve">Im Moment mehr SARI PatientInnen mit Influenza und RSV auf den ITS als im Vergleich zu den Vorjahren.  </w:t>
            </w:r>
          </w:p>
          <w:p>
            <w:pPr>
              <w:pStyle w:val="Liste2"/>
              <w:numPr>
                <w:ilvl w:val="0"/>
                <w:numId w:val="10"/>
              </w:numPr>
              <w:rPr>
                <w:rStyle w:val="TagMiZchn"/>
                <w:b w:val="0"/>
                <w:i w:val="0"/>
                <w:color w:val="auto"/>
                <w:lang w:val="de-DE"/>
              </w:rPr>
            </w:pPr>
            <w:r>
              <w:rPr>
                <w:rStyle w:val="TagMiZchn"/>
                <w:b w:val="0"/>
                <w:i w:val="0"/>
                <w:color w:val="auto"/>
                <w:lang w:val="de-DE"/>
              </w:rPr>
              <w:t>Influenza spielt in allen Altersgruppen eine sehr große Rolle; auf völlig neuem Niveau bei Schulkindern; Ü80: starker Anstieg zu beobachten</w:t>
            </w:r>
          </w:p>
          <w:p>
            <w:pPr>
              <w:pStyle w:val="Liste2"/>
              <w:numPr>
                <w:ilvl w:val="0"/>
                <w:numId w:val="10"/>
              </w:numPr>
              <w:rPr>
                <w:rStyle w:val="TagMiZchn"/>
                <w:b w:val="0"/>
                <w:i w:val="0"/>
                <w:color w:val="auto"/>
                <w:lang w:val="de-DE"/>
              </w:rPr>
            </w:pPr>
            <w:r>
              <w:rPr>
                <w:rStyle w:val="TagMiZchn"/>
                <w:b w:val="0"/>
                <w:i w:val="0"/>
                <w:color w:val="auto"/>
                <w:lang w:val="de-DE"/>
              </w:rPr>
              <w:t xml:space="preserve">Belastung durch SARI-COVID PatientInnen in Krankenhäusern nach wie vor hoch: 3700 neuen KH-Aufnahmen aufgrund von COVID-SARI in KW50; </w:t>
            </w:r>
          </w:p>
          <w:p>
            <w:pPr>
              <w:pStyle w:val="Liste2"/>
              <w:numPr>
                <w:ilvl w:val="0"/>
                <w:numId w:val="0"/>
              </w:numPr>
              <w:ind w:left="473"/>
              <w:rPr>
                <w:rStyle w:val="TagMiZchn"/>
                <w:b w:val="0"/>
                <w:i w:val="0"/>
                <w:color w:val="auto"/>
                <w:lang w:val="de-DE"/>
              </w:rPr>
            </w:pPr>
          </w:p>
          <w:p>
            <w:pPr>
              <w:pStyle w:val="Liste2"/>
              <w:numPr>
                <w:ilvl w:val="0"/>
                <w:numId w:val="0"/>
              </w:numPr>
              <w:ind w:left="473"/>
              <w:rPr>
                <w:lang w:val="de-DE"/>
              </w:rPr>
            </w:pPr>
            <w:r>
              <w:rPr>
                <w:b/>
                <w:lang w:val="de-DE"/>
              </w:rPr>
              <w:lastRenderedPageBreak/>
              <w:t>Darstellung der „</w:t>
            </w:r>
            <w:proofErr w:type="spellStart"/>
            <w:r>
              <w:rPr>
                <w:b/>
                <w:lang w:val="de-DE"/>
              </w:rPr>
              <w:t>GrippeWeb</w:t>
            </w:r>
            <w:proofErr w:type="spellEnd"/>
            <w:r>
              <w:rPr>
                <w:b/>
                <w:lang w:val="de-DE"/>
              </w:rPr>
              <w:t xml:space="preserve">-COVID-Inzidenz“ im </w:t>
            </w:r>
            <w:proofErr w:type="spellStart"/>
            <w:r>
              <w:rPr>
                <w:b/>
                <w:lang w:val="de-DE"/>
              </w:rPr>
              <w:t>GrippeWeb</w:t>
            </w:r>
            <w:proofErr w:type="spellEnd"/>
            <w:r>
              <w:rPr>
                <w:b/>
                <w:lang w:val="de-DE"/>
              </w:rPr>
              <w:t>-Wochenbericht, Folien</w:t>
            </w:r>
            <w:r>
              <w:rPr>
                <w:lang w:val="de-DE"/>
              </w:rPr>
              <w:t xml:space="preserve"> </w:t>
            </w:r>
            <w:hyperlink r:id="rId15" w:history="1">
              <w:r>
                <w:rPr>
                  <w:rStyle w:val="Hyperlink"/>
                  <w:lang w:val="de-DE"/>
                </w:rPr>
                <w:t>hie</w:t>
              </w:r>
              <w:r>
                <w:rPr>
                  <w:rStyle w:val="Hyperlink"/>
                  <w:lang w:val="de-DE"/>
                </w:rPr>
                <w:t>r</w:t>
              </w:r>
            </w:hyperlink>
          </w:p>
          <w:p>
            <w:pPr>
              <w:pStyle w:val="Liste2"/>
              <w:numPr>
                <w:ilvl w:val="0"/>
                <w:numId w:val="10"/>
              </w:numPr>
              <w:rPr>
                <w:lang w:val="de-DE"/>
              </w:rPr>
            </w:pPr>
            <w:r>
              <w:rPr>
                <w:lang w:val="de-DE"/>
              </w:rPr>
              <w:t>Neu: Berechnung COVID-Inzidenz: Anzahl Meldende pro Woche mit SARs-CoV2- Nachweis/Anzahl Meldender</w:t>
            </w:r>
          </w:p>
          <w:p>
            <w:pPr>
              <w:pStyle w:val="Liste2"/>
              <w:numPr>
                <w:ilvl w:val="0"/>
                <w:numId w:val="10"/>
              </w:numPr>
              <w:rPr>
                <w:lang w:val="de-DE"/>
              </w:rPr>
            </w:pPr>
            <w:r>
              <w:rPr>
                <w:lang w:val="de-DE"/>
              </w:rPr>
              <w:t xml:space="preserve">Schnelltests werden hier miterfasst </w:t>
            </w:r>
          </w:p>
          <w:p>
            <w:pPr>
              <w:pStyle w:val="Liste2"/>
              <w:numPr>
                <w:ilvl w:val="0"/>
                <w:numId w:val="10"/>
              </w:numPr>
              <w:rPr>
                <w:lang w:val="de-DE"/>
              </w:rPr>
            </w:pPr>
            <w:r>
              <w:rPr>
                <w:lang w:val="de-DE"/>
              </w:rPr>
              <w:t>Unterschied zu vorher (ohne COVID-Inzidenz) und jetzt (mit COVID-Inzidenz): 2-3-fache Inzidenzerhöhung</w:t>
            </w:r>
          </w:p>
          <w:p>
            <w:pPr>
              <w:pStyle w:val="Liste2"/>
              <w:numPr>
                <w:ilvl w:val="0"/>
                <w:numId w:val="10"/>
              </w:numPr>
              <w:rPr>
                <w:lang w:val="de-DE"/>
              </w:rPr>
            </w:pPr>
            <w:r>
              <w:rPr>
                <w:lang w:val="de-DE"/>
              </w:rPr>
              <w:t>Fragen:</w:t>
            </w:r>
          </w:p>
          <w:p>
            <w:pPr>
              <w:pStyle w:val="Liste2"/>
              <w:numPr>
                <w:ilvl w:val="0"/>
                <w:numId w:val="11"/>
              </w:numPr>
              <w:rPr>
                <w:lang w:val="de-DE"/>
              </w:rPr>
            </w:pPr>
            <w:r>
              <w:rPr>
                <w:lang w:val="de-DE"/>
              </w:rPr>
              <w:t>Ab wann soll GrippeWeb-COVID-19-Rate gezeigt werden? - Vorschlag: ab KW01/2023 ab 2. GW-Wochenbericht 2023</w:t>
            </w:r>
          </w:p>
          <w:p>
            <w:pPr>
              <w:pStyle w:val="Liste2"/>
              <w:numPr>
                <w:ilvl w:val="0"/>
                <w:numId w:val="11"/>
              </w:numPr>
              <w:rPr>
                <w:lang w:val="de-DE"/>
              </w:rPr>
            </w:pPr>
            <w:r>
              <w:rPr>
                <w:lang w:val="de-DE"/>
              </w:rPr>
              <w:t>Soll die 7-Tages-Inzidenz in derselben Abbildung gezeigt werden? - Falls ja, dauerhaft?</w:t>
            </w:r>
          </w:p>
          <w:p>
            <w:pPr>
              <w:pStyle w:val="Liste2"/>
              <w:numPr>
                <w:ilvl w:val="0"/>
                <w:numId w:val="0"/>
              </w:numPr>
              <w:ind w:left="833"/>
              <w:rPr>
                <w:lang w:val="de-DE"/>
              </w:rPr>
            </w:pPr>
            <w:r>
              <w:rPr>
                <w:lang w:val="de-DE"/>
              </w:rPr>
              <w:t xml:space="preserve">Diskussion: Abhängig von strategischer Ausrichtung (Pandemie geht dem Ende zu). Neue Abbildungen müssen kommunikativ sehr gut begleitet werden, da Fehlinterpretationen möglich; </w:t>
            </w:r>
          </w:p>
          <w:p>
            <w:pPr>
              <w:pStyle w:val="Liste2"/>
              <w:numPr>
                <w:ilvl w:val="0"/>
                <w:numId w:val="0"/>
              </w:numPr>
              <w:ind w:left="833"/>
              <w:rPr>
                <w:lang w:val="de-DE"/>
              </w:rPr>
            </w:pPr>
            <w:r>
              <w:rPr>
                <w:lang w:val="de-DE"/>
              </w:rPr>
              <w:t xml:space="preserve">Stichprobe repräsentativ? -Es wird adjustiert für BL, Altersgruppe und Geschlecht, wobei keine großen Unterschiede zu beobachten sind. </w:t>
            </w:r>
          </w:p>
          <w:p>
            <w:pPr>
              <w:pStyle w:val="Liste2"/>
              <w:numPr>
                <w:ilvl w:val="0"/>
                <w:numId w:val="0"/>
              </w:numPr>
              <w:ind w:left="833"/>
              <w:rPr>
                <w:lang w:val="de-DE"/>
              </w:rPr>
            </w:pPr>
            <w:r>
              <w:rPr>
                <w:lang w:val="de-DE"/>
              </w:rPr>
              <w:t>Vorgehen: sobald Daten maschinenlesbar verfügbar sind, Journalisten ein Hintergrundgespräch anbieten, danach Daten öffentlich bereitstellen</w:t>
            </w:r>
          </w:p>
          <w:p>
            <w:pPr>
              <w:pStyle w:val="Liste2"/>
              <w:numPr>
                <w:ilvl w:val="0"/>
                <w:numId w:val="0"/>
              </w:numPr>
              <w:ind w:left="833"/>
              <w:rPr>
                <w:lang w:val="de-DE"/>
              </w:rPr>
            </w:pPr>
            <w:r>
              <w:rPr>
                <w:highlight w:val="yellow"/>
                <w:lang w:val="de-DE"/>
              </w:rPr>
              <w:t>Es wurde keine Entscheidung, über weiteres Vorgehen und Beantwortung zu Fragen 1 und 2 getroffen. Wird auf neues Jahr verlegt.</w:t>
            </w:r>
            <w:r>
              <w:rPr>
                <w:lang w:val="de-DE"/>
              </w:rPr>
              <w:t xml:space="preserve"> </w:t>
            </w:r>
          </w:p>
          <w:p>
            <w:pPr>
              <w:pStyle w:val="Liste2"/>
              <w:numPr>
                <w:ilvl w:val="0"/>
                <w:numId w:val="0"/>
              </w:numPr>
              <w:rPr>
                <w:lang w:val="de-DE"/>
              </w:rPr>
            </w:pPr>
          </w:p>
          <w:p>
            <w:pPr>
              <w:pStyle w:val="Liste2"/>
              <w:numPr>
                <w:ilvl w:val="0"/>
                <w:numId w:val="0"/>
              </w:numPr>
              <w:rPr>
                <w:b/>
                <w:lang w:val="de-DE"/>
              </w:rPr>
            </w:pPr>
            <w:r>
              <w:rPr>
                <w:b/>
                <w:lang w:val="de-DE"/>
              </w:rPr>
              <w:t>Virologische Surveillance, NRZ Influenza-Daten</w:t>
            </w:r>
          </w:p>
          <w:p>
            <w:pPr>
              <w:pStyle w:val="Liste2"/>
              <w:numPr>
                <w:ilvl w:val="0"/>
                <w:numId w:val="0"/>
              </w:numPr>
              <w:rPr>
                <w:color w:val="000000" w:themeColor="text1"/>
                <w:lang w:val="de-DE"/>
              </w:rPr>
            </w:pPr>
            <w:r>
              <w:rPr>
                <w:color w:val="000000" w:themeColor="text1"/>
                <w:lang w:val="de-DE"/>
              </w:rPr>
              <w:t xml:space="preserve">Folien </w:t>
            </w:r>
            <w:hyperlink r:id="rId16" w:history="1">
              <w:r>
                <w:rPr>
                  <w:rStyle w:val="Hyperlink"/>
                  <w:lang w:val="de-DE"/>
                </w:rPr>
                <w:t>hier</w:t>
              </w:r>
            </w:hyperlink>
            <w:r>
              <w:rPr>
                <w:color w:val="000000" w:themeColor="text1"/>
                <w:lang w:val="de-DE"/>
              </w:rPr>
              <w:t xml:space="preserve"> (ab Folie 13)</w:t>
            </w:r>
          </w:p>
          <w:p>
            <w:pPr>
              <w:pStyle w:val="Liste2"/>
              <w:numPr>
                <w:ilvl w:val="0"/>
                <w:numId w:val="10"/>
              </w:numPr>
              <w:rPr>
                <w:rStyle w:val="TagMiZchn"/>
                <w:b w:val="0"/>
                <w:i w:val="0"/>
                <w:color w:val="000000" w:themeColor="text1"/>
                <w:lang w:val="de-DE"/>
              </w:rPr>
            </w:pPr>
            <w:r>
              <w:rPr>
                <w:rStyle w:val="TagMiZchn"/>
                <w:b w:val="0"/>
                <w:i w:val="0"/>
                <w:color w:val="000000" w:themeColor="text1"/>
                <w:lang w:val="de-DE"/>
              </w:rPr>
              <w:t xml:space="preserve">332 Proben aus 74 Arztpraxen und 14 BL eingesendet, sehr stabil und auch repräsentativ; 85% </w:t>
            </w:r>
            <w:proofErr w:type="spellStart"/>
            <w:r>
              <w:rPr>
                <w:rStyle w:val="TagMiZchn"/>
                <w:b w:val="0"/>
                <w:i w:val="0"/>
                <w:color w:val="000000" w:themeColor="text1"/>
                <w:lang w:val="de-DE"/>
              </w:rPr>
              <w:t>Positivenrate</w:t>
            </w:r>
            <w:proofErr w:type="spellEnd"/>
            <w:r>
              <w:rPr>
                <w:rStyle w:val="TagMiZchn"/>
                <w:b w:val="0"/>
                <w:i w:val="0"/>
                <w:color w:val="000000" w:themeColor="text1"/>
                <w:lang w:val="de-DE"/>
              </w:rPr>
              <w:t xml:space="preserve">; </w:t>
            </w:r>
          </w:p>
          <w:p>
            <w:pPr>
              <w:pStyle w:val="Liste2"/>
              <w:numPr>
                <w:ilvl w:val="0"/>
                <w:numId w:val="10"/>
              </w:numPr>
              <w:rPr>
                <w:rStyle w:val="TagMiZchn"/>
                <w:b w:val="0"/>
                <w:i w:val="0"/>
                <w:color w:val="000000" w:themeColor="text1"/>
                <w:lang w:val="de-DE"/>
              </w:rPr>
            </w:pPr>
            <w:r>
              <w:rPr>
                <w:rStyle w:val="TagMiZchn"/>
                <w:b w:val="0"/>
                <w:i w:val="0"/>
                <w:color w:val="000000" w:themeColor="text1"/>
                <w:lang w:val="de-DE"/>
              </w:rPr>
              <w:t xml:space="preserve">SARS-CoV2 mit 5% stabil; OC43 in KW50 bei 6%; andere Coronaviren spielen momentan keine Rolle. </w:t>
            </w:r>
          </w:p>
          <w:p>
            <w:pPr>
              <w:pStyle w:val="Liste2"/>
              <w:numPr>
                <w:ilvl w:val="0"/>
                <w:numId w:val="10"/>
              </w:numPr>
              <w:rPr>
                <w:rStyle w:val="TagMiZchn"/>
                <w:b w:val="0"/>
                <w:i w:val="0"/>
                <w:color w:val="000000" w:themeColor="text1"/>
                <w:lang w:val="de-DE"/>
              </w:rPr>
            </w:pPr>
            <w:r>
              <w:rPr>
                <w:rStyle w:val="TagMiZchn"/>
                <w:b w:val="0"/>
                <w:i w:val="0"/>
                <w:color w:val="000000" w:themeColor="text1"/>
                <w:lang w:val="de-DE"/>
              </w:rPr>
              <w:t xml:space="preserve">Influenza-Aktivität: dominiert von H3N2, Nachweisraten über 50%; leichter </w:t>
            </w:r>
            <w:proofErr w:type="spellStart"/>
            <w:r>
              <w:rPr>
                <w:rStyle w:val="TagMiZchn"/>
                <w:b w:val="0"/>
                <w:i w:val="0"/>
                <w:color w:val="000000" w:themeColor="text1"/>
                <w:lang w:val="de-DE"/>
              </w:rPr>
              <w:t>Anstieg</w:t>
            </w:r>
            <w:proofErr w:type="spellEnd"/>
            <w:r>
              <w:rPr>
                <w:rStyle w:val="TagMiZchn"/>
                <w:b w:val="0"/>
                <w:i w:val="0"/>
                <w:color w:val="000000" w:themeColor="text1"/>
                <w:lang w:val="de-DE"/>
              </w:rPr>
              <w:t xml:space="preserve"> H1N1 (3%), 2 Nachweise von B-Viktoria in KW50; </w:t>
            </w:r>
          </w:p>
          <w:p>
            <w:pPr>
              <w:pStyle w:val="Liste2"/>
              <w:numPr>
                <w:ilvl w:val="0"/>
                <w:numId w:val="10"/>
              </w:numPr>
              <w:rPr>
                <w:rStyle w:val="TagMiZchn"/>
                <w:b w:val="0"/>
                <w:i w:val="0"/>
                <w:color w:val="000000" w:themeColor="text1"/>
                <w:lang w:val="de-DE"/>
              </w:rPr>
            </w:pPr>
            <w:r>
              <w:rPr>
                <w:rStyle w:val="TagMiZchn"/>
                <w:b w:val="0"/>
                <w:i w:val="0"/>
                <w:color w:val="000000" w:themeColor="text1"/>
                <w:lang w:val="de-DE"/>
              </w:rPr>
              <w:t xml:space="preserve">Bei anderen resp. Viren dominiert RSV; Trend rückläufig; Rhino: relativ niedrig. Parainfluenza: starker Rückgang, </w:t>
            </w:r>
            <w:proofErr w:type="spellStart"/>
            <w:r>
              <w:rPr>
                <w:rStyle w:val="TagMiZchn"/>
                <w:b w:val="0"/>
                <w:i w:val="0"/>
                <w:color w:val="000000" w:themeColor="text1"/>
                <w:lang w:val="de-DE"/>
              </w:rPr>
              <w:t>hMPV</w:t>
            </w:r>
            <w:proofErr w:type="spellEnd"/>
            <w:r>
              <w:rPr>
                <w:rStyle w:val="TagMiZchn"/>
                <w:b w:val="0"/>
                <w:i w:val="0"/>
                <w:color w:val="000000" w:themeColor="text1"/>
                <w:lang w:val="de-DE"/>
              </w:rPr>
              <w:t xml:space="preserve">: schwache Aktivität. </w:t>
            </w:r>
          </w:p>
          <w:p>
            <w:pPr>
              <w:pStyle w:val="Liste2"/>
              <w:numPr>
                <w:ilvl w:val="0"/>
                <w:numId w:val="10"/>
              </w:numPr>
              <w:rPr>
                <w:rStyle w:val="TagMiZchn"/>
                <w:b w:val="0"/>
                <w:i w:val="0"/>
                <w:color w:val="000000" w:themeColor="text1"/>
                <w:lang w:val="de-DE"/>
              </w:rPr>
            </w:pPr>
            <w:r>
              <w:rPr>
                <w:rStyle w:val="TagMiZchn"/>
                <w:b w:val="0"/>
                <w:i w:val="0"/>
                <w:color w:val="000000" w:themeColor="text1"/>
                <w:lang w:val="de-DE"/>
              </w:rPr>
              <w:t>Altersgruppenverteilung über die letzten 3 Wochen: Influenza dominiert das Geschehen. Leichter Rückgang bei 5-15-Jährigen</w:t>
            </w:r>
          </w:p>
          <w:p>
            <w:pPr>
              <w:pStyle w:val="Liste2"/>
              <w:numPr>
                <w:ilvl w:val="0"/>
                <w:numId w:val="10"/>
              </w:numPr>
              <w:rPr>
                <w:rStyle w:val="TagMiZchn"/>
                <w:b w:val="0"/>
                <w:i w:val="0"/>
                <w:color w:val="000000" w:themeColor="text1"/>
                <w:lang w:val="de-DE"/>
              </w:rPr>
            </w:pPr>
            <w:r>
              <w:rPr>
                <w:rStyle w:val="TagMiZchn"/>
                <w:b w:val="0"/>
                <w:i w:val="0"/>
                <w:color w:val="000000" w:themeColor="text1"/>
                <w:lang w:val="de-DE"/>
              </w:rPr>
              <w:t>International: H1N1 Anstieg, H3N2 dominierend. B Viktoria könnte sich weiterhin entwickeln.</w:t>
            </w:r>
          </w:p>
          <w:p>
            <w:pPr>
              <w:pStyle w:val="Liste2"/>
              <w:numPr>
                <w:ilvl w:val="0"/>
                <w:numId w:val="0"/>
              </w:numPr>
              <w:ind w:left="833"/>
              <w:rPr>
                <w:rStyle w:val="TagMiZchn"/>
                <w:b w:val="0"/>
                <w:i w:val="0"/>
                <w:color w:val="000000" w:themeColor="text1"/>
                <w:lang w:val="de-DE"/>
              </w:rPr>
            </w:pPr>
          </w:p>
          <w:p>
            <w:pPr>
              <w:pStyle w:val="Liste2"/>
              <w:numPr>
                <w:ilvl w:val="0"/>
                <w:numId w:val="0"/>
              </w:numPr>
              <w:rPr>
                <w:rStyle w:val="TagMiZchn"/>
                <w:bCs/>
                <w:color w:val="000000" w:themeColor="text1"/>
              </w:rPr>
            </w:pPr>
            <w:r>
              <w:rPr>
                <w:b/>
                <w:lang w:val="de-DE"/>
              </w:rPr>
              <w:t>Zahlen zum DIVI-Intensivregister</w:t>
            </w:r>
          </w:p>
          <w:p>
            <w:pPr>
              <w:pStyle w:val="Liste2"/>
              <w:numPr>
                <w:ilvl w:val="0"/>
                <w:numId w:val="0"/>
              </w:numPr>
              <w:rPr>
                <w:rStyle w:val="TagMiZchn"/>
                <w:b w:val="0"/>
                <w:color w:val="000000" w:themeColor="text1"/>
              </w:rPr>
            </w:pPr>
            <w:proofErr w:type="spellStart"/>
            <w:r>
              <w:rPr>
                <w:rStyle w:val="TagMiZchn"/>
                <w:b w:val="0"/>
                <w:bCs/>
                <w:i w:val="0"/>
                <w:color w:val="000000" w:themeColor="text1"/>
              </w:rPr>
              <w:t>Folien</w:t>
            </w:r>
            <w:proofErr w:type="spellEnd"/>
            <w:r>
              <w:rPr>
                <w:rStyle w:val="TagMiZchn"/>
                <w:b w:val="0"/>
                <w:bCs/>
                <w:i w:val="0"/>
                <w:color w:val="000000" w:themeColor="text1"/>
              </w:rPr>
              <w:t xml:space="preserve"> </w:t>
            </w:r>
            <w:hyperlink r:id="rId17" w:history="1">
              <w:proofErr w:type="spellStart"/>
              <w:r>
                <w:rPr>
                  <w:rStyle w:val="Hyperlink"/>
                  <w:bCs/>
                </w:rPr>
                <w:t>h</w:t>
              </w:r>
              <w:r>
                <w:rPr>
                  <w:rStyle w:val="Hyperlink"/>
                  <w:bCs/>
                </w:rPr>
                <w:t>ier</w:t>
              </w:r>
              <w:proofErr w:type="spellEnd"/>
            </w:hyperlink>
            <w:r>
              <w:rPr>
                <w:rStyle w:val="TagMiZchn"/>
                <w:b w:val="0"/>
                <w:bCs/>
                <w:i w:val="0"/>
                <w:color w:val="000000" w:themeColor="text1"/>
              </w:rPr>
              <w:t xml:space="preserve"> </w:t>
            </w:r>
          </w:p>
          <w:p>
            <w:pPr>
              <w:pStyle w:val="Liste2"/>
              <w:numPr>
                <w:ilvl w:val="0"/>
                <w:numId w:val="10"/>
              </w:numPr>
              <w:rPr>
                <w:rStyle w:val="TagMiZchn"/>
                <w:b w:val="0"/>
                <w:bCs/>
                <w:i w:val="0"/>
                <w:color w:val="000000" w:themeColor="text1"/>
                <w:lang w:val="de-DE"/>
              </w:rPr>
            </w:pPr>
            <w:r>
              <w:rPr>
                <w:rStyle w:val="TagMiZchn"/>
                <w:b w:val="0"/>
                <w:bCs/>
                <w:i w:val="0"/>
                <w:color w:val="000000" w:themeColor="text1"/>
                <w:lang w:val="de-DE"/>
              </w:rPr>
              <w:t>Mit Stand 21.12.2022 werden 1.216 COVID-19-Patient*innen auf Intensivstationen (der ca. 1.300 Akutkrankenhäuser) behandelt.</w:t>
            </w:r>
          </w:p>
          <w:p>
            <w:pPr>
              <w:pStyle w:val="Liste2"/>
              <w:numPr>
                <w:ilvl w:val="0"/>
                <w:numId w:val="10"/>
              </w:numPr>
              <w:rPr>
                <w:rStyle w:val="TagMiZchn"/>
                <w:b w:val="0"/>
                <w:bCs/>
                <w:i w:val="0"/>
                <w:color w:val="000000" w:themeColor="text1"/>
                <w:lang w:val="de-DE"/>
              </w:rPr>
            </w:pPr>
            <w:r>
              <w:rPr>
                <w:rStyle w:val="TagMiZchn"/>
                <w:b w:val="0"/>
                <w:bCs/>
                <w:i w:val="0"/>
                <w:color w:val="000000" w:themeColor="text1"/>
                <w:lang w:val="de-DE"/>
              </w:rPr>
              <w:t>Erneuter Anstieg der COVID-ITS-Belegung</w:t>
            </w:r>
          </w:p>
          <w:p>
            <w:pPr>
              <w:pStyle w:val="Liste2"/>
              <w:numPr>
                <w:ilvl w:val="0"/>
                <w:numId w:val="10"/>
              </w:numPr>
              <w:rPr>
                <w:rStyle w:val="TagMiZchn"/>
                <w:b w:val="0"/>
                <w:bCs/>
                <w:i w:val="0"/>
                <w:color w:val="000000" w:themeColor="text1"/>
                <w:lang w:val="de-DE"/>
              </w:rPr>
            </w:pPr>
            <w:r>
              <w:rPr>
                <w:rStyle w:val="TagMiZchn"/>
                <w:b w:val="0"/>
                <w:bCs/>
                <w:i w:val="0"/>
                <w:color w:val="000000" w:themeColor="text1"/>
                <w:lang w:val="de-DE"/>
              </w:rPr>
              <w:lastRenderedPageBreak/>
              <w:t>ITS-COVID-Neuaufnahmen mit +1.028 in den letzten 7 Tagen; 884 vor 14 Tagen. Verstorbene: aktuell gleichbleibender Trend</w:t>
            </w:r>
          </w:p>
          <w:p>
            <w:pPr>
              <w:pStyle w:val="Liste2"/>
              <w:numPr>
                <w:ilvl w:val="0"/>
                <w:numId w:val="10"/>
              </w:numPr>
              <w:rPr>
                <w:rStyle w:val="TagMiZchn"/>
                <w:b w:val="0"/>
                <w:bCs/>
                <w:i w:val="0"/>
                <w:color w:val="000000" w:themeColor="text1"/>
                <w:lang w:val="de-DE"/>
              </w:rPr>
            </w:pPr>
            <w:r>
              <w:rPr>
                <w:rStyle w:val="TagMiZchn"/>
                <w:b w:val="0"/>
                <w:bCs/>
                <w:i w:val="0"/>
                <w:color w:val="000000" w:themeColor="text1"/>
                <w:lang w:val="de-DE"/>
              </w:rPr>
              <w:t xml:space="preserve">Behandlungsschwere: Anstieg auf über 6.000 PatientInnen seit Ende November. Gemeldete freie invasive Möglichkeiten auf einem Minimum. Anzahl freier ITS ebenfalls abnehmend; </w:t>
            </w:r>
          </w:p>
          <w:p>
            <w:pPr>
              <w:pStyle w:val="Liste2"/>
              <w:numPr>
                <w:ilvl w:val="0"/>
                <w:numId w:val="10"/>
              </w:numPr>
              <w:rPr>
                <w:rStyle w:val="TagMiZchn"/>
                <w:b w:val="0"/>
                <w:bCs/>
                <w:i w:val="0"/>
                <w:color w:val="000000" w:themeColor="text1"/>
                <w:lang w:val="de-DE"/>
              </w:rPr>
            </w:pPr>
            <w:r>
              <w:rPr>
                <w:rStyle w:val="TagMiZchn"/>
                <w:b w:val="0"/>
                <w:bCs/>
                <w:i w:val="0"/>
                <w:color w:val="000000" w:themeColor="text1"/>
                <w:lang w:val="de-DE"/>
              </w:rPr>
              <w:t>Absolute Zahlen an COVID-PatientInnen, die beatmet werden, nehmen nicht zu, es wird hingegen eine Zunahme an beatmeten Nicht-COVID PatientInnen beobachtet;</w:t>
            </w:r>
          </w:p>
          <w:p>
            <w:pPr>
              <w:pStyle w:val="Liste2"/>
              <w:numPr>
                <w:ilvl w:val="0"/>
                <w:numId w:val="10"/>
              </w:numPr>
              <w:rPr>
                <w:rStyle w:val="TagMiZchn"/>
                <w:b w:val="0"/>
                <w:bCs/>
                <w:i w:val="0"/>
                <w:color w:val="000000" w:themeColor="text1"/>
                <w:lang w:val="de-DE"/>
              </w:rPr>
            </w:pPr>
            <w:r>
              <w:rPr>
                <w:rStyle w:val="TagMiZchn"/>
                <w:b w:val="0"/>
                <w:bCs/>
                <w:i w:val="0"/>
                <w:color w:val="000000" w:themeColor="text1"/>
                <w:lang w:val="de-DE"/>
              </w:rPr>
              <w:t>Meldungen der Belastung sowie Personalmangel stark ansteigend;</w:t>
            </w:r>
          </w:p>
          <w:p>
            <w:pPr>
              <w:pStyle w:val="Liste2"/>
              <w:numPr>
                <w:ilvl w:val="0"/>
                <w:numId w:val="10"/>
              </w:numPr>
              <w:rPr>
                <w:rStyle w:val="TagMiZchn"/>
                <w:b w:val="0"/>
                <w:bCs/>
                <w:i w:val="0"/>
                <w:color w:val="000000" w:themeColor="text1"/>
                <w:lang w:val="de-DE"/>
              </w:rPr>
            </w:pPr>
            <w:r>
              <w:rPr>
                <w:rStyle w:val="TagMiZchn"/>
                <w:b w:val="0"/>
                <w:bCs/>
                <w:i w:val="0"/>
                <w:color w:val="000000" w:themeColor="text1"/>
                <w:lang w:val="de-DE"/>
              </w:rPr>
              <w:t xml:space="preserve">COVID--Altersverteilung (absolute Zahlen): Aufwärtstrend ab Ü60; </w:t>
            </w:r>
          </w:p>
          <w:p>
            <w:pPr>
              <w:pStyle w:val="Liste2"/>
              <w:numPr>
                <w:ilvl w:val="0"/>
                <w:numId w:val="10"/>
              </w:numPr>
              <w:rPr>
                <w:rStyle w:val="TagMiZchn"/>
                <w:b w:val="0"/>
                <w:bCs/>
                <w:i w:val="0"/>
                <w:color w:val="000000" w:themeColor="text1"/>
                <w:lang w:val="de-DE"/>
              </w:rPr>
            </w:pPr>
            <w:r>
              <w:rPr>
                <w:rStyle w:val="TagMiZchn"/>
                <w:b w:val="0"/>
                <w:bCs/>
                <w:i w:val="0"/>
                <w:color w:val="000000" w:themeColor="text1"/>
                <w:lang w:val="de-DE"/>
              </w:rPr>
              <w:t xml:space="preserve">Pädiatrische ITS: angespannt, freie Betten und Kapazitäten zur invasiven Beatmung nehmen weiterhin stark ab. RSV-Fälle ITS-pflichtig abnehmend, dafür nehmen Influenza-Fälle </w:t>
            </w:r>
            <w:proofErr w:type="gramStart"/>
            <w:r>
              <w:rPr>
                <w:rStyle w:val="TagMiZchn"/>
                <w:b w:val="0"/>
                <w:bCs/>
                <w:i w:val="0"/>
                <w:color w:val="000000" w:themeColor="text1"/>
                <w:lang w:val="de-DE"/>
              </w:rPr>
              <w:t>zu ;</w:t>
            </w:r>
            <w:proofErr w:type="gramEnd"/>
            <w:r>
              <w:rPr>
                <w:rStyle w:val="TagMiZchn"/>
                <w:b w:val="0"/>
                <w:bCs/>
                <w:i w:val="0"/>
                <w:color w:val="000000" w:themeColor="text1"/>
                <w:lang w:val="de-DE"/>
              </w:rPr>
              <w:t xml:space="preserve"> hier größter Mangel: Personal und Räumlichkeiten;</w:t>
            </w:r>
          </w:p>
          <w:p>
            <w:pPr>
              <w:pStyle w:val="Liste2"/>
              <w:numPr>
                <w:ilvl w:val="0"/>
                <w:numId w:val="10"/>
              </w:numPr>
              <w:rPr>
                <w:rStyle w:val="TagMiZchn"/>
                <w:b w:val="0"/>
                <w:bCs/>
                <w:color w:val="000000" w:themeColor="text1"/>
                <w:lang w:val="de-DE"/>
              </w:rPr>
            </w:pPr>
            <w:r>
              <w:rPr>
                <w:rStyle w:val="TagMiZchn"/>
                <w:b w:val="0"/>
                <w:bCs/>
                <w:i w:val="0"/>
                <w:color w:val="000000" w:themeColor="text1"/>
                <w:lang w:val="de-DE"/>
              </w:rPr>
              <w:t>COVID-Prognose für die nächsten 20 Tage; Mehr oder weniger starker Anstieg für alle Kleeblätter, für D insgesamt Seitwärtsbewegung erwartet, diese Info wurde zum letzten Mal berichtet;</w:t>
            </w:r>
          </w:p>
          <w:p>
            <w:pPr>
              <w:pStyle w:val="Liste2"/>
              <w:numPr>
                <w:ilvl w:val="0"/>
                <w:numId w:val="0"/>
              </w:numPr>
              <w:ind w:left="833"/>
              <w:rPr>
                <w:bCs/>
                <w:i/>
                <w:color w:val="000000" w:themeColor="text1"/>
                <w:lang w:val="de-DE"/>
              </w:rPr>
            </w:pPr>
          </w:p>
          <w:p>
            <w:pPr>
              <w:pStyle w:val="Liste2"/>
              <w:numPr>
                <w:ilvl w:val="0"/>
                <w:numId w:val="0"/>
              </w:numPr>
              <w:rPr>
                <w:b/>
                <w:bCs/>
                <w:i/>
                <w:color w:val="000000" w:themeColor="text1"/>
                <w:lang w:val="de-DE"/>
              </w:rPr>
            </w:pPr>
            <w:r>
              <w:rPr>
                <w:b/>
                <w:lang w:val="de-DE"/>
              </w:rPr>
              <w:t xml:space="preserve">Modellierungen </w:t>
            </w:r>
          </w:p>
          <w:p>
            <w:pPr>
              <w:pStyle w:val="Liste2"/>
              <w:numPr>
                <w:ilvl w:val="0"/>
                <w:numId w:val="0"/>
              </w:numPr>
              <w:rPr>
                <w:lang w:val="de-DE"/>
              </w:rPr>
            </w:pPr>
            <w:r>
              <w:rPr>
                <w:lang w:val="de-DE"/>
              </w:rPr>
              <w:t>Nicht berichtet</w:t>
            </w:r>
          </w:p>
          <w:p>
            <w:pPr>
              <w:pStyle w:val="Liste2"/>
              <w:numPr>
                <w:ilvl w:val="0"/>
                <w:numId w:val="0"/>
              </w:numPr>
              <w:ind w:left="833" w:hanging="360"/>
              <w:rPr>
                <w:lang w:val="de-DE"/>
              </w:rPr>
            </w:pPr>
          </w:p>
          <w:p>
            <w:pPr>
              <w:pStyle w:val="Liste2"/>
              <w:numPr>
                <w:ilvl w:val="0"/>
                <w:numId w:val="0"/>
              </w:numPr>
              <w:rPr>
                <w:b/>
                <w:lang w:val="de-DE"/>
              </w:rPr>
            </w:pPr>
            <w:r>
              <w:rPr>
                <w:b/>
                <w:lang w:val="de-DE"/>
              </w:rPr>
              <w:t>Kommentare/Ergänzungen:</w:t>
            </w:r>
          </w:p>
          <w:p>
            <w:pPr>
              <w:pStyle w:val="Liste2"/>
              <w:numPr>
                <w:ilvl w:val="0"/>
                <w:numId w:val="8"/>
              </w:numPr>
              <w:rPr>
                <w:lang w:val="de-DE"/>
              </w:rPr>
            </w:pPr>
            <w:r>
              <w:rPr>
                <w:lang w:val="de-DE"/>
              </w:rPr>
              <w:t xml:space="preserve">Es muss klar kommuniziert werden, wie wichtig die </w:t>
            </w:r>
            <w:proofErr w:type="spellStart"/>
            <w:r>
              <w:rPr>
                <w:lang w:val="de-DE"/>
              </w:rPr>
              <w:t>syndromische</w:t>
            </w:r>
            <w:proofErr w:type="spellEnd"/>
            <w:r>
              <w:rPr>
                <w:lang w:val="de-DE"/>
              </w:rPr>
              <w:t xml:space="preserve"> Surveillance für die Lageeinschätzung ist. Es kommen weiterhin Anfragen nach mehr Daten; Wenn Daten (</w:t>
            </w:r>
            <w:proofErr w:type="spellStart"/>
            <w:r>
              <w:rPr>
                <w:lang w:val="de-DE"/>
              </w:rPr>
              <w:t>u.A.</w:t>
            </w:r>
            <w:proofErr w:type="spellEnd"/>
            <w:r>
              <w:rPr>
                <w:lang w:val="de-DE"/>
              </w:rPr>
              <w:t xml:space="preserve"> für Modellierungen) angefragt werden, müssen eine konkrete Fragestellung und der Erkenntnisgewinn klar formuliert werden. Es sollte zudem darauf verwiesen werden, dass international anerkannt wird, wie qualitativ hochwertig die RKI (Sentinel)-Daten sind. </w:t>
            </w:r>
          </w:p>
          <w:p>
            <w:pPr>
              <w:pStyle w:val="Liste2"/>
              <w:numPr>
                <w:ilvl w:val="0"/>
                <w:numId w:val="0"/>
              </w:numPr>
              <w:ind w:left="720"/>
              <w:rPr>
                <w:lang w:val="de-DE"/>
              </w:rPr>
            </w:pPr>
            <w:r>
              <w:rPr>
                <w:lang w:val="de-DE"/>
              </w:rPr>
              <w:t xml:space="preserve">ARE Daten sollen maschinenlesbar zur Verfügung gestellt werden – wurde Pandemie-bedingt gestoppt. </w:t>
            </w:r>
            <w:r>
              <w:rPr>
                <w:lang w:val="de-DE"/>
              </w:rPr>
              <w:br/>
              <w:t xml:space="preserve">IT-Unterstützung bei Datenerhebung und Bereitstellung hier dringend notwendig. </w:t>
            </w: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pStyle w:val="1"/>
            </w:pPr>
            <w:r>
              <w:t>Wichtige Punkte für den Wochenbericht</w:t>
            </w:r>
          </w:p>
          <w:p>
            <w:pPr>
              <w:pStyle w:val="1"/>
              <w:numPr>
                <w:ilvl w:val="0"/>
                <w:numId w:val="8"/>
              </w:numPr>
              <w:rPr>
                <w:b w:val="0"/>
                <w:sz w:val="22"/>
                <w:szCs w:val="22"/>
              </w:rPr>
            </w:pPr>
            <w:r>
              <w:rPr>
                <w:b w:val="0"/>
                <w:sz w:val="22"/>
                <w:szCs w:val="22"/>
              </w:rPr>
              <w:t xml:space="preserve">Statische Texte im Wochenbericht zum Pandemieradar: sollten diese entfernt werden? – Ja für Anfang 2023 vorbereiten, BMG muss zuvor darüber informiert werden. </w:t>
            </w:r>
          </w:p>
          <w:p>
            <w:pPr>
              <w:pStyle w:val="1"/>
              <w:numPr>
                <w:ilvl w:val="0"/>
                <w:numId w:val="8"/>
              </w:numPr>
              <w:rPr>
                <w:b w:val="0"/>
                <w:sz w:val="22"/>
                <w:szCs w:val="22"/>
              </w:rPr>
            </w:pPr>
            <w:r>
              <w:rPr>
                <w:b w:val="0"/>
                <w:sz w:val="22"/>
                <w:szCs w:val="22"/>
              </w:rPr>
              <w:t xml:space="preserve">Tweet zu Wochenbericht: Hinweis zum Nichterscheinen des Wochenberichts in der nächsten Woche finalisiert. </w:t>
            </w:r>
          </w:p>
          <w:p>
            <w:pPr>
              <w:pStyle w:val="1"/>
              <w:rPr>
                <w:sz w:val="22"/>
                <w:szCs w:val="22"/>
              </w:rPr>
            </w:pPr>
            <w:r>
              <w:rPr>
                <w:sz w:val="22"/>
                <w:szCs w:val="22"/>
              </w:rPr>
              <w:t>Kommentare und Aufgabe:</w:t>
            </w:r>
          </w:p>
          <w:p>
            <w:pPr>
              <w:pStyle w:val="1"/>
              <w:rPr>
                <w:b w:val="0"/>
                <w:sz w:val="22"/>
                <w:szCs w:val="22"/>
              </w:rPr>
            </w:pPr>
            <w:r>
              <w:rPr>
                <w:b w:val="0"/>
                <w:sz w:val="22"/>
                <w:szCs w:val="22"/>
              </w:rPr>
              <w:t xml:space="preserve">Deutlichen Zunahme der Beatmung von Non-COVID-Fällen. </w:t>
            </w:r>
            <w:r>
              <w:rPr>
                <w:b w:val="0"/>
                <w:sz w:val="22"/>
                <w:szCs w:val="22"/>
              </w:rPr>
              <w:t>Es sollten nicht nur Einzelerreger beachtet werden. Pneumokokken Zunahme erwartet</w:t>
            </w:r>
            <w:r>
              <w:rPr>
                <w:b w:val="0"/>
                <w:sz w:val="22"/>
                <w:szCs w:val="22"/>
              </w:rPr>
              <w:t xml:space="preserve">. Wo und wie sollte diese Info verbreitet werden? – Info </w:t>
            </w:r>
            <w:r>
              <w:rPr>
                <w:b w:val="0"/>
                <w:sz w:val="22"/>
                <w:szCs w:val="22"/>
              </w:rPr>
              <w:lastRenderedPageBreak/>
              <w:t>hierzu in ersten Teil COVID-Wochenbericht mit aufnehmen! –</w:t>
            </w:r>
            <w:r>
              <w:rPr>
                <w:b w:val="0"/>
                <w:sz w:val="22"/>
                <w:szCs w:val="22"/>
                <w:highlight w:val="yellow"/>
              </w:rPr>
              <w:t xml:space="preserve">FG36 und FG37 Absprache und Weiterleitung and </w:t>
            </w:r>
            <w:proofErr w:type="spellStart"/>
            <w:r>
              <w:rPr>
                <w:b w:val="0"/>
                <w:sz w:val="22"/>
                <w:szCs w:val="22"/>
                <w:highlight w:val="yellow"/>
              </w:rPr>
              <w:t>nCov-Lage</w:t>
            </w:r>
            <w:proofErr w:type="spellEnd"/>
          </w:p>
        </w:tc>
        <w:tc>
          <w:tcPr>
            <w:tcW w:w="1463" w:type="dxa"/>
          </w:tcPr>
          <w:p>
            <w:pPr>
              <w:rPr>
                <w:sz w:val="22"/>
                <w:szCs w:val="22"/>
              </w:rPr>
            </w:pPr>
            <w:r>
              <w:rPr>
                <w:sz w:val="22"/>
                <w:szCs w:val="22"/>
              </w:rPr>
              <w:lastRenderedPageBreak/>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t>3</w:t>
            </w:r>
          </w:p>
        </w:tc>
        <w:tc>
          <w:tcPr>
            <w:tcW w:w="6824" w:type="dxa"/>
          </w:tcPr>
          <w:p>
            <w:pPr>
              <w:spacing w:line="276" w:lineRule="auto"/>
              <w:rPr>
                <w:rStyle w:val="TagFrZchn"/>
              </w:rPr>
            </w:pPr>
            <w:r>
              <w:rPr>
                <w:rStyle w:val="1Zchn"/>
              </w:rPr>
              <w:t>Update Impfen</w:t>
            </w:r>
            <w:r>
              <w:rPr>
                <w:b/>
                <w:sz w:val="28"/>
              </w:rPr>
              <w:t xml:space="preserve"> </w:t>
            </w:r>
          </w:p>
          <w:p>
            <w:pPr>
              <w:pStyle w:val="Liste1"/>
              <w:rPr>
                <w:rStyle w:val="1Zchn"/>
                <w:b w:val="0"/>
                <w:sz w:val="22"/>
              </w:rPr>
            </w:pPr>
            <w:r>
              <w:t>(nicht berichtet)</w:t>
            </w:r>
          </w:p>
        </w:tc>
        <w:tc>
          <w:tcPr>
            <w:tcW w:w="1463" w:type="dxa"/>
          </w:tcPr>
          <w:p>
            <w:pPr>
              <w:rPr>
                <w:sz w:val="22"/>
                <w:szCs w:val="22"/>
              </w:rPr>
            </w:pPr>
            <w:r>
              <w:rPr>
                <w:sz w:val="22"/>
                <w:szCs w:val="22"/>
              </w:rPr>
              <w:t>FG 33</w:t>
            </w:r>
          </w:p>
        </w:tc>
      </w:tr>
      <w:tr>
        <w:tc>
          <w:tcPr>
            <w:tcW w:w="684" w:type="dxa"/>
          </w:tcPr>
          <w:p>
            <w:pPr>
              <w:rPr>
                <w:b/>
              </w:rPr>
            </w:pPr>
            <w:r>
              <w:rPr>
                <w:b/>
              </w:rPr>
              <w:t>4</w:t>
            </w:r>
          </w:p>
        </w:tc>
        <w:tc>
          <w:tcPr>
            <w:tcW w:w="6824" w:type="dxa"/>
          </w:tcPr>
          <w:p>
            <w:pPr>
              <w:spacing w:line="276" w:lineRule="auto"/>
              <w:rPr>
                <w:rStyle w:val="TagFrZchn"/>
              </w:rPr>
            </w:pPr>
            <w:r>
              <w:rPr>
                <w:rStyle w:val="1Zchn"/>
              </w:rPr>
              <w:t>Internationales</w:t>
            </w:r>
            <w:r>
              <w:rPr>
                <w:b/>
                <w:color w:val="FF0000"/>
              </w:rPr>
              <w:t xml:space="preserve"> </w:t>
            </w:r>
          </w:p>
          <w:p>
            <w:pPr>
              <w:pStyle w:val="Liste1"/>
            </w:pPr>
            <w:r>
              <w:t>(nicht berichtet)</w:t>
            </w:r>
          </w:p>
        </w:tc>
        <w:tc>
          <w:tcPr>
            <w:tcW w:w="1463" w:type="dxa"/>
          </w:tcPr>
          <w:p>
            <w:pPr>
              <w:rPr>
                <w:sz w:val="22"/>
                <w:szCs w:val="22"/>
              </w:rPr>
            </w:pPr>
          </w:p>
          <w:p>
            <w:pPr>
              <w:rPr>
                <w:sz w:val="22"/>
                <w:szCs w:val="22"/>
              </w:rPr>
            </w:pPr>
            <w:r>
              <w:rPr>
                <w:sz w:val="22"/>
                <w:szCs w:val="22"/>
              </w:rPr>
              <w:t>ZIG</w:t>
            </w:r>
          </w:p>
        </w:tc>
      </w:tr>
      <w:tr>
        <w:tc>
          <w:tcPr>
            <w:tcW w:w="684" w:type="dxa"/>
          </w:tcPr>
          <w:p>
            <w:pPr>
              <w:rPr>
                <w:b/>
              </w:rPr>
            </w:pPr>
            <w:r>
              <w:rPr>
                <w:b/>
              </w:rPr>
              <w:t>5</w:t>
            </w:r>
          </w:p>
        </w:tc>
        <w:tc>
          <w:tcPr>
            <w:tcW w:w="6824" w:type="dxa"/>
          </w:tcPr>
          <w:p>
            <w:pPr>
              <w:spacing w:line="276" w:lineRule="auto"/>
              <w:rPr>
                <w:b/>
                <w:sz w:val="28"/>
              </w:rPr>
            </w:pPr>
            <w:r>
              <w:rPr>
                <w:rStyle w:val="1Zchn"/>
              </w:rPr>
              <w:t>Update digitale Projekte</w:t>
            </w:r>
            <w:r>
              <w:rPr>
                <w:b/>
                <w:sz w:val="28"/>
              </w:rPr>
              <w:t xml:space="preserve"> </w:t>
            </w:r>
          </w:p>
          <w:p>
            <w:pPr>
              <w:pStyle w:val="Listenabsatz"/>
              <w:numPr>
                <w:ilvl w:val="0"/>
                <w:numId w:val="8"/>
              </w:numPr>
              <w:spacing w:line="276" w:lineRule="auto"/>
              <w:rPr>
                <w:color w:val="000000" w:themeColor="text1"/>
                <w:sz w:val="22"/>
                <w:szCs w:val="22"/>
              </w:rPr>
            </w:pPr>
            <w:r>
              <w:rPr>
                <w:color w:val="000000" w:themeColor="text1"/>
                <w:sz w:val="22"/>
                <w:szCs w:val="22"/>
              </w:rPr>
              <w:t xml:space="preserve">CWA: Abkündigungsprozesse mit BMG in Bearbeitung – CWA wird offiziell zum 31.05.2023 eingestellt. </w:t>
            </w:r>
          </w:p>
          <w:p>
            <w:pPr>
              <w:pStyle w:val="Listenabsatz"/>
              <w:numPr>
                <w:ilvl w:val="0"/>
                <w:numId w:val="8"/>
              </w:numPr>
              <w:spacing w:line="276" w:lineRule="auto"/>
              <w:rPr>
                <w:color w:val="C2D69B" w:themeColor="accent3" w:themeTint="99"/>
                <w:sz w:val="22"/>
                <w:szCs w:val="22"/>
              </w:rPr>
            </w:pPr>
            <w:r>
              <w:rPr>
                <w:color w:val="000000" w:themeColor="text1"/>
                <w:sz w:val="22"/>
                <w:szCs w:val="22"/>
              </w:rPr>
              <w:t xml:space="preserve">Update Version 3.1 am 18.01erwartet: Möglichkeit mit </w:t>
            </w:r>
            <w:proofErr w:type="spellStart"/>
            <w:r>
              <w:rPr>
                <w:color w:val="000000" w:themeColor="text1"/>
                <w:sz w:val="22"/>
                <w:szCs w:val="22"/>
              </w:rPr>
              <w:t>Selbstests</w:t>
            </w:r>
            <w:proofErr w:type="spellEnd"/>
            <w:r>
              <w:rPr>
                <w:color w:val="000000" w:themeColor="text1"/>
                <w:sz w:val="22"/>
                <w:szCs w:val="22"/>
              </w:rPr>
              <w:t xml:space="preserve"> andere zu warnen</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6</w:t>
            </w:r>
          </w:p>
        </w:tc>
        <w:tc>
          <w:tcPr>
            <w:tcW w:w="6824" w:type="dxa"/>
          </w:tcPr>
          <w:p>
            <w:pPr>
              <w:pStyle w:val="1"/>
            </w:pPr>
            <w:r>
              <w:t>Aktuelle Risikobewertung</w:t>
            </w:r>
          </w:p>
          <w:p>
            <w:pPr>
              <w:pStyle w:val="Liste2"/>
            </w:pPr>
            <w:proofErr w:type="spellStart"/>
            <w:r>
              <w:t>Verschoben</w:t>
            </w:r>
            <w:proofErr w:type="spellEnd"/>
            <w:r>
              <w:t xml:space="preserve"> auf 2023</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7</w:t>
            </w:r>
          </w:p>
        </w:tc>
        <w:tc>
          <w:tcPr>
            <w:tcW w:w="6824" w:type="dxa"/>
          </w:tcPr>
          <w:p>
            <w:pPr>
              <w:pStyle w:val="1"/>
            </w:pPr>
            <w:r>
              <w:t xml:space="preserve">Expertenbeirat </w:t>
            </w:r>
            <w:r>
              <w:rPr>
                <w:i/>
                <w:color w:val="95B3D7" w:themeColor="accent1" w:themeTint="99"/>
                <w:sz w:val="20"/>
              </w:rPr>
              <w:t>(Treffen alle 4 Wochen)</w:t>
            </w:r>
          </w:p>
          <w:p>
            <w:pPr>
              <w:pStyle w:val="Liste1"/>
            </w:pPr>
            <w:r>
              <w:t>Stellungnahe im Hinblick auf Gesamt-Atemwegsinfektionslage geplant. Entwurf sollte letzte Woche zirkuliert werden; es war geplant, Abschnitte aus ARE Wochenbericht zu übernehmen;</w:t>
            </w:r>
          </w:p>
          <w:p>
            <w:pPr>
              <w:pStyle w:val="Liste1"/>
            </w:pPr>
            <w:r>
              <w:t>Expertenrat wird weitergeführt. Fachliche Ausrichtung wurde bisher</w:t>
            </w:r>
            <w:proofErr w:type="spellStart"/>
            <w:r>
              <w:t xml:space="preserve"> </w:t>
            </w:r>
            <w:proofErr w:type="spellEnd"/>
            <w:r>
              <w:t xml:space="preserve">nicht diskutiert. </w:t>
            </w:r>
          </w:p>
        </w:tc>
        <w:tc>
          <w:tcPr>
            <w:tcW w:w="1463" w:type="dxa"/>
          </w:tcPr>
          <w:p>
            <w:pPr>
              <w:rPr>
                <w:sz w:val="22"/>
                <w:szCs w:val="22"/>
              </w:rPr>
            </w:pPr>
            <w:r>
              <w:rPr>
                <w:sz w:val="22"/>
                <w:szCs w:val="22"/>
              </w:rPr>
              <w:t>Wieler</w:t>
            </w:r>
          </w:p>
        </w:tc>
      </w:tr>
      <w:tr>
        <w:trPr>
          <w:trHeight w:val="518"/>
        </w:trPr>
        <w:tc>
          <w:tcPr>
            <w:tcW w:w="684" w:type="dxa"/>
          </w:tcPr>
          <w:p>
            <w:pPr>
              <w:rPr>
                <w:b/>
              </w:rPr>
            </w:pPr>
            <w:r>
              <w:rPr>
                <w:b/>
              </w:rPr>
              <w:t>8</w:t>
            </w:r>
          </w:p>
        </w:tc>
        <w:tc>
          <w:tcPr>
            <w:tcW w:w="6824" w:type="dxa"/>
          </w:tcPr>
          <w:p>
            <w:pPr>
              <w:pStyle w:val="1"/>
            </w:pPr>
            <w:r>
              <w:t>Kommunikation</w:t>
            </w:r>
          </w:p>
          <w:p>
            <w:pPr>
              <w:pStyle w:val="2"/>
            </w:pPr>
            <w:r>
              <w:t>BZgA</w:t>
            </w:r>
          </w:p>
          <w:p>
            <w:pPr>
              <w:pStyle w:val="Liste1"/>
            </w:pPr>
            <w:r>
              <w:t xml:space="preserve">Einige Aktivitäten zu sonstigen Atemwegserregern, Erregersteckbrief RSV publiziert; Mailing hier an GÄ und Kitaträger erfolgt, zudem Verbreitung über </w:t>
            </w:r>
            <w:proofErr w:type="spellStart"/>
            <w:r>
              <w:t>Social</w:t>
            </w:r>
            <w:proofErr w:type="spellEnd"/>
            <w:r>
              <w:t xml:space="preserve"> Media. </w:t>
            </w:r>
          </w:p>
          <w:p>
            <w:pPr>
              <w:pStyle w:val="Liste1"/>
            </w:pPr>
            <w:r>
              <w:t xml:space="preserve">Scharlach wird thematisiert, Erregersteckbrief hierzu liegt bereits vor. </w:t>
            </w:r>
          </w:p>
          <w:p>
            <w:pPr>
              <w:pStyle w:val="Liste1"/>
              <w:numPr>
                <w:ilvl w:val="0"/>
                <w:numId w:val="0"/>
              </w:numPr>
              <w:ind w:left="473" w:hanging="360"/>
            </w:pPr>
          </w:p>
          <w:p>
            <w:pPr>
              <w:pStyle w:val="2"/>
            </w:pPr>
            <w:r>
              <w:t>Presse</w:t>
            </w:r>
          </w:p>
          <w:p>
            <w:pPr>
              <w:pStyle w:val="Liste1"/>
            </w:pPr>
            <w:r>
              <w:t>Disclaimer zu Berichterstattung über Feiertage wurde von verschiedenen FG kommentiert und wird heute an BMG versendet;</w:t>
            </w:r>
          </w:p>
          <w:p>
            <w:pPr>
              <w:pStyle w:val="Liste1"/>
            </w:pPr>
            <w:r>
              <w:t xml:space="preserve">Frage: welche Datentabellen werden zwischen den Feiertagen aktualisiert – Info für Datenjournalisten? Wochenberichtstabellen sind nicht verfügbar; Zur Verfügung stehen: Daten Pandemieradar, sowie tägliche Daten COVID-Dashboard, </w:t>
            </w:r>
          </w:p>
          <w:p>
            <w:pPr>
              <w:pStyle w:val="2"/>
            </w:pPr>
            <w:r>
              <w:t>P1</w:t>
            </w:r>
          </w:p>
          <w:p>
            <w:pPr>
              <w:pStyle w:val="Liste1"/>
              <w:numPr>
                <w:ilvl w:val="0"/>
                <w:numId w:val="0"/>
              </w:numPr>
              <w:ind w:left="113"/>
              <w:rPr>
                <w:i/>
              </w:rPr>
            </w:pPr>
            <w:r>
              <w:t>Nicht berichtet</w:t>
            </w:r>
          </w:p>
        </w:tc>
        <w:tc>
          <w:tcPr>
            <w:tcW w:w="1463"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BZgA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tc>
      </w:tr>
      <w:tr>
        <w:tc>
          <w:tcPr>
            <w:tcW w:w="684" w:type="dxa"/>
          </w:tcPr>
          <w:p>
            <w:pPr>
              <w:rPr>
                <w:b/>
              </w:rPr>
            </w:pPr>
            <w:r>
              <w:rPr>
                <w:b/>
              </w:rPr>
              <w:t>9</w:t>
            </w:r>
          </w:p>
        </w:tc>
        <w:tc>
          <w:tcPr>
            <w:tcW w:w="6824" w:type="dxa"/>
          </w:tcPr>
          <w:p>
            <w:pPr>
              <w:pStyle w:val="1"/>
            </w:pPr>
            <w:r>
              <w:t>RKI-Strategie Fragen</w:t>
            </w:r>
          </w:p>
          <w:p>
            <w:pPr>
              <w:pStyle w:val="2"/>
            </w:pPr>
            <w:r>
              <w:t>Allgemein</w:t>
            </w:r>
          </w:p>
          <w:p>
            <w:pPr>
              <w:pStyle w:val="2"/>
            </w:pPr>
            <w:r>
              <w:lastRenderedPageBreak/>
              <w:t>•</w:t>
            </w:r>
            <w:r>
              <w:tab/>
              <w:t>Durchsicht von Agenden/Protokollen des Krisenstabs</w:t>
            </w:r>
          </w:p>
          <w:p>
            <w:pPr>
              <w:pStyle w:val="2"/>
              <w:rPr>
                <w:b w:val="0"/>
                <w:sz w:val="22"/>
                <w:szCs w:val="22"/>
              </w:rPr>
            </w:pPr>
            <w:r>
              <w:rPr>
                <w:b w:val="0"/>
                <w:sz w:val="22"/>
                <w:szCs w:val="22"/>
              </w:rPr>
              <w:t>Es wurde eine Anfrage nach dem Informationsfreiheitsgesetz (IFG) gestellt, die die Herausgabe von Lage-Protokollen fordert, und zu einem Prozess beim Verwaltungsgericht Berlin geführt hat. 233 Protokolle von Anfang 2020 bis April 2021 müssen gesichtet werden und evtl. herausgegeben. Diese werden vorab von einer Gruppe von Personen am RKI geprüft und diverse Passagen nach vereinbarten Kriterien (z.B. personenbezogene oder vertrauliche Daten, Beratungsgeheimnis, Drittbeteiligung, Sicherheitsrisiko, u.a.) geschwärzt.</w:t>
            </w:r>
            <w:r>
              <w:rPr>
                <w:b w:val="0"/>
                <w:sz w:val="22"/>
                <w:szCs w:val="22"/>
              </w:rPr>
              <w:t xml:space="preserve"> FG31 hatte Unterstützung aus allen Abteilungen erbeten.</w:t>
            </w:r>
          </w:p>
          <w:p>
            <w:pPr>
              <w:pStyle w:val="Liste1"/>
              <w:rPr>
                <w:highlight w:val="yellow"/>
              </w:rPr>
            </w:pPr>
            <w:proofErr w:type="spellStart"/>
            <w:r>
              <w:rPr>
                <w:highlight w:val="yellow"/>
              </w:rPr>
              <w:t>To</w:t>
            </w:r>
            <w:proofErr w:type="spellEnd"/>
            <w:r>
              <w:rPr>
                <w:highlight w:val="yellow"/>
              </w:rPr>
              <w:t xml:space="preserve"> Do. Bei FG31 melden, falls Vakanzen über Feiertage zur Unterstützung bei Durchsicht bestehen;</w:t>
            </w:r>
          </w:p>
          <w:p>
            <w:pPr>
              <w:pStyle w:val="2"/>
              <w:rPr>
                <w:i/>
              </w:rPr>
            </w:pPr>
            <w:r>
              <w:t>RKI-intern</w:t>
            </w:r>
          </w:p>
          <w:p>
            <w:pPr>
              <w:pStyle w:val="Liste1"/>
              <w:rPr>
                <w:b/>
              </w:rPr>
            </w:pPr>
            <w:r>
              <w:rPr>
                <w:b/>
              </w:rPr>
              <w:t xml:space="preserve">Evaluierung der COVID-19 Pandemie und Berichterstattung, s. Bericht aus Großbritannien (Chris </w:t>
            </w:r>
            <w:proofErr w:type="spellStart"/>
            <w:r>
              <w:rPr>
                <w:b/>
              </w:rPr>
              <w:t>Whitty</w:t>
            </w:r>
            <w:proofErr w:type="spellEnd"/>
            <w:r>
              <w:rPr>
                <w:b/>
              </w:rPr>
              <w:t xml:space="preserve"> et al), Email nCoV-Lage 07.12.2022 um 13:41</w:t>
            </w:r>
          </w:p>
          <w:p>
            <w:pPr>
              <w:pStyle w:val="Liste1"/>
              <w:numPr>
                <w:ilvl w:val="0"/>
                <w:numId w:val="8"/>
              </w:numPr>
            </w:pPr>
            <w:r>
              <w:t>Sollten wir einen inhaltlich ähnlichen Bericht verfassen?</w:t>
            </w:r>
          </w:p>
          <w:p>
            <w:pPr>
              <w:pStyle w:val="Liste1"/>
              <w:numPr>
                <w:ilvl w:val="0"/>
                <w:numId w:val="8"/>
              </w:numPr>
            </w:pPr>
            <w:r>
              <w:t xml:space="preserve">Evaluationen auf kleineren Ebenden laufen bereits </w:t>
            </w:r>
          </w:p>
          <w:p>
            <w:pPr>
              <w:pStyle w:val="Liste1"/>
              <w:numPr>
                <w:ilvl w:val="0"/>
                <w:numId w:val="8"/>
              </w:numPr>
            </w:pPr>
            <w:r>
              <w:t xml:space="preserve">After </w:t>
            </w:r>
            <w:r>
              <w:t>A</w:t>
            </w:r>
            <w:r>
              <w:t xml:space="preserve">ction </w:t>
            </w:r>
            <w:r>
              <w:t>R</w:t>
            </w:r>
            <w:r>
              <w:t xml:space="preserve">eview </w:t>
            </w:r>
            <w:r>
              <w:t xml:space="preserve">mit kurzer </w:t>
            </w:r>
            <w:proofErr w:type="spellStart"/>
            <w:r>
              <w:t>Lessons</w:t>
            </w:r>
            <w:proofErr w:type="spellEnd"/>
            <w:r>
              <w:t xml:space="preserve"> </w:t>
            </w:r>
            <w:proofErr w:type="spellStart"/>
            <w:r>
              <w:t>Learned</w:t>
            </w:r>
            <w:proofErr w:type="spellEnd"/>
            <w:r>
              <w:t xml:space="preserve"> </w:t>
            </w:r>
            <w:r>
              <w:t xml:space="preserve">von </w:t>
            </w:r>
            <w:r>
              <w:t>S</w:t>
            </w:r>
            <w:r>
              <w:t xml:space="preserve">eiten sollte </w:t>
            </w:r>
            <w:r>
              <w:t xml:space="preserve">mit ausgewählten Partnern </w:t>
            </w:r>
            <w:r>
              <w:t xml:space="preserve">erfolgen. </w:t>
            </w:r>
            <w:r>
              <w:t>Ansicht der technischen Krisenreaktion und Outputs</w:t>
            </w:r>
            <w:r>
              <w:t xml:space="preserve"> </w:t>
            </w:r>
            <w:r>
              <w:t>(relevante Dokumente) aufzeigen; Kollateralschäden (nicht nur Infektionsschutz) mit einbeziehen; - Anfang 2023 damit beginnen, zunächst ohne externe Beteiligung.</w:t>
            </w:r>
          </w:p>
          <w:p>
            <w:pPr>
              <w:pStyle w:val="Liste1"/>
              <w:numPr>
                <w:ilvl w:val="0"/>
                <w:numId w:val="8"/>
              </w:numPr>
            </w:pPr>
            <w:r>
              <w:t>Gesamtevaluation der Response in D wäre wünschenswert, kein RKI Mandat</w:t>
            </w:r>
          </w:p>
          <w:p>
            <w:pPr>
              <w:pStyle w:val="Liste1"/>
              <w:numPr>
                <w:ilvl w:val="0"/>
                <w:numId w:val="0"/>
              </w:numPr>
            </w:pPr>
          </w:p>
          <w:p>
            <w:pPr>
              <w:pStyle w:val="Liste1"/>
              <w:rPr>
                <w:b/>
              </w:rPr>
            </w:pPr>
            <w:r>
              <w:rPr>
                <w:b/>
              </w:rPr>
              <w:t xml:space="preserve">Vorstellung des Berichts „Zusammenfassung der </w:t>
            </w:r>
            <w:proofErr w:type="spellStart"/>
            <w:r>
              <w:rPr>
                <w:b/>
              </w:rPr>
              <w:t>Effektivit</w:t>
            </w:r>
            <w:proofErr w:type="spellEnd"/>
            <w:r>
              <w:rPr>
                <w:b/>
              </w:rPr>
              <w:t xml:space="preserve"> nichtpharmazeutischer Interventionen zur </w:t>
            </w:r>
            <w:proofErr w:type="spellStart"/>
            <w:r>
              <w:rPr>
                <w:b/>
              </w:rPr>
              <w:t>Eindammung</w:t>
            </w:r>
            <w:proofErr w:type="spellEnd"/>
            <w:r>
              <w:rPr>
                <w:b/>
              </w:rPr>
              <w:t xml:space="preserve"> der COVID-19 Pandemie“</w:t>
            </w:r>
          </w:p>
          <w:p>
            <w:pPr>
              <w:pStyle w:val="Liste1"/>
              <w:numPr>
                <w:ilvl w:val="0"/>
                <w:numId w:val="0"/>
              </w:numPr>
              <w:ind w:left="473"/>
            </w:pPr>
            <w:r>
              <w:t xml:space="preserve">Folien </w:t>
            </w:r>
            <w:hyperlink r:id="rId18" w:history="1">
              <w:r>
                <w:rPr>
                  <w:rStyle w:val="Hyperlink"/>
                </w:rPr>
                <w:t>hier</w:t>
              </w:r>
            </w:hyperlink>
            <w:r>
              <w:t xml:space="preserve"> und </w:t>
            </w:r>
            <w:hyperlink r:id="rId19" w:history="1">
              <w:r>
                <w:rPr>
                  <w:rStyle w:val="Hyperlink"/>
                </w:rPr>
                <w:t>hier</w:t>
              </w:r>
            </w:hyperlink>
          </w:p>
          <w:p>
            <w:pPr>
              <w:pStyle w:val="Liste1"/>
              <w:numPr>
                <w:ilvl w:val="0"/>
                <w:numId w:val="8"/>
              </w:numPr>
            </w:pPr>
            <w:r>
              <w:t>Übersichtsarbeit Brockmann, noch nicht publiziert (auch kein Preprint), liegt dem BMG aber bereits vor – hausinterner Dienstweg sollte hier beachtet werden</w:t>
            </w:r>
          </w:p>
          <w:p>
            <w:pPr>
              <w:pStyle w:val="Liste1"/>
              <w:numPr>
                <w:ilvl w:val="0"/>
                <w:numId w:val="8"/>
              </w:numPr>
            </w:pPr>
            <w:r>
              <w:t xml:space="preserve">Es wurden nur Reviews verwendet und systematisiert, </w:t>
            </w:r>
          </w:p>
          <w:p>
            <w:pPr>
              <w:pStyle w:val="Liste1"/>
              <w:numPr>
                <w:ilvl w:val="0"/>
                <w:numId w:val="8"/>
              </w:numPr>
            </w:pPr>
            <w:r>
              <w:t>9 Review-Artikel, inkl. eines RKI-inhouse Artikels wurden herausgefiltert</w:t>
            </w:r>
          </w:p>
          <w:p>
            <w:pPr>
              <w:pStyle w:val="Liste1"/>
              <w:numPr>
                <w:ilvl w:val="0"/>
                <w:numId w:val="8"/>
              </w:numPr>
            </w:pPr>
            <w:r>
              <w:t>Primärquellen aus Reviews wurden unter bestimmten Kriterien angeschaut mit restriktiv starkem Filter.</w:t>
            </w:r>
          </w:p>
          <w:p>
            <w:pPr>
              <w:pStyle w:val="Liste1"/>
              <w:numPr>
                <w:ilvl w:val="0"/>
                <w:numId w:val="8"/>
              </w:numPr>
            </w:pPr>
            <w:r>
              <w:t xml:space="preserve">Primärquellen wurden den einzelnen NPIs zugeordnet (9 Gruppen). </w:t>
            </w:r>
          </w:p>
          <w:p>
            <w:pPr>
              <w:pStyle w:val="Liste1"/>
              <w:numPr>
                <w:ilvl w:val="0"/>
                <w:numId w:val="8"/>
              </w:numPr>
            </w:pPr>
            <w:r>
              <w:t>Ergebnisse, siehe Folie 3</w:t>
            </w:r>
          </w:p>
          <w:p>
            <w:pPr>
              <w:pStyle w:val="Liste1"/>
              <w:numPr>
                <w:ilvl w:val="0"/>
                <w:numId w:val="0"/>
              </w:numPr>
              <w:ind w:left="720"/>
            </w:pPr>
          </w:p>
          <w:p>
            <w:pPr>
              <w:pStyle w:val="Liste1"/>
              <w:numPr>
                <w:ilvl w:val="0"/>
                <w:numId w:val="0"/>
              </w:numPr>
              <w:ind w:left="473"/>
              <w:rPr>
                <w:b/>
              </w:rPr>
            </w:pPr>
            <w:r>
              <w:rPr>
                <w:b/>
              </w:rPr>
              <w:t>Fragen/Feedback</w:t>
            </w:r>
          </w:p>
          <w:p>
            <w:pPr>
              <w:pStyle w:val="Liste1"/>
              <w:numPr>
                <w:ilvl w:val="0"/>
                <w:numId w:val="8"/>
              </w:numPr>
            </w:pPr>
            <w:r>
              <w:t xml:space="preserve">Testkapazitäten und Testungen sollten von Interventionen getrennt werden; andere Interventionen haben eher direkte Effekte; dieser Punkt sollte in der Einleitung nochmal </w:t>
            </w:r>
            <w:r>
              <w:lastRenderedPageBreak/>
              <w:t>aufgegriffen werden. Maßnahmen und Effektstärken sollten unterschiedlich bewertet werden.</w:t>
            </w:r>
          </w:p>
          <w:p>
            <w:pPr>
              <w:pStyle w:val="Liste1"/>
              <w:numPr>
                <w:ilvl w:val="0"/>
                <w:numId w:val="8"/>
              </w:numPr>
            </w:pPr>
            <w:r>
              <w:t xml:space="preserve">R-Wert Effekt der Maßnahmen betrachtet; eine wesentliche Zielgröße sollte sein: Effekt der Maßnahme auf Anzahl von Ausbrüchen? Effekt auf Zahl der Hospitalisierten und Todesfälle? - </w:t>
            </w:r>
            <w:r>
              <w:t>von Pr</w:t>
            </w:r>
            <w:r>
              <w:t>i</w:t>
            </w:r>
            <w:r>
              <w:t>märquelle ab</w:t>
            </w:r>
            <w:r>
              <w:t>hängig, hier</w:t>
            </w:r>
            <w:r>
              <w:t xml:space="preserve"> oft auf R</w:t>
            </w:r>
            <w:r>
              <w:t xml:space="preserve">- Reduktion fokussiert; sofern Einfluss auf 7TI, Mortalität oder Hospitalisierung betrachtet, wurde dies auch angegeben. </w:t>
            </w:r>
          </w:p>
          <w:p>
            <w:pPr>
              <w:pStyle w:val="Liste1"/>
              <w:numPr>
                <w:ilvl w:val="0"/>
                <w:numId w:val="8"/>
              </w:numPr>
            </w:pPr>
            <w:r>
              <w:t xml:space="preserve">Effektivität Contact </w:t>
            </w:r>
            <w:proofErr w:type="spellStart"/>
            <w:r>
              <w:t>Tarcing</w:t>
            </w:r>
            <w:proofErr w:type="spellEnd"/>
            <w:r>
              <w:t xml:space="preserve">:  Review hierzu von ZIG gerade eingereicht; Beobachtungsstudien sowie </w:t>
            </w:r>
            <w:proofErr w:type="spellStart"/>
            <w:r>
              <w:t>math.</w:t>
            </w:r>
            <w:proofErr w:type="spellEnd"/>
            <w:r>
              <w:t xml:space="preserve"> Modellierungen betrachtet; Effekt war zu beobachten: Kontaktaufnahmen ZIG mit P4 hierzu;</w:t>
            </w:r>
          </w:p>
          <w:p>
            <w:pPr>
              <w:pStyle w:val="Liste1"/>
              <w:numPr>
                <w:ilvl w:val="0"/>
                <w:numId w:val="8"/>
              </w:numPr>
            </w:pPr>
            <w:r>
              <w:t xml:space="preserve">Wurden verschiedene Phasen der </w:t>
            </w:r>
            <w:proofErr w:type="spellStart"/>
            <w:r>
              <w:t>Pandmie</w:t>
            </w:r>
            <w:proofErr w:type="spellEnd"/>
            <w:r>
              <w:t xml:space="preserve"> untersucht? –Auf Anfangsphase der Pandemie hauptsächlich bezogen;</w:t>
            </w:r>
          </w:p>
          <w:p>
            <w:pPr>
              <w:pStyle w:val="Liste1"/>
              <w:numPr>
                <w:ilvl w:val="0"/>
                <w:numId w:val="8"/>
              </w:numPr>
            </w:pPr>
            <w:r>
              <w:t>Berücksichtigung digitaler Tools? – Nur wenn hierfür Publikationen vorlagen</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lang w:val="en-GB"/>
              </w:rPr>
            </w:pPr>
          </w:p>
          <w:p>
            <w:pPr>
              <w:rPr>
                <w:sz w:val="22"/>
                <w:szCs w:val="22"/>
                <w:lang w:val="en-GB"/>
              </w:rPr>
            </w:pPr>
          </w:p>
          <w:p>
            <w:pPr>
              <w:rPr>
                <w:sz w:val="22"/>
                <w:szCs w:val="22"/>
                <w:lang w:val="en-GB"/>
              </w:rPr>
            </w:pPr>
          </w:p>
          <w:p>
            <w:pPr>
              <w:rPr>
                <w:sz w:val="22"/>
                <w:szCs w:val="22"/>
                <w:lang w:val="en-GB"/>
              </w:rPr>
            </w:pPr>
            <w:proofErr w:type="spellStart"/>
            <w:r>
              <w:rPr>
                <w:sz w:val="22"/>
                <w:szCs w:val="22"/>
                <w:lang w:val="en-GB"/>
              </w:rPr>
              <w:lastRenderedPageBreak/>
              <w:t>Alle</w:t>
            </w:r>
            <w:proofErr w:type="spellEnd"/>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roofErr w:type="spellStart"/>
            <w:r>
              <w:rPr>
                <w:sz w:val="22"/>
                <w:szCs w:val="22"/>
                <w:lang w:val="en-GB"/>
              </w:rPr>
              <w:t>Alle</w:t>
            </w:r>
            <w:proofErr w:type="spellEnd"/>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r>
              <w:rPr>
                <w:sz w:val="22"/>
                <w:szCs w:val="22"/>
                <w:lang w:val="en-GB"/>
              </w:rPr>
              <w:t xml:space="preserve">P4 </w:t>
            </w:r>
            <w:r>
              <w:rPr>
                <w:sz w:val="22"/>
                <w:szCs w:val="22"/>
                <w:lang w:val="en-GB"/>
              </w:rPr>
              <w:br/>
            </w: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bookmarkStart w:id="1" w:name="_GoBack"/>
            <w:bookmarkEnd w:id="1"/>
          </w:p>
          <w:p>
            <w:pPr>
              <w:rPr>
                <w:sz w:val="22"/>
                <w:szCs w:val="22"/>
                <w:lang w:val="en-GB"/>
              </w:rPr>
            </w:pPr>
          </w:p>
          <w:p>
            <w:pPr>
              <w:rPr>
                <w:sz w:val="22"/>
                <w:szCs w:val="22"/>
                <w:lang w:val="en-GB"/>
              </w:rPr>
            </w:pPr>
          </w:p>
          <w:p>
            <w:pPr>
              <w:rPr>
                <w:sz w:val="22"/>
                <w:szCs w:val="22"/>
                <w:lang w:val="en-GB"/>
              </w:rPr>
            </w:pPr>
            <w:proofErr w:type="spellStart"/>
            <w:r>
              <w:rPr>
                <w:sz w:val="22"/>
                <w:szCs w:val="22"/>
                <w:lang w:val="en-GB"/>
              </w:rPr>
              <w:t>Alle</w:t>
            </w:r>
            <w:proofErr w:type="spellEnd"/>
          </w:p>
        </w:tc>
      </w:tr>
      <w:tr>
        <w:tc>
          <w:tcPr>
            <w:tcW w:w="684" w:type="dxa"/>
          </w:tcPr>
          <w:p>
            <w:pPr>
              <w:rPr>
                <w:b/>
              </w:rPr>
            </w:pPr>
            <w:r>
              <w:rPr>
                <w:b/>
              </w:rPr>
              <w:lastRenderedPageBreak/>
              <w:t>10</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11</w:t>
            </w:r>
          </w:p>
        </w:tc>
        <w:tc>
          <w:tcPr>
            <w:tcW w:w="6824" w:type="dxa"/>
          </w:tcPr>
          <w:p>
            <w:pPr>
              <w:pStyle w:val="1"/>
            </w:pPr>
            <w:r>
              <w:t>Labordiagnostik</w:t>
            </w:r>
          </w:p>
          <w:p>
            <w:pPr>
              <w:pStyle w:val="2"/>
              <w:rPr>
                <w:b w:val="0"/>
                <w:sz w:val="22"/>
                <w:szCs w:val="22"/>
              </w:rPr>
            </w:pPr>
            <w:r>
              <w:rPr>
                <w:b w:val="0"/>
                <w:sz w:val="22"/>
                <w:szCs w:val="22"/>
              </w:rPr>
              <w:t>Nicht berichtet, virologische Surveillance: Punkt 1 (Nationales)</w:t>
            </w:r>
          </w:p>
        </w:tc>
        <w:tc>
          <w:tcPr>
            <w:tcW w:w="1463" w:type="dxa"/>
          </w:tcPr>
          <w:p>
            <w:pPr>
              <w:rPr>
                <w:sz w:val="22"/>
                <w:szCs w:val="22"/>
              </w:rPr>
            </w:pPr>
          </w:p>
          <w:p>
            <w:pPr>
              <w:rPr>
                <w:sz w:val="22"/>
                <w:szCs w:val="22"/>
              </w:rPr>
            </w:pPr>
            <w:r>
              <w:rPr>
                <w:sz w:val="22"/>
                <w:szCs w:val="22"/>
              </w:rPr>
              <w:t xml:space="preserve">FG17 </w:t>
            </w:r>
            <w:r>
              <w:rPr>
                <w:sz w:val="22"/>
                <w:szCs w:val="22"/>
              </w:rPr>
              <w:br/>
            </w:r>
          </w:p>
        </w:tc>
      </w:tr>
      <w:tr>
        <w:tc>
          <w:tcPr>
            <w:tcW w:w="684" w:type="dxa"/>
          </w:tcPr>
          <w:p>
            <w:pPr>
              <w:rPr>
                <w:b/>
              </w:rPr>
            </w:pPr>
            <w:r>
              <w:rPr>
                <w:b/>
              </w:rPr>
              <w:t>12</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13</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14</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15</w:t>
            </w:r>
          </w:p>
        </w:tc>
        <w:tc>
          <w:tcPr>
            <w:tcW w:w="6824" w:type="dxa"/>
          </w:tcPr>
          <w:p>
            <w:pPr>
              <w:spacing w:after="120" w:line="276" w:lineRule="auto"/>
              <w:rPr>
                <w:b/>
                <w:sz w:val="28"/>
              </w:rPr>
            </w:pPr>
            <w:r>
              <w:rPr>
                <w:rStyle w:val="1Zchn"/>
              </w:rPr>
              <w:t>Transport und Grenzübergangsstellen</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t>16</w:t>
            </w:r>
          </w:p>
        </w:tc>
        <w:tc>
          <w:tcPr>
            <w:tcW w:w="6824" w:type="dxa"/>
          </w:tcPr>
          <w:p>
            <w:pPr>
              <w:spacing w:line="276" w:lineRule="auto"/>
              <w:rPr>
                <w:rStyle w:val="TagFrZchn"/>
              </w:rPr>
            </w:pPr>
            <w:r>
              <w:rPr>
                <w:rStyle w:val="1Zchn"/>
              </w:rPr>
              <w:t>Information aus der Koordinierungsstelle</w:t>
            </w:r>
            <w:r>
              <w:rPr>
                <w:b/>
                <w:sz w:val="28"/>
              </w:rPr>
              <w:t xml:space="preserve"> </w:t>
            </w:r>
          </w:p>
          <w:p>
            <w:pPr>
              <w:pStyle w:val="Liste1"/>
            </w:pPr>
            <w:r>
              <w:t>nicht berichtet</w:t>
            </w:r>
          </w:p>
        </w:tc>
        <w:tc>
          <w:tcPr>
            <w:tcW w:w="1463" w:type="dxa"/>
          </w:tcPr>
          <w:p>
            <w:pPr>
              <w:rPr>
                <w:sz w:val="22"/>
                <w:szCs w:val="22"/>
              </w:rPr>
            </w:pPr>
          </w:p>
          <w:p>
            <w:pPr>
              <w:rPr>
                <w:sz w:val="22"/>
                <w:szCs w:val="22"/>
              </w:rPr>
            </w:pPr>
            <w:r>
              <w:rPr>
                <w:sz w:val="22"/>
                <w:szCs w:val="22"/>
              </w:rPr>
              <w:t>FG31</w:t>
            </w:r>
            <w:r>
              <w:rPr>
                <w:sz w:val="22"/>
                <w:szCs w:val="22"/>
              </w:rPr>
              <w:br/>
            </w:r>
          </w:p>
        </w:tc>
      </w:tr>
      <w:tr>
        <w:tc>
          <w:tcPr>
            <w:tcW w:w="684" w:type="dxa"/>
          </w:tcPr>
          <w:p>
            <w:pPr>
              <w:rPr>
                <w:b/>
              </w:rPr>
            </w:pPr>
            <w:r>
              <w:rPr>
                <w:b/>
              </w:rPr>
              <w:t>17</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18</w:t>
            </w:r>
          </w:p>
        </w:tc>
        <w:tc>
          <w:tcPr>
            <w:tcW w:w="6824" w:type="dxa"/>
          </w:tcPr>
          <w:p>
            <w:pPr>
              <w:pStyle w:val="1"/>
            </w:pPr>
            <w:r>
              <w:t>Andere Themen</w:t>
            </w:r>
          </w:p>
          <w:p>
            <w:pPr>
              <w:pStyle w:val="Liste1"/>
            </w:pPr>
            <w:r>
              <w:t xml:space="preserve">Nächste Sitzung: 04.01.2023, 11 Uhr, via </w:t>
            </w:r>
            <w:proofErr w:type="spellStart"/>
            <w:r>
              <w:t>Webex</w:t>
            </w:r>
            <w:proofErr w:type="spellEnd"/>
          </w:p>
        </w:tc>
        <w:tc>
          <w:tcPr>
            <w:tcW w:w="1463" w:type="dxa"/>
          </w:tcPr>
          <w:p>
            <w:pPr>
              <w:rPr>
                <w:sz w:val="22"/>
                <w:szCs w:val="22"/>
              </w:rPr>
            </w:pPr>
          </w:p>
        </w:tc>
      </w:tr>
    </w:tbl>
    <w:p>
      <w:pPr>
        <w:rPr>
          <w:b/>
        </w:rPr>
      </w:pPr>
    </w:p>
    <w:p>
      <w:pPr>
        <w:rPr>
          <w:b/>
        </w:rPr>
      </w:pPr>
      <w:r>
        <w:rPr>
          <w:b/>
        </w:rPr>
        <w:t>Ende: 13:00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EB4627"/>
    <w:multiLevelType w:val="hybridMultilevel"/>
    <w:tmpl w:val="C620736C"/>
    <w:lvl w:ilvl="0" w:tplc="8F72B2EE">
      <w:start w:val="1"/>
      <w:numFmt w:val="decimal"/>
      <w:lvlText w:val="%1."/>
      <w:lvlJc w:val="left"/>
      <w:pPr>
        <w:ind w:left="1193" w:hanging="360"/>
      </w:pPr>
      <w:rPr>
        <w:rFonts w:hint="default"/>
      </w:rPr>
    </w:lvl>
    <w:lvl w:ilvl="1" w:tplc="04070019" w:tentative="1">
      <w:start w:val="1"/>
      <w:numFmt w:val="lowerLetter"/>
      <w:lvlText w:val="%2."/>
      <w:lvlJc w:val="left"/>
      <w:pPr>
        <w:ind w:left="1913" w:hanging="360"/>
      </w:pPr>
    </w:lvl>
    <w:lvl w:ilvl="2" w:tplc="0407001B" w:tentative="1">
      <w:start w:val="1"/>
      <w:numFmt w:val="lowerRoman"/>
      <w:lvlText w:val="%3."/>
      <w:lvlJc w:val="right"/>
      <w:pPr>
        <w:ind w:left="2633" w:hanging="180"/>
      </w:pPr>
    </w:lvl>
    <w:lvl w:ilvl="3" w:tplc="0407000F" w:tentative="1">
      <w:start w:val="1"/>
      <w:numFmt w:val="decimal"/>
      <w:lvlText w:val="%4."/>
      <w:lvlJc w:val="left"/>
      <w:pPr>
        <w:ind w:left="3353" w:hanging="360"/>
      </w:pPr>
    </w:lvl>
    <w:lvl w:ilvl="4" w:tplc="04070019" w:tentative="1">
      <w:start w:val="1"/>
      <w:numFmt w:val="lowerLetter"/>
      <w:lvlText w:val="%5."/>
      <w:lvlJc w:val="left"/>
      <w:pPr>
        <w:ind w:left="4073" w:hanging="360"/>
      </w:pPr>
    </w:lvl>
    <w:lvl w:ilvl="5" w:tplc="0407001B" w:tentative="1">
      <w:start w:val="1"/>
      <w:numFmt w:val="lowerRoman"/>
      <w:lvlText w:val="%6."/>
      <w:lvlJc w:val="right"/>
      <w:pPr>
        <w:ind w:left="4793" w:hanging="180"/>
      </w:pPr>
    </w:lvl>
    <w:lvl w:ilvl="6" w:tplc="0407000F" w:tentative="1">
      <w:start w:val="1"/>
      <w:numFmt w:val="decimal"/>
      <w:lvlText w:val="%7."/>
      <w:lvlJc w:val="left"/>
      <w:pPr>
        <w:ind w:left="5513" w:hanging="360"/>
      </w:pPr>
    </w:lvl>
    <w:lvl w:ilvl="7" w:tplc="04070019" w:tentative="1">
      <w:start w:val="1"/>
      <w:numFmt w:val="lowerLetter"/>
      <w:lvlText w:val="%8."/>
      <w:lvlJc w:val="left"/>
      <w:pPr>
        <w:ind w:left="6233" w:hanging="360"/>
      </w:pPr>
    </w:lvl>
    <w:lvl w:ilvl="8" w:tplc="0407001B" w:tentative="1">
      <w:start w:val="1"/>
      <w:numFmt w:val="lowerRoman"/>
      <w:lvlText w:val="%9."/>
      <w:lvlJc w:val="right"/>
      <w:pPr>
        <w:ind w:left="6953" w:hanging="180"/>
      </w:pPr>
    </w:lvl>
  </w:abstractNum>
  <w:abstractNum w:abstractNumId="3"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4"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2337A88"/>
    <w:multiLevelType w:val="hybridMultilevel"/>
    <w:tmpl w:val="ED904844"/>
    <w:lvl w:ilvl="0" w:tplc="05BA05E8">
      <w:start w:val="350"/>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AB08AF"/>
    <w:multiLevelType w:val="hybridMultilevel"/>
    <w:tmpl w:val="A0926B72"/>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9D7F01"/>
    <w:multiLevelType w:val="hybridMultilevel"/>
    <w:tmpl w:val="B52E5690"/>
    <w:lvl w:ilvl="0" w:tplc="1EF87FAE">
      <w:start w:val="350"/>
      <w:numFmt w:val="bullet"/>
      <w:lvlText w:val="-"/>
      <w:lvlJc w:val="left"/>
      <w:pPr>
        <w:ind w:left="833" w:hanging="360"/>
      </w:pPr>
      <w:rPr>
        <w:rFonts w:ascii="Cambria" w:eastAsiaTheme="minorHAnsi" w:hAnsi="Cambria" w:cstheme="minorBidi"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0" w15:restartNumberingAfterBreak="0">
    <w:nsid w:val="7106470A"/>
    <w:multiLevelType w:val="hybridMultilevel"/>
    <w:tmpl w:val="F1D4DB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0"/>
  </w:num>
  <w:num w:numId="4">
    <w:abstractNumId w:val="8"/>
  </w:num>
  <w:num w:numId="5">
    <w:abstractNumId w:val="4"/>
  </w:num>
  <w:num w:numId="6">
    <w:abstractNumId w:val="3"/>
  </w:num>
  <w:num w:numId="7">
    <w:abstractNumId w:val="7"/>
  </w:num>
  <w:num w:numId="8">
    <w:abstractNumId w:val="5"/>
  </w:num>
  <w:num w:numId="9">
    <w:abstractNumId w:val="10"/>
  </w:num>
  <w:num w:numId="10">
    <w:abstractNumId w:val="9"/>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96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ARS_20222112.pptx" TargetMode="External"/><Relationship Id="rId18" Type="http://schemas.openxmlformats.org/officeDocument/2006/relationships/hyperlink" Target="Punkt10_P4_NPI_Uebersicht.pdf"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LageNational_2022-12-21_draft.pptx" TargetMode="External"/><Relationship Id="rId17" Type="http://schemas.openxmlformats.org/officeDocument/2006/relationships/hyperlink" Target="2022-12-21_Intensivregister_SPoCK.pptx" TargetMode="External"/><Relationship Id="rId2" Type="http://schemas.openxmlformats.org/officeDocument/2006/relationships/numbering" Target="numbering.xml"/><Relationship Id="rId16" Type="http://schemas.openxmlformats.org/officeDocument/2006/relationships/hyperlink" Target="syndrom-ARE-SARI-COVID_bis_KW50_2022_f&#252;r-Krisenstab.ppt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nternat.%20Lage_2022-12-21.pptx" TargetMode="External"/><Relationship Id="rId5" Type="http://schemas.openxmlformats.org/officeDocument/2006/relationships/webSettings" Target="webSettings.xml"/><Relationship Id="rId15" Type="http://schemas.openxmlformats.org/officeDocument/2006/relationships/hyperlink" Target="GWteam_GW-COVIDinz.pptx" TargetMode="External"/><Relationship Id="rId10" Type="http://schemas.openxmlformats.org/officeDocument/2006/relationships/footer" Target="footer2.xml"/><Relationship Id="rId19" Type="http://schemas.openxmlformats.org/officeDocument/2006/relationships/hyperlink" Target="P4_NPIs_Zusammenfassung.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syndrom-ARE-SARI-COVID_bis_KW50_2022_f&#252;r-Krisenstab.ppt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651EE-0EE1-4590-8C32-0477FCF4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2048</Words>
  <Characters>12903</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Jung-Sendzik, Tanja</cp:lastModifiedBy>
  <cp:revision>30</cp:revision>
  <cp:lastPrinted>2020-05-06T16:43:00Z</cp:lastPrinted>
  <dcterms:created xsi:type="dcterms:W3CDTF">2022-12-21T07:26:00Z</dcterms:created>
  <dcterms:modified xsi:type="dcterms:W3CDTF">2022-12-21T16:41:00Z</dcterms:modified>
</cp:coreProperties>
</file>