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  <w:rPr>
          <w:sz w:val="22"/>
          <w:szCs w:val="22"/>
        </w:rPr>
      </w:pPr>
      <w:r>
        <w:rPr>
          <w:sz w:val="22"/>
          <w:szCs w:val="22"/>
        </w:rP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2"/>
          <w:szCs w:val="22"/>
        </w:rPr>
        <w:t>Ergebnisprotokoll</w:t>
      </w:r>
    </w:p>
    <w:p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fill="auto"/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Anlass:</w:t>
      </w:r>
      <w:r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i/>
          <w:sz w:val="22"/>
          <w:szCs w:val="22"/>
        </w:rPr>
        <w:tab/>
      </w:r>
      <w:r>
        <w:rPr>
          <w:rFonts w:asciiTheme="majorHAnsi" w:hAnsiTheme="majorHAnsi"/>
          <w:i/>
          <w:sz w:val="22"/>
          <w:szCs w:val="22"/>
        </w:rPr>
        <w:tab/>
      </w:r>
      <w:sdt>
        <w:sdtPr>
          <w:rPr>
            <w:rFonts w:asciiTheme="majorHAnsi" w:hAnsiTheme="majorHAnsi"/>
            <w:i/>
            <w:sz w:val="22"/>
            <w:szCs w:val="22"/>
          </w:rPr>
          <w:id w:val="-1069258484"/>
        </w:sdtPr>
        <w:sdtContent>
          <w:sdt>
            <w:sdtPr>
              <w:rPr>
                <w:rFonts w:asciiTheme="majorHAnsi" w:hAnsiTheme="majorHAnsi"/>
                <w:i/>
                <w:sz w:val="22"/>
                <w:szCs w:val="22"/>
              </w:rPr>
              <w:id w:val="334350100"/>
            </w:sdtPr>
            <w:sdtContent>
              <w:r>
                <w:rPr>
                  <w:rFonts w:asciiTheme="majorHAnsi" w:hAnsiTheme="majorHAnsi"/>
                  <w:sz w:val="22"/>
                  <w:szCs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fill="auto"/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Datum:</w:t>
      </w:r>
      <w:r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i/>
          <w:sz w:val="22"/>
          <w:szCs w:val="22"/>
        </w:rPr>
        <w:tab/>
      </w:r>
      <w:r>
        <w:rPr>
          <w:rFonts w:asciiTheme="majorHAnsi" w:hAnsiTheme="majorHAnsi"/>
          <w:i/>
          <w:sz w:val="22"/>
          <w:szCs w:val="22"/>
        </w:rPr>
        <w:tab/>
      </w:r>
      <w:sdt>
        <w:sdtPr>
          <w:rPr>
            <w:rFonts w:asciiTheme="majorHAnsi" w:hAnsiTheme="majorHAnsi"/>
            <w:i/>
            <w:sz w:val="22"/>
            <w:szCs w:val="22"/>
          </w:rPr>
          <w:id w:val="1092433924"/>
        </w:sdtPr>
        <w:sdtContent>
          <w:r>
            <w:rPr>
              <w:rFonts w:asciiTheme="majorHAnsi" w:hAnsiTheme="majorHAnsi"/>
              <w:i/>
              <w:sz w:val="22"/>
              <w:szCs w:val="22"/>
            </w:rPr>
            <w:t>Wochentag, 23.11.2022,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fill="auto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Sitzungsort:</w:t>
      </w:r>
      <w:r>
        <w:rPr>
          <w:rFonts w:asciiTheme="majorHAnsi" w:hAnsiTheme="majorHAnsi"/>
          <w:b/>
          <w:i/>
          <w:sz w:val="22"/>
          <w:szCs w:val="22"/>
        </w:rPr>
        <w:tab/>
      </w:r>
      <w:r>
        <w:rPr>
          <w:rFonts w:asciiTheme="majorHAnsi" w:hAnsiTheme="majorHAnsi"/>
          <w:b/>
          <w:i/>
          <w:sz w:val="22"/>
          <w:szCs w:val="22"/>
        </w:rPr>
        <w:tab/>
      </w:r>
      <w:sdt>
        <w:sdtPr>
          <w:rPr>
            <w:rFonts w:asciiTheme="majorHAnsi" w:hAnsiTheme="majorHAnsi"/>
            <w:sz w:val="22"/>
            <w:szCs w:val="22"/>
          </w:rPr>
          <w:id w:val="1344203332"/>
        </w:sdtPr>
        <w:sdtContent>
          <w:proofErr w:type="spellStart"/>
          <w:r>
            <w:rPr>
              <w:rFonts w:asciiTheme="majorHAnsi" w:hAnsiTheme="majorHAnsi"/>
              <w:sz w:val="22"/>
              <w:szCs w:val="22"/>
            </w:rPr>
            <w:t>Webex</w:t>
          </w:r>
          <w:proofErr w:type="spellEnd"/>
          <w:r>
            <w:rPr>
              <w:rFonts w:asciiTheme="majorHAnsi" w:hAnsiTheme="majorHAnsi"/>
              <w:sz w:val="22"/>
              <w:szCs w:val="22"/>
            </w:rPr>
            <w:t>-Konferenz</w:t>
          </w:r>
        </w:sdtContent>
      </w:sdt>
    </w:p>
    <w:p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Moderation: Osamah Hamouda</w:t>
      </w:r>
    </w:p>
    <w:p>
      <w:pPr>
        <w:spacing w:after="0"/>
        <w:rPr>
          <w:rFonts w:asciiTheme="majorHAnsi" w:hAnsiTheme="majorHAnsi"/>
          <w:b/>
          <w:sz w:val="22"/>
          <w:szCs w:val="22"/>
        </w:rPr>
        <w:sectPr>
          <w:pgSz w:w="11900" w:h="16840"/>
          <w:pgMar w:top="1440" w:right="1800" w:bottom="1440" w:left="1800" w:header="708" w:footer="708" w:gutter="0"/>
          <w:cols w:space="720"/>
        </w:sectPr>
      </w:pPr>
    </w:p>
    <w:p>
      <w:pPr>
        <w:spacing w:after="0"/>
        <w:rPr>
          <w:rFonts w:asciiTheme="majorHAnsi" w:hAnsiTheme="majorHAnsi"/>
          <w:b/>
          <w:sz w:val="22"/>
          <w:szCs w:val="22"/>
        </w:rPr>
      </w:pPr>
      <w:bookmarkStart w:id="0" w:name="_Hlk82005470"/>
      <w:r>
        <w:rPr>
          <w:rFonts w:asciiTheme="majorHAnsi" w:hAnsiTheme="majorHAnsi"/>
          <w:b/>
          <w:sz w:val="22"/>
          <w:szCs w:val="22"/>
        </w:rPr>
        <w:t xml:space="preserve">Teilnehmende: 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Institutsleitung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Lothar H. Wieler</w:t>
      </w:r>
    </w:p>
    <w:p>
      <w:pPr>
        <w:pStyle w:val="Listenabsatz"/>
        <w:spacing w:after="0"/>
        <w:ind w:left="1440"/>
        <w:rPr>
          <w:rFonts w:asciiTheme="majorHAnsi" w:hAnsiTheme="majorHAnsi"/>
        </w:rPr>
      </w:pPr>
    </w:p>
    <w:p>
      <w:pPr>
        <w:pStyle w:val="Listenabsatz"/>
        <w:numPr>
          <w:ilvl w:val="0"/>
          <w:numId w:val="5"/>
        </w:numPr>
        <w:spacing w:after="0" w:line="23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Abt. 1</w:t>
      </w:r>
    </w:p>
    <w:p>
      <w:pPr>
        <w:pStyle w:val="Listenabsatz"/>
        <w:numPr>
          <w:ilvl w:val="1"/>
          <w:numId w:val="5"/>
        </w:numPr>
        <w:spacing w:after="0" w:line="230" w:lineRule="auto"/>
        <w:rPr>
          <w:rFonts w:asciiTheme="majorHAnsi" w:hAnsiTheme="majorHAnsi"/>
        </w:rPr>
      </w:pPr>
      <w:r>
        <w:rPr>
          <w:rFonts w:asciiTheme="majorHAnsi" w:hAnsiTheme="majorHAnsi"/>
        </w:rPr>
        <w:t>Martin Mielke</w:t>
      </w:r>
    </w:p>
    <w:p>
      <w:pPr>
        <w:pStyle w:val="Listenabsatz"/>
        <w:numPr>
          <w:ilvl w:val="0"/>
          <w:numId w:val="5"/>
        </w:numPr>
        <w:spacing w:after="0" w:line="23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Abt. 3</w:t>
      </w:r>
    </w:p>
    <w:p>
      <w:pPr>
        <w:pStyle w:val="Listenabsatz"/>
        <w:numPr>
          <w:ilvl w:val="1"/>
          <w:numId w:val="5"/>
        </w:numPr>
        <w:spacing w:after="0" w:line="230" w:lineRule="auto"/>
        <w:rPr>
          <w:rFonts w:asciiTheme="majorHAnsi" w:hAnsiTheme="majorHAnsi"/>
        </w:rPr>
      </w:pPr>
      <w:r>
        <w:rPr>
          <w:rFonts w:asciiTheme="majorHAnsi" w:hAnsiTheme="majorHAnsi"/>
        </w:rPr>
        <w:t>Osamah Hamouda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FG11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FG12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FG14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Melanie Brunke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Marc Thanheiser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FG17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Thorsten Wolff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Ralf Dürrwald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FG21 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Patrick Schmich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Wolfgang </w:t>
      </w:r>
      <w:r>
        <w:rPr>
          <w:rStyle w:val="highlight"/>
          <w:rFonts w:asciiTheme="majorHAnsi" w:hAnsiTheme="majorHAnsi"/>
        </w:rPr>
        <w:t>Scheida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FG23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FG24 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FG25 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Christina </w:t>
      </w:r>
      <w:proofErr w:type="spellStart"/>
      <w:r>
        <w:rPr>
          <w:rFonts w:asciiTheme="majorHAnsi" w:hAnsiTheme="majorHAnsi"/>
        </w:rPr>
        <w:t>Poethko</w:t>
      </w:r>
      <w:proofErr w:type="spellEnd"/>
      <w:r>
        <w:rPr>
          <w:rFonts w:asciiTheme="majorHAnsi" w:hAnsiTheme="majorHAnsi"/>
        </w:rPr>
        <w:t>-Mueller</w:t>
      </w:r>
    </w:p>
    <w:p>
      <w:pPr>
        <w:pStyle w:val="Listenabsatz"/>
        <w:spacing w:after="0"/>
        <w:ind w:left="1440"/>
        <w:rPr>
          <w:rFonts w:asciiTheme="majorHAnsi" w:hAnsiTheme="majorHAnsi"/>
        </w:rPr>
      </w:pPr>
    </w:p>
    <w:p>
      <w:pPr>
        <w:pStyle w:val="Listenabsatz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FG31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Ute Rexroth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Antonia Hilbig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Nadine Püschel (Protokoll)</w:t>
      </w:r>
      <w:bookmarkStart w:id="1" w:name="_GoBack"/>
      <w:bookmarkEnd w:id="1"/>
    </w:p>
    <w:p>
      <w:pPr>
        <w:pStyle w:val="Listenabsatz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FG32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Michaela Diercke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Claudia Sievers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FG33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Ole Wichmann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Thomas Harder 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Jonathan Fischer-Fels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Vanessa </w:t>
      </w:r>
      <w:proofErr w:type="spellStart"/>
      <w:r>
        <w:rPr>
          <w:rFonts w:asciiTheme="majorHAnsi" w:hAnsiTheme="majorHAnsi"/>
        </w:rPr>
        <w:t>Piechotta</w:t>
      </w:r>
      <w:proofErr w:type="spellEnd"/>
    </w:p>
    <w:p>
      <w:pPr>
        <w:pStyle w:val="Listenabsatz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FG34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FG35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FG36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Walter Haas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Udo Buchholz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Stefan Kröger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Kristin Tolksdorf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FG37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ZBS1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ZBS7</w:t>
      </w:r>
    </w:p>
    <w:p>
      <w:pPr>
        <w:pStyle w:val="Listenabsatz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Agata Mikolajewska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MF2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MF3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MF4</w:t>
      </w:r>
    </w:p>
    <w:p>
      <w:pPr>
        <w:pStyle w:val="Listenabsatz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Janina Esins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P1</w:t>
      </w:r>
    </w:p>
    <w:p>
      <w:pPr>
        <w:pStyle w:val="Listenabsatz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Ines Lein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P4</w:t>
      </w:r>
    </w:p>
    <w:p>
      <w:pPr>
        <w:pStyle w:val="Listenabsatz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Presse</w:t>
      </w:r>
    </w:p>
    <w:p>
      <w:pPr>
        <w:pStyle w:val="Listenabsatz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Marieke Degen</w:t>
      </w:r>
    </w:p>
    <w:p>
      <w:pPr>
        <w:pStyle w:val="Listenabsatz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Ronja Wenchel 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ZIG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Johanna Hanefeld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ZIG1</w:t>
      </w:r>
    </w:p>
    <w:p>
      <w:pPr>
        <w:pStyle w:val="Listenabsatz"/>
        <w:numPr>
          <w:ilvl w:val="1"/>
          <w:numId w:val="5"/>
        </w:numPr>
        <w:spacing w:after="0"/>
        <w:rPr>
          <w:rStyle w:val="highlight"/>
          <w:rFonts w:asciiTheme="majorHAnsi" w:hAnsiTheme="majorHAnsi"/>
        </w:rPr>
      </w:pPr>
      <w:r>
        <w:rPr>
          <w:rStyle w:val="highlight"/>
          <w:rFonts w:asciiTheme="majorHAnsi" w:hAnsiTheme="majorHAnsi"/>
        </w:rPr>
        <w:t>Sarah Esquevin</w:t>
      </w:r>
    </w:p>
    <w:p>
      <w:pPr>
        <w:pStyle w:val="Listenabsatz"/>
        <w:numPr>
          <w:ilvl w:val="0"/>
          <w:numId w:val="5"/>
        </w:numPr>
        <w:spacing w:after="0"/>
        <w:rPr>
          <w:rStyle w:val="highlight"/>
          <w:rFonts w:asciiTheme="majorHAnsi" w:hAnsiTheme="majorHAnsi"/>
        </w:rPr>
      </w:pPr>
      <w:r>
        <w:rPr>
          <w:rStyle w:val="highlight"/>
          <w:rFonts w:asciiTheme="majorHAnsi" w:hAnsiTheme="majorHAnsi"/>
        </w:rPr>
        <w:t>ZIG2</w:t>
      </w:r>
    </w:p>
    <w:p>
      <w:pPr>
        <w:pStyle w:val="Listenabsatz"/>
        <w:numPr>
          <w:ilvl w:val="0"/>
          <w:numId w:val="5"/>
        </w:numPr>
        <w:spacing w:after="0"/>
        <w:rPr>
          <w:rStyle w:val="highlight"/>
          <w:rFonts w:asciiTheme="majorHAnsi" w:hAnsiTheme="majorHAnsi"/>
        </w:rPr>
      </w:pPr>
      <w:r>
        <w:rPr>
          <w:rStyle w:val="highlight"/>
          <w:rFonts w:asciiTheme="majorHAnsi" w:hAnsiTheme="majorHAnsi"/>
        </w:rPr>
        <w:t>ZIG4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BZgA </w:t>
      </w:r>
    </w:p>
    <w:p>
      <w:pPr>
        <w:pStyle w:val="Listenabsatz"/>
        <w:numPr>
          <w:ilvl w:val="1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Linda Seefeld</w:t>
      </w:r>
    </w:p>
    <w:p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BMG</w:t>
      </w:r>
    </w:p>
    <w:bookmarkEnd w:id="0"/>
    <w:p>
      <w:pPr>
        <w:spacing w:after="0"/>
        <w:rPr>
          <w:rFonts w:asciiTheme="majorHAnsi" w:hAnsiTheme="majorHAnsi"/>
          <w:sz w:val="22"/>
          <w:szCs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rFonts w:asciiTheme="majorHAnsi" w:hAnsiTheme="majorHAnsi"/>
        </w:rPr>
      </w:pPr>
    </w:p>
    <w:tbl>
      <w:tblPr>
        <w:tblStyle w:val="Tabellenraster"/>
        <w:tblW w:w="8970" w:type="dxa"/>
        <w:tblInd w:w="0" w:type="dxa"/>
        <w:tblLayout w:type="fixed"/>
        <w:tblLook w:val="00A0" w:firstRow="1" w:lastRow="0" w:firstColumn="1" w:lastColumn="0" w:noHBand="0" w:noVBand="0"/>
      </w:tblPr>
      <w:tblGrid>
        <w:gridCol w:w="684"/>
        <w:gridCol w:w="6823"/>
        <w:gridCol w:w="1463"/>
      </w:tblGrid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br w:type="page"/>
            </w:r>
            <w:r>
              <w:rPr>
                <w:rFonts w:asciiTheme="majorHAnsi" w:hAnsiTheme="majorHAnsi"/>
                <w:sz w:val="22"/>
              </w:rPr>
              <w:br w:type="page"/>
              <w:t>TOP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Beitrag/ Thema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 xml:space="preserve">Aktuelle Lage </w:t>
            </w:r>
          </w:p>
          <w:p>
            <w:pPr>
              <w:pStyle w:val="TagMi"/>
              <w:rPr>
                <w:rFonts w:asciiTheme="majorHAnsi" w:hAnsiTheme="majorHAnsi"/>
                <w:i w:val="0"/>
                <w:color w:val="auto"/>
              </w:rPr>
            </w:pPr>
            <w:r>
              <w:rPr>
                <w:rFonts w:asciiTheme="majorHAnsi" w:hAnsiTheme="majorHAnsi"/>
                <w:i w:val="0"/>
                <w:color w:val="auto"/>
              </w:rPr>
              <w:t>International</w:t>
            </w:r>
          </w:p>
          <w:p>
            <w:pPr>
              <w:pStyle w:val="Liste1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Folien (</w:t>
            </w:r>
            <w:hyperlink r:id="rId5" w:history="1">
              <w:r>
                <w:rPr>
                  <w:rStyle w:val="Hyperlink"/>
                </w:rPr>
                <w:t>hier</w:t>
              </w:r>
            </w:hyperlink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1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Weltweit: Fälle, Todesfälle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Anzahl Fälle pro KW und WHO Region, 30.12.2019-22.11.2022 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Weltweit abnehmender Trend der Fallzahlen (-8 %) und Todesfälle (-18%)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Aber in den letzten 7 Tagen viele Länder ohne Fallzahlmeldung (Besonders Afrika, auch Mexiko, Australien, Neuseeland, Portugal)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Asien: Hohe Inzidenzen v.a. in Japan (392/100.000 </w:t>
            </w:r>
            <w:proofErr w:type="spellStart"/>
            <w:r>
              <w:rPr>
                <w:rFonts w:asciiTheme="majorHAnsi" w:hAnsiTheme="majorHAnsi"/>
              </w:rPr>
              <w:t>Ew</w:t>
            </w:r>
            <w:proofErr w:type="spellEnd"/>
            <w:r>
              <w:rPr>
                <w:rFonts w:asciiTheme="majorHAnsi" w:hAnsiTheme="majorHAnsi"/>
              </w:rPr>
              <w:t xml:space="preserve">/7T.) und Südkorea (710/100.000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Ew</w:t>
            </w:r>
            <w:proofErr w:type="spellEnd"/>
            <w:r>
              <w:rPr>
                <w:rFonts w:asciiTheme="majorHAnsi" w:hAnsiTheme="majorHAnsi"/>
              </w:rPr>
              <w:t>./</w:t>
            </w:r>
            <w:proofErr w:type="gramEnd"/>
            <w:r>
              <w:rPr>
                <w:rFonts w:asciiTheme="majorHAnsi" w:hAnsiTheme="majorHAnsi"/>
              </w:rPr>
              <w:t>7T.), Peak aber erreicht, insgesamt abnehmender Trend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7-Tage-Inzidenz pro 100.000 Einwohner in Europa 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Inzidenz in der Altersgruppe &gt;65 J: weiterhin sinkend.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Hospitalisierungen und Intensivbelegung: stabil bzw. abnehmend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Inanspruchnahme der 2. Booster-Dosis relativ gering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EWRS Abfrage zur Isolation zeigt gemischtes Bild (in einigen Ländern empfohlen z.B. in NL DK, FI, aber unterschiedliche Dauer, in anderen Ländern verpflichtend: IT, BE, HU, auch hier unterschiedliche Dauer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BQ.1/BQ.1.1 und Sublinien in Europa, ECDC, Datenstand KW43/44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Frankreich: 42,7%, (n=787)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Dänemark: 25,2%, (n=1.543)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Niederlande: 23,3%, (n= 179)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ICU Belegung in allen 3 Ländern stabil</w:t>
            </w:r>
          </w:p>
          <w:p>
            <w:pPr>
              <w:pStyle w:val="1"/>
              <w:rPr>
                <w:rFonts w:asciiTheme="majorHAnsi" w:hAnsiTheme="majorHAnsi"/>
                <w:sz w:val="22"/>
              </w:rPr>
            </w:pPr>
          </w:p>
          <w:p>
            <w:pPr>
              <w:pStyle w:val="TagMi"/>
              <w:rPr>
                <w:rFonts w:asciiTheme="majorHAnsi" w:hAnsiTheme="majorHAnsi"/>
                <w:i w:val="0"/>
                <w:color w:val="auto"/>
              </w:rPr>
            </w:pPr>
            <w:r>
              <w:rPr>
                <w:rFonts w:asciiTheme="majorHAnsi" w:hAnsiTheme="majorHAnsi"/>
                <w:i w:val="0"/>
                <w:color w:val="auto"/>
              </w:rPr>
              <w:t xml:space="preserve">National </w:t>
            </w:r>
          </w:p>
          <w:p>
            <w:pPr>
              <w:pStyle w:val="Liste1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Fallzahlen, Todesfälle, Trend,</w:t>
            </w:r>
            <w:r>
              <w:rPr>
                <w:rFonts w:asciiTheme="majorHAnsi" w:hAnsiTheme="majorHAnsi"/>
              </w:rPr>
              <w:t xml:space="preserve"> Folien (</w:t>
            </w:r>
            <w:hyperlink r:id="rId6" w:history="1">
              <w:r>
                <w:rPr>
                  <w:rStyle w:val="Hyperlink"/>
                  <w:rFonts w:asciiTheme="majorHAnsi" w:hAnsiTheme="majorHAnsi"/>
                </w:rPr>
                <w:t>hier</w:t>
              </w:r>
            </w:hyperlink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proofErr w:type="spellStart"/>
            <w:r>
              <w:rPr>
                <w:rFonts w:asciiTheme="majorHAnsi" w:hAnsiTheme="majorHAnsi"/>
                <w:lang w:val="de-DE"/>
              </w:rPr>
              <w:t>SurvNet</w:t>
            </w:r>
            <w:proofErr w:type="spellEnd"/>
            <w:r>
              <w:rPr>
                <w:rFonts w:asciiTheme="majorHAnsi" w:hAnsiTheme="majorHAnsi"/>
                <w:lang w:val="de-DE"/>
              </w:rPr>
              <w:t xml:space="preserve"> übermittelt: 36.280.371 (+33.290), davon 156.951 (+139) Todesfälle 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7-Tage-Inzidenz:  177,9/100.000 </w:t>
            </w:r>
            <w:proofErr w:type="spellStart"/>
            <w:r>
              <w:rPr>
                <w:rFonts w:asciiTheme="majorHAnsi" w:hAnsiTheme="majorHAnsi"/>
              </w:rPr>
              <w:t>Einw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proofErr w:type="spellStart"/>
            <w:r>
              <w:rPr>
                <w:rFonts w:asciiTheme="majorHAnsi" w:hAnsiTheme="majorHAnsi"/>
                <w:lang w:val="de-DE"/>
              </w:rPr>
              <w:t>Impfmonitoring</w:t>
            </w:r>
            <w:proofErr w:type="spellEnd"/>
            <w:r>
              <w:rPr>
                <w:rFonts w:asciiTheme="majorHAnsi" w:hAnsiTheme="majorHAnsi"/>
                <w:lang w:val="de-DE"/>
              </w:rPr>
              <w:t>: Geimpfte mit 1. Dosis 64.817.080 (77,9%), mit vollständiger Impfung 63.503.577 (76,3%)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Leichter Rückgang der Fallzahlen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Leichter Rückgang der Anzahl der Verstorbenen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Verlauf der 7-Tage-Inzidenz der Bundesländer: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Rückgang der 7-Tage-Inzidenz in der Gesamtbevölkerung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Inzidenz bei Hospitalisierten stabil</w:t>
            </w:r>
          </w:p>
          <w:p>
            <w:pPr>
              <w:pStyle w:val="Liste1"/>
              <w:numPr>
                <w:ilvl w:val="0"/>
                <w:numId w:val="12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 xml:space="preserve">Zahlen zum DIVI-Intensivregister, </w:t>
            </w:r>
            <w:r>
              <w:rPr>
                <w:rFonts w:asciiTheme="majorHAnsi" w:hAnsiTheme="majorHAnsi"/>
              </w:rPr>
              <w:t>Folien (</w:t>
            </w:r>
            <w:hyperlink r:id="rId7" w:history="1">
              <w:r>
                <w:rPr>
                  <w:rStyle w:val="Hyperlink"/>
                  <w:rFonts w:asciiTheme="majorHAnsi" w:hAnsiTheme="majorHAnsi"/>
                </w:rPr>
                <w:t>hier</w:t>
              </w:r>
            </w:hyperlink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Mit Stand 23.11.2022 werden 927 COVID-19-</w:t>
            </w:r>
            <w:proofErr w:type="gramStart"/>
            <w:r>
              <w:rPr>
                <w:rFonts w:asciiTheme="majorHAnsi" w:hAnsiTheme="majorHAnsi"/>
                <w:lang w:val="de-DE"/>
              </w:rPr>
              <w:t>Patient:innen</w:t>
            </w:r>
            <w:proofErr w:type="gramEnd"/>
            <w:r>
              <w:rPr>
                <w:rFonts w:asciiTheme="majorHAnsi" w:hAnsiTheme="majorHAnsi"/>
                <w:lang w:val="de-DE"/>
              </w:rPr>
              <w:t xml:space="preserve"> auf Intensivstationen (der ca. 1.300 Akutkrankenhäuser) behandelt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ITS-COVID-Neuaufnahmen mit +720 in den letzten 7 Tagen 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Anstieg bzw. Seitwärtsbewegung der COVID-ITS-Belegung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Verstorbenen-Anteil nimmt ab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In allen Altersgruppen Abwärtstrend zu erkennen</w:t>
            </w:r>
          </w:p>
          <w:p>
            <w:pPr>
              <w:pStyle w:val="Liste3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Kinder-ITS: </w:t>
            </w:r>
          </w:p>
          <w:p>
            <w:pPr>
              <w:pStyle w:val="Liste3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Anzahl der Patient*innen mit RSV stark angestiegen (neonatologische und pädiatrische Belegung)</w:t>
            </w:r>
          </w:p>
          <w:p>
            <w:pPr>
              <w:pStyle w:val="Liste3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Anzahl der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Patient:innen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mit Influenza auf pädiatrischen Stationen ebenfalls mit Zuwachs</w:t>
            </w:r>
          </w:p>
          <w:p>
            <w:pPr>
              <w:pStyle w:val="Liste1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Diskussion, wie vergleicht sich der Anstieg RSV zu den Zahlen in den Vorjahren: </w:t>
            </w:r>
          </w:p>
          <w:p>
            <w:pPr>
              <w:pStyle w:val="Liste1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Erst zu Beginn 2022 mit Erfassung der Daten begonnen, keine Datenquellen vorhanden</w:t>
            </w:r>
          </w:p>
          <w:p>
            <w:pPr>
              <w:pStyle w:val="Listenabsatz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hyperlink r:id="rId8" w:history="1">
              <w:r>
                <w:rPr>
                  <w:rStyle w:val="Hyperlink"/>
                  <w:rFonts w:asciiTheme="majorHAnsi" w:hAnsiTheme="majorHAnsi"/>
                </w:rPr>
                <w:t>https://dgpi.de/rsv-survey-update/</w:t>
              </w:r>
            </w:hyperlink>
            <w:r>
              <w:rPr>
                <w:rFonts w:asciiTheme="majorHAnsi" w:hAnsiTheme="majorHAnsi"/>
              </w:rPr>
              <w:t xml:space="preserve"> Beginn Oktober 2021, keine großen Vergleichswerte</w:t>
            </w:r>
          </w:p>
          <w:p>
            <w:pPr>
              <w:pStyle w:val="Liste2"/>
              <w:numPr>
                <w:ilvl w:val="1"/>
                <w:numId w:val="12"/>
              </w:numPr>
              <w:rPr>
                <w:rFonts w:asciiTheme="majorHAnsi" w:hAnsiTheme="majorHAnsi"/>
                <w:lang w:val="de-DE"/>
              </w:rPr>
            </w:pPr>
            <w:proofErr w:type="spellStart"/>
            <w:r>
              <w:rPr>
                <w:rFonts w:asciiTheme="majorHAnsi" w:hAnsiTheme="majorHAnsi"/>
                <w:lang w:val="de-DE"/>
              </w:rPr>
              <w:t>SPoCK</w:t>
            </w:r>
            <w:proofErr w:type="spellEnd"/>
            <w:r>
              <w:rPr>
                <w:rFonts w:asciiTheme="majorHAnsi" w:hAnsiTheme="majorHAnsi"/>
                <w:lang w:val="de-DE"/>
              </w:rPr>
              <w:t xml:space="preserve">-Prognose: </w:t>
            </w:r>
          </w:p>
          <w:p>
            <w:pPr>
              <w:pStyle w:val="Liste2"/>
              <w:numPr>
                <w:ilvl w:val="2"/>
                <w:numId w:val="12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Wird Abwärtstrend vorhergesagt</w:t>
            </w:r>
          </w:p>
          <w:p>
            <w:pPr>
              <w:pStyle w:val="Liste2"/>
              <w:numPr>
                <w:ilvl w:val="2"/>
                <w:numId w:val="12"/>
              </w:numPr>
              <w:rPr>
                <w:rFonts w:asciiTheme="majorHAnsi" w:hAnsiTheme="majorHAnsi"/>
                <w:b/>
                <w:lang w:val="de-DE"/>
              </w:rPr>
            </w:pPr>
            <w:proofErr w:type="spellStart"/>
            <w:r>
              <w:rPr>
                <w:rFonts w:asciiTheme="majorHAnsi" w:hAnsiTheme="majorHAnsi"/>
                <w:b/>
                <w:lang w:val="de-DE"/>
              </w:rPr>
              <w:t>SPoCK</w:t>
            </w:r>
            <w:proofErr w:type="spellEnd"/>
            <w:r>
              <w:rPr>
                <w:rFonts w:asciiTheme="majorHAnsi" w:hAnsiTheme="majorHAnsi"/>
                <w:b/>
                <w:lang w:val="de-DE"/>
              </w:rPr>
              <w:t>-Prognosen werden zum Ende des Jahres eingestellt (keine weitere Förderung erhalten)</w:t>
            </w:r>
          </w:p>
          <w:p>
            <w:pPr>
              <w:pStyle w:val="Listenabsatz"/>
            </w:pP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Syndromische</w:t>
            </w:r>
            <w:proofErr w:type="spellEnd"/>
            <w:r>
              <w:rPr>
                <w:rFonts w:asciiTheme="majorHAnsi" w:hAnsiTheme="majorHAnsi"/>
                <w:b/>
              </w:rPr>
              <w:t xml:space="preserve"> Surveillance</w:t>
            </w:r>
            <w:r>
              <w:rPr>
                <w:rStyle w:val="TagMiZchn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(Folien </w:t>
            </w:r>
            <w:hyperlink r:id="rId9" w:history="1">
              <w:r>
                <w:rPr>
                  <w:rStyle w:val="Hyperlink"/>
                  <w:rFonts w:asciiTheme="majorHAnsi" w:hAnsiTheme="majorHAnsi"/>
                </w:rPr>
                <w:t>hier</w:t>
              </w:r>
            </w:hyperlink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ARE gesamt: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 (gesamt) lag in KW46 bei 8.300 ARE (Vorwoche: 6.700) pro 100.000 Einwohner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 Vergleich zur Vorwoche: Anstieg insbesondere bei Schulkindern (5-14 J.) und den ab 35-Jährigen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Are-</w:t>
            </w:r>
            <w:proofErr w:type="spellStart"/>
            <w:r>
              <w:rPr>
                <w:rFonts w:asciiTheme="majorHAnsi" w:hAnsiTheme="majorHAnsi"/>
              </w:rPr>
              <w:t>Konsultationen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 Vergleich zur 45. KW 2022 insgesamt deutlich gesunken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ca. 1.600 Arzt</w:t>
            </w:r>
            <w:r>
              <w:rPr>
                <w:rFonts w:asciiTheme="majorHAnsi" w:hAnsiTheme="majorHAnsi"/>
              </w:rPr>
              <w:softHyphen/>
              <w:t>konsul</w:t>
            </w:r>
            <w:r>
              <w:rPr>
                <w:rFonts w:asciiTheme="majorHAnsi" w:hAnsiTheme="majorHAnsi"/>
              </w:rPr>
              <w:softHyphen/>
              <w:t>ta</w:t>
            </w:r>
            <w:r>
              <w:rPr>
                <w:rFonts w:asciiTheme="majorHAnsi" w:hAnsiTheme="majorHAnsi"/>
              </w:rPr>
              <w:softHyphen/>
              <w:t xml:space="preserve">tionen wegen ARE pro 100.000 EW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 Vergleich zur Vorwoche: Anstieg bei Kindern bis 14 Jahre; Rückgang bei den Erwachsenen ab 15 Jahre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SEED</w:t>
            </w:r>
            <w:r>
              <w:rPr>
                <w:rFonts w:asciiTheme="majorHAnsi" w:hAnsiTheme="majorHAnsi"/>
                <w:vertAlign w:val="superscript"/>
                <w:lang w:val="de-DE"/>
              </w:rPr>
              <w:t>ARE</w:t>
            </w:r>
            <w:r>
              <w:rPr>
                <w:rFonts w:asciiTheme="majorHAnsi" w:hAnsiTheme="majorHAnsi"/>
                <w:lang w:val="de-DE"/>
              </w:rPr>
              <w:t xml:space="preserve"> mit COVID-19 Konsultationen bis zur 46. KW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Rund 130 Arzt</w:t>
            </w:r>
            <w:r>
              <w:rPr>
                <w:rFonts w:asciiTheme="majorHAnsi" w:hAnsiTheme="majorHAnsi"/>
              </w:rPr>
              <w:softHyphen/>
              <w:t>besuche ARE mit COVID-Diagnose /100.000 EW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 im Vergleich zur Vorwoche bei den 0-bis 14-jährigen Kindern stabil geblieben und in den anderen Altersgruppen gesunken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ICOSARI-KH-Surveillance – SARI-</w:t>
            </w:r>
            <w:proofErr w:type="spellStart"/>
            <w:r>
              <w:rPr>
                <w:rFonts w:asciiTheme="majorHAnsi" w:hAnsiTheme="majorHAnsi"/>
                <w:lang w:val="en-US"/>
              </w:rPr>
              <w:t>Inzidenz</w:t>
            </w:r>
            <w:proofErr w:type="spellEnd"/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SARI-Fallzahlen sind in der 46. KW 2022 insgesamt leicht gestiegen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bleibt deutlich erhöhtes Niveau im Vergleich zu vorpandemischen Saisons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SARI mit Intensivbehandlungen in der vergangenen Woche noch etwas erhöht, nähern sich den vorpandemischen Saisons an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weiterer Anstieg der SARI-Fallzahlen in AG 0-4, und 5- 14 Jahre, hier bereits sehr hohe Fallzahlen;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steigender Anteil RSV in der AG 0-4, aber auch in anderen Altersgruppen Nachweise; steigender Anteil Influenza vor allem in den AG 5-14 und 15-34, aber auch 35- 59 Jahre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Weiterer Rückgang der SARI-Fälle in den AG 80+, deutlicher Rückgang des Anteils COVID-19 in den AG 60+ in den letzten Wochen (in KW 43: noch über 40%)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ICOSARI-KH-Surveillance – </w:t>
            </w:r>
            <w:proofErr w:type="spellStart"/>
            <w:r>
              <w:rPr>
                <w:rFonts w:asciiTheme="majorHAnsi" w:hAnsiTheme="majorHAnsi"/>
                <w:lang w:val="en-US"/>
              </w:rPr>
              <w:t>Anteil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COVID-19 an SARI-</w:t>
            </w:r>
            <w:proofErr w:type="spellStart"/>
            <w:r>
              <w:rPr>
                <w:rFonts w:asciiTheme="majorHAnsi" w:hAnsiTheme="majorHAnsi"/>
                <w:lang w:val="en-US"/>
              </w:rPr>
              <w:t>Fällen</w:t>
            </w:r>
            <w:proofErr w:type="spellEnd"/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Anteil COVID-19 an SARI ist im Vergleich zur Vorwoche weiter gesunken: 10 % (Vorwoche: 15 %) 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Anteil COVID-19 an SARI </w:t>
            </w:r>
            <w:r>
              <w:rPr>
                <w:rFonts w:asciiTheme="majorHAnsi" w:hAnsiTheme="majorHAnsi"/>
                <w:bCs/>
              </w:rPr>
              <w:t>mit Intensivbehandlung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</w:rPr>
              <w:t xml:space="preserve">gesunken: 26 % (Vorwoche: 39 %),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weiter relativ hoher Anteil an Intensivbehandlungen im Vgl. zum Anteil an SARI; keine Nebendiagnosen Influenza oder RSV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Anteil Influenza an SARI 8% (Vorwoche 6 %), drei Influenza-Fälle (3%) unter SARI mit Intensivbehandlung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Virulogische</w:t>
            </w:r>
            <w:proofErr w:type="spellEnd"/>
            <w:r>
              <w:rPr>
                <w:rFonts w:asciiTheme="majorHAnsi" w:hAnsiTheme="majorHAnsi"/>
                <w:b/>
              </w:rPr>
              <w:t xml:space="preserve"> Surveillance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247 </w:t>
            </w:r>
            <w:proofErr w:type="spellStart"/>
            <w:r>
              <w:rPr>
                <w:rFonts w:asciiTheme="majorHAnsi" w:hAnsiTheme="majorHAnsi"/>
                <w:lang w:val="en-US"/>
              </w:rPr>
              <w:t>Einsendungen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(KW46), 69 </w:t>
            </w:r>
            <w:proofErr w:type="spellStart"/>
            <w:r>
              <w:rPr>
                <w:rFonts w:asciiTheme="majorHAnsi" w:hAnsiTheme="majorHAnsi"/>
                <w:lang w:val="en-US"/>
              </w:rPr>
              <w:t>Arztpraxen</w:t>
            </w:r>
            <w:proofErr w:type="spellEnd"/>
            <w:r>
              <w:rPr>
                <w:rFonts w:asciiTheme="majorHAnsi" w:hAnsiTheme="majorHAnsi"/>
                <w:lang w:val="en-US"/>
              </w:rPr>
              <w:t>/13 BL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Höchste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Einsendezahl</w:t>
            </w:r>
            <w:proofErr w:type="spellEnd"/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proofErr w:type="spellStart"/>
            <w:r>
              <w:rPr>
                <w:rFonts w:asciiTheme="majorHAnsi" w:hAnsiTheme="majorHAnsi"/>
                <w:lang w:val="de-DE"/>
              </w:rPr>
              <w:t>Coronazahlen</w:t>
            </w:r>
            <w:proofErr w:type="spellEnd"/>
            <w:r>
              <w:rPr>
                <w:rFonts w:asciiTheme="majorHAnsi" w:hAnsiTheme="majorHAnsi"/>
                <w:lang w:val="de-DE"/>
              </w:rPr>
              <w:t xml:space="preserve"> rückläufig auf leichtem Niveau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Starker Anstieg Influenza Virus, übersteigt 2019/2020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Influenza Virus dominierend bei Altersgruppe 5-</w:t>
            </w:r>
            <w:proofErr w:type="gramStart"/>
            <w:r>
              <w:rPr>
                <w:rFonts w:asciiTheme="majorHAnsi" w:hAnsiTheme="majorHAnsi"/>
                <w:lang w:val="de-DE"/>
              </w:rPr>
              <w:t>14 Jährigen</w:t>
            </w:r>
            <w:proofErr w:type="gramEnd"/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Anstieg RSV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rFonts w:asciiTheme="majorHAnsi" w:hAnsiTheme="majorHAnsi"/>
                <w:lang w:val="de-DE"/>
              </w:rPr>
            </w:pP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Testkapazität und Testungen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nicht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berichtet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rFonts w:asciiTheme="majorHAnsi" w:hAnsiTheme="majorHAnsi"/>
              </w:rPr>
            </w:pP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ARS-Daten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nicht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berichtet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rFonts w:asciiTheme="majorHAnsi" w:hAnsiTheme="majorHAnsi"/>
              </w:rPr>
            </w:pP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VOC-Bericht </w:t>
            </w:r>
            <w:r>
              <w:rPr>
                <w:rFonts w:asciiTheme="majorHAnsi" w:hAnsiTheme="majorHAnsi"/>
              </w:rPr>
              <w:t xml:space="preserve">(Folien </w:t>
            </w:r>
            <w:hyperlink r:id="rId10" w:history="1">
              <w:r>
                <w:rPr>
                  <w:rStyle w:val="Hyperlink"/>
                  <w:rFonts w:asciiTheme="majorHAnsi" w:hAnsiTheme="majorHAnsi"/>
                </w:rPr>
                <w:t>hier</w:t>
              </w:r>
            </w:hyperlink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Entwicklung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stabil</w:t>
            </w:r>
            <w:proofErr w:type="spellEnd"/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Anteil von BA.5 inkl. aller Sublinien leicht gesunken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Anteil BA.2. und Sublinien leicht gestiegen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BQ1.1 zwar Vervierfachung über die letzten Wochen, aber relativ geringer Anteil unter 10%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In Ländern mit Anteil von 30% von BQ.1.1 kein Anstieg der Intensivbehandlungen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ZIG1 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(Esquevin)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FG32 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(Sievers)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MF4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(Esins)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br/>
              <w:t>FG36 (Tolksdorf)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FG17 (Dürrwald)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FG36 (Kröger)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Wichtige Punkte für den Wochenbericht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Änderungen VOC-Teil im Wochenbericht (Folie 5 </w:t>
            </w:r>
            <w:hyperlink r:id="rId11" w:history="1">
              <w:r>
                <w:rPr>
                  <w:rStyle w:val="Hyperlink"/>
                  <w:rFonts w:asciiTheme="majorHAnsi" w:hAnsiTheme="majorHAnsi"/>
                </w:rPr>
                <w:t>hier</w:t>
              </w:r>
            </w:hyperlink>
            <w:r>
              <w:rPr>
                <w:rFonts w:asciiTheme="majorHAnsi" w:hAnsiTheme="majorHAnsi"/>
              </w:rPr>
              <w:t>)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Grund Verschlankung, Auslagerung bestimmter Abschnitte auf RKI-Webseite, Pandemieradar, Interpretation des aktuellen Geschehens im Wochenbericht eindämpfen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Klare Zustimmung, wird im nächsten Jour-Fix dem BMG mitgeteilt, bei Zustimmung ab nächster Woche im Wochenbericht umgesetzt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Diskussion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Pandemieradar: ist für </w:t>
            </w:r>
            <w:proofErr w:type="spellStart"/>
            <w:proofErr w:type="gramStart"/>
            <w:r>
              <w:rPr>
                <w:rFonts w:asciiTheme="majorHAnsi" w:hAnsiTheme="majorHAnsi"/>
                <w:lang w:val="de-DE"/>
              </w:rPr>
              <w:t>Wissenschaftler:innen</w:t>
            </w:r>
            <w:proofErr w:type="spellEnd"/>
            <w:proofErr w:type="gramEnd"/>
            <w:r>
              <w:rPr>
                <w:rFonts w:asciiTheme="majorHAnsi" w:hAnsiTheme="majorHAnsi"/>
                <w:lang w:val="de-DE"/>
              </w:rPr>
              <w:t xml:space="preserve"> sehr übersichtlich, sehr gut auf einen Blick zu interpretieren, aber Darstellung der Kacheln überdenken, strukturierter nach Krankheitslast, Schwere, Dynamik, Varianten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Verbesserungsvorschläge können gern ans Team gesendet werden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Im Wochenbericht muss Zunahme und Grund der Atemwegserkrankungen durch andere Erreger, insbesondere bei Kindern und Jugendlichen klar dargestellt werden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Stärker auf ARE-Wochenbericht hinweisen –&gt; Tweet 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ARE-Wochenbericht ist unter dem Teaser auf der RKI-Webseite verlinkt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lastRenderedPageBreak/>
              <w:t>ARE-Wochenbericht bisher nicht getweetet, allgemeine Zustimmung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Grafik für ICOSARI-KH-Surveillance – SARI-Fälle (J09 – J22) bis zur 46. </w:t>
            </w:r>
            <w:r>
              <w:rPr>
                <w:rFonts w:asciiTheme="majorHAnsi" w:hAnsiTheme="majorHAnsi"/>
              </w:rPr>
              <w:t xml:space="preserve">KW 2022 gut, </w:t>
            </w:r>
            <w:proofErr w:type="spellStart"/>
            <w:r>
              <w:rPr>
                <w:rFonts w:asciiTheme="majorHAnsi" w:hAnsiTheme="majorHAnsi"/>
              </w:rPr>
              <w:t>aber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nicht</w:t>
            </w:r>
            <w:proofErr w:type="spellEnd"/>
            <w:r>
              <w:rPr>
                <w:rFonts w:asciiTheme="majorHAnsi" w:hAnsiTheme="majorHAnsi"/>
              </w:rPr>
              <w:t xml:space="preserve"> für Tweet </w:t>
            </w:r>
            <w:proofErr w:type="spellStart"/>
            <w:r>
              <w:rPr>
                <w:rFonts w:asciiTheme="majorHAnsi" w:hAnsiTheme="majorHAnsi"/>
              </w:rPr>
              <w:t>geeignet</w:t>
            </w:r>
            <w:proofErr w:type="spellEnd"/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FG21 sieht sich ARE-Wochenbericht an, gestaltet Vorschlag für Tweet, Thread, Rücksprache mit FGs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rFonts w:asciiTheme="majorHAnsi" w:hAnsiTheme="majorHAnsi"/>
                <w:lang w:val="de-DE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FG36 (Kröger, Haas), FG31, Presse, FG21 (Scheida)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 xml:space="preserve">Update Impfen </w:t>
            </w:r>
          </w:p>
          <w:p>
            <w:pPr>
              <w:spacing w:line="276" w:lineRule="auto"/>
              <w:rPr>
                <w:rStyle w:val="TagFrZchn"/>
                <w:rFonts w:asciiTheme="majorHAnsi" w:hAnsiTheme="majorHAnsi"/>
                <w:sz w:val="22"/>
                <w:szCs w:val="22"/>
              </w:rPr>
            </w:pP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Impfmonitoring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Unklar, ob digitales </w:t>
            </w:r>
            <w:proofErr w:type="spellStart"/>
            <w:r>
              <w:rPr>
                <w:rFonts w:asciiTheme="majorHAnsi" w:hAnsiTheme="majorHAnsi"/>
                <w:lang w:val="de-DE"/>
              </w:rPr>
              <w:t>Impfmonitoring</w:t>
            </w:r>
            <w:proofErr w:type="spellEnd"/>
            <w:r>
              <w:rPr>
                <w:rFonts w:asciiTheme="majorHAnsi" w:hAnsiTheme="majorHAnsi"/>
                <w:lang w:val="de-DE"/>
              </w:rPr>
              <w:t xml:space="preserve"> 2023 weitergeführt wird; Corona-Virus-Impfverordnung wird nicht verlängert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STIKO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 Aktualisierung der COVID-19-Impfempfehlung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STIKO spricht eine COVID-19-Impfempfehlung für vorerkrankte Kinder im Alter von 6 Monaten bis 4 Jahren aus und aktualisiert ihre Empfehlung für Kinder mit Kontakt zu vulnerablen Personen.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24. Aktualisierung noch vor Weihnachten geplant (u.a. </w:t>
            </w:r>
            <w:proofErr w:type="spellStart"/>
            <w:r>
              <w:rPr>
                <w:rFonts w:asciiTheme="majorHAnsi" w:hAnsiTheme="majorHAnsi"/>
                <w:lang w:val="de-DE"/>
              </w:rPr>
              <w:t>Novavax</w:t>
            </w:r>
            <w:proofErr w:type="spellEnd"/>
            <w:r>
              <w:rPr>
                <w:rFonts w:asciiTheme="majorHAnsi" w:hAnsiTheme="majorHAnsi"/>
                <w:lang w:val="de-DE"/>
              </w:rPr>
              <w:t xml:space="preserve"> als Booster Empfehlung)</w:t>
            </w:r>
          </w:p>
          <w:p>
            <w:pPr>
              <w:spacing w:line="276" w:lineRule="auto"/>
              <w:rPr>
                <w:rStyle w:val="1Zchn"/>
                <w:rFonts w:asciiTheme="majorHAnsi" w:hAnsiTheme="majorHAnsi"/>
                <w:sz w:val="22"/>
                <w:szCs w:val="22"/>
              </w:rPr>
            </w:pP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Vorstellung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Studie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: Acute and </w:t>
            </w:r>
            <w:proofErr w:type="spellStart"/>
            <w:r>
              <w:rPr>
                <w:rFonts w:asciiTheme="majorHAnsi" w:hAnsiTheme="majorHAnsi"/>
                <w:lang w:val="en-US"/>
              </w:rPr>
              <w:t>postacute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sequelae associated </w:t>
            </w:r>
            <w:r>
              <w:rPr>
                <w:rFonts w:asciiTheme="majorHAnsi" w:hAnsiTheme="majorHAnsi"/>
                <w:lang w:val="en-US"/>
              </w:rPr>
              <w:br/>
              <w:t xml:space="preserve">with SARS-CoV-2 reinfection und </w:t>
            </w:r>
            <w:r>
              <w:rPr>
                <w:rFonts w:asciiTheme="majorHAnsi" w:hAnsiTheme="majorHAnsi"/>
                <w:bCs/>
                <w:lang w:val="en-US"/>
              </w:rPr>
              <w:t>COVID-19 primary series and booster vaccination and immune imprinting</w:t>
            </w:r>
            <w:r>
              <w:rPr>
                <w:rFonts w:asciiTheme="majorHAnsi" w:hAnsiTheme="majorHAnsi"/>
                <w:lang w:val="en-US"/>
              </w:rPr>
              <w:t>, (</w:t>
            </w:r>
            <w:proofErr w:type="spellStart"/>
            <w:r>
              <w:rPr>
                <w:rFonts w:asciiTheme="majorHAnsi" w:hAnsiTheme="majorHAnsi"/>
                <w:lang w:val="en-US"/>
              </w:rPr>
              <w:t>Folien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hyperlink r:id="rId12" w:history="1">
              <w:proofErr w:type="spellStart"/>
              <w:r>
                <w:rPr>
                  <w:rStyle w:val="Hyperlink"/>
                  <w:rFonts w:asciiTheme="majorHAnsi" w:hAnsiTheme="majorHAnsi"/>
                  <w:lang w:val="en-US"/>
                </w:rPr>
                <w:t>hier</w:t>
              </w:r>
              <w:proofErr w:type="spellEnd"/>
            </w:hyperlink>
            <w:r>
              <w:rPr>
                <w:rFonts w:asciiTheme="majorHAnsi" w:hAnsiTheme="majorHAnsi"/>
                <w:lang w:val="en-US"/>
              </w:rPr>
              <w:t>)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Studie: Welche zusätzlichen Risiken entstehen nach einer Reinfektion mit SARS-CoV-2 (</w:t>
            </w:r>
            <w:hyperlink r:id="rId13" w:history="1">
              <w:r>
                <w:rPr>
                  <w:rFonts w:asciiTheme="majorHAnsi" w:hAnsiTheme="majorHAnsi"/>
                  <w:lang w:val="de-DE"/>
                </w:rPr>
                <w:t>https://www.nature.com/articles/s41591-022-02051-3</w:t>
              </w:r>
            </w:hyperlink>
            <w:r>
              <w:rPr>
                <w:rFonts w:asciiTheme="majorHAnsi" w:hAnsiTheme="majorHAnsi"/>
                <w:lang w:val="de-DE"/>
              </w:rPr>
              <w:t>)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Diskussion: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Beide Studien gehen über Aussagen hinaus, was aus Daten ableitbar wäre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Definition der Reinfektion, handelt es sich tatsächlich um Reinfektion oder Infektion nach erfolgter Impfung? 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 handelt sich um Reinfektion Abstand von 6 Monaten</w:t>
            </w:r>
          </w:p>
          <w:p>
            <w:pPr>
              <w:pStyle w:val="Liste3"/>
              <w:numPr>
                <w:ilvl w:val="1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Spekulatives Niveau</w:t>
            </w:r>
          </w:p>
          <w:p>
            <w:pPr>
              <w:pStyle w:val="NurText"/>
              <w:rPr>
                <w:rStyle w:val="1Zchn"/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 33 (Fischer-Fels)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(Harder)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4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i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 xml:space="preserve">Internationales 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  <w:p>
            <w:pPr>
              <w:pStyle w:val="Liste3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</w:p>
          <w:p>
            <w:pPr>
              <w:pStyle w:val="Liste3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ZIG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5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 xml:space="preserve">Update digitale Projekte 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rFonts w:asciiTheme="majorHAnsi" w:hAnsiTheme="majorHAnsi"/>
                <w:b/>
                <w:i/>
                <w:color w:val="C2D69B" w:themeColor="accent3" w:themeTint="99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FG21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6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Aktuelle Risikobewertung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Anpassung der Risikobewertung der Gesamtbevölkerung durch COVID-19 von hoch auf moderat?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Diskussion: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Zeitlichen Vorlauf bedenken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Unklar, ob nach den Festtagen Situation wieder anders ist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lastRenderedPageBreak/>
              <w:t>Aktuelle Risikobewertung bildet nicht ganz aktuelle Situation dar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Vorschlag an BMG reichen und in nächster Lage-AG diskutieren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Fonts w:asciiTheme="majorHAnsi" w:hAnsiTheme="majorHAnsi"/>
                <w:lang w:val="de-DE"/>
              </w:rPr>
            </w:pPr>
            <w:proofErr w:type="spellStart"/>
            <w:r>
              <w:rPr>
                <w:rFonts w:asciiTheme="majorHAnsi" w:hAnsiTheme="majorHAnsi"/>
                <w:i/>
              </w:rPr>
              <w:t>toDo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Risikobewertung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überarbeiten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Entwurf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br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 w:cs="Times New Roman"/>
                <w:sz w:val="22"/>
                <w:szCs w:val="22"/>
                <w:lang w:eastAsia="de-DE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FG36 (Haas)/Alle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7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Daten aus der Gesundheitsberichterstattung</w:t>
            </w:r>
          </w:p>
          <w:p>
            <w:pPr>
              <w:pStyle w:val="Liste1"/>
              <w:numPr>
                <w:ilvl w:val="0"/>
                <w:numId w:val="10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Evidenzsynthese zum Effekt der SARS-CoV-2 Schutzimpfung auf Long COVID im Vergleich von Personen mit und ohne Grundimmunisierung, </w:t>
            </w:r>
            <w:r>
              <w:rPr>
                <w:rFonts w:asciiTheme="majorHAnsi" w:hAnsiTheme="majorHAnsi"/>
              </w:rPr>
              <w:t xml:space="preserve">Folien </w:t>
            </w:r>
            <w:hyperlink r:id="rId14" w:history="1">
              <w:r>
                <w:rPr>
                  <w:rStyle w:val="Hyperlink"/>
                  <w:rFonts w:asciiTheme="majorHAnsi" w:hAnsiTheme="majorHAnsi"/>
                </w:rPr>
                <w:t>hier</w:t>
              </w:r>
            </w:hyperlink>
            <w:r>
              <w:rPr>
                <w:rFonts w:asciiTheme="majorHAnsi" w:hAnsiTheme="majorHAnsi"/>
                <w:b/>
              </w:rPr>
              <w:t xml:space="preserve"> </w:t>
            </w:r>
          </w:p>
          <w:p>
            <w:pPr>
              <w:pStyle w:val="Listenabsatz"/>
              <w:rPr>
                <w:rFonts w:asciiTheme="majorHAnsi" w:hAnsiTheme="majorHAnsi"/>
                <w:b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(FG25)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Christina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poethko-mueller</w:t>
            </w:r>
            <w:proofErr w:type="spellEnd"/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Cs w:val="28"/>
              </w:rPr>
              <w:t>Expertenbeirat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/>
                <w:i/>
                <w:color w:val="95B3D7" w:themeColor="accent1" w:themeTint="99"/>
                <w:sz w:val="22"/>
              </w:rPr>
              <w:t>(montags Vorbereitung, mittwochs Nachbereitung)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 Wieler konnte nicht teilnehmen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Auch im Expertenbeirate über aktuelle Krankheitsrisiko durch COVID-19 gesprochen; hier wird auch wahrgenommen, dass andere Atemwegserkrankungen dominieren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Thema: Immunität, wie lang hält Immunität an, Biomarker fehlt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Weitere Themen: Long COVID, Tests, wie kann zukünftig das Krankheitsgeschehen noch erfasst werden, Diskussion zu PCR-Test und Antigentests, Ergebnisse noch offen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Präsenssitzung am 11.12. und 12.12. in Schwerin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Zukunft des Expertenbeirates ebenfalls noch unklar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Leitung</w:t>
            </w:r>
          </w:p>
        </w:tc>
      </w:tr>
      <w:tr>
        <w:trPr>
          <w:trHeight w:val="518"/>
        </w:trP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9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Kommunikation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BZgA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Presse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P1</w:t>
            </w:r>
          </w:p>
          <w:p>
            <w:pPr>
              <w:pStyle w:val="Liste1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ARE Wintertipps Flyer wurde in weitere Sprachen übersetzt, sind seit letzter Woche auf Webseite verfügbar </w:t>
            </w:r>
          </w:p>
          <w:p>
            <w:pPr>
              <w:pStyle w:val="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Social</w:t>
            </w:r>
            <w:proofErr w:type="spellEnd"/>
            <w:r>
              <w:rPr>
                <w:rFonts w:asciiTheme="majorHAnsi" w:hAnsiTheme="majorHAnsi"/>
              </w:rPr>
              <w:t xml:space="preserve"> Media: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RKI jetzt auf Mastodon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„twittern“ dort seit 22.11.22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Wochenbericht 24.11.22 wird dort platziert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br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  <w:lang w:val="nb-NO"/>
              </w:rPr>
            </w:pPr>
            <w:r>
              <w:rPr>
                <w:rFonts w:asciiTheme="majorHAnsi" w:hAnsiTheme="majorHAnsi"/>
                <w:sz w:val="22"/>
                <w:szCs w:val="22"/>
                <w:lang w:val="nb-NO"/>
              </w:rPr>
              <w:t>BZgA (Linda Seefeld)</w:t>
            </w:r>
          </w:p>
          <w:p>
            <w:pPr>
              <w:rPr>
                <w:rFonts w:asciiTheme="majorHAnsi" w:hAnsiTheme="majorHAnsi"/>
                <w:sz w:val="22"/>
                <w:szCs w:val="22"/>
                <w:lang w:val="nb-NO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  <w:lang w:val="nb-NO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  <w:lang w:val="nb-NO"/>
              </w:rPr>
            </w:pPr>
            <w:r>
              <w:rPr>
                <w:rFonts w:asciiTheme="majorHAnsi" w:hAnsiTheme="majorHAnsi"/>
                <w:sz w:val="22"/>
                <w:szCs w:val="22"/>
                <w:lang w:val="nb-NO"/>
              </w:rPr>
              <w:t>Presse</w:t>
            </w:r>
            <w:r>
              <w:rPr>
                <w:rFonts w:asciiTheme="majorHAnsi" w:hAnsiTheme="majorHAnsi"/>
                <w:sz w:val="22"/>
                <w:szCs w:val="22"/>
                <w:lang w:val="nb-NO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  <w:lang w:val="nb-NO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P1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FG21 (Scheida)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RKI-Strategie Fragen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Allgemein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  <w:p>
            <w:pPr>
              <w:pStyle w:val="2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RKI-intern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Alle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Abt. 3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9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spacing w:line="276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Dokumente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Labordiagnostik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FG17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Virologisches Sentinel hatte in den letzten 4 Wochen ## Proben, davon:</w:t>
            </w:r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SARS-CoV-2</w:t>
            </w:r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## Rhinovirus</w:t>
            </w:r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## </w:t>
            </w:r>
            <w:proofErr w:type="spellStart"/>
            <w:r>
              <w:rPr>
                <w:rFonts w:asciiTheme="majorHAnsi" w:hAnsiTheme="majorHAnsi"/>
              </w:rPr>
              <w:t>Parainfluenzavirus</w:t>
            </w:r>
            <w:proofErr w:type="spellEnd"/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## </w:t>
            </w:r>
            <w:proofErr w:type="spellStart"/>
            <w:r>
              <w:rPr>
                <w:rFonts w:asciiTheme="majorHAnsi" w:hAnsiTheme="majorHAnsi"/>
              </w:rPr>
              <w:t>saisonale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endemische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Coronaviren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## Metapneumovirus</w:t>
            </w:r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## </w:t>
            </w:r>
            <w:proofErr w:type="spellStart"/>
            <w:r>
              <w:rPr>
                <w:rFonts w:asciiTheme="majorHAnsi" w:hAnsiTheme="majorHAnsi"/>
              </w:rPr>
              <w:t>Influenzavirus</w:t>
            </w:r>
            <w:proofErr w:type="spellEnd"/>
          </w:p>
          <w:p>
            <w:pPr>
              <w:pStyle w:val="Liste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Rest negative</w:t>
            </w:r>
          </w:p>
          <w:p>
            <w:pPr>
              <w:pStyle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ZBS1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FG17 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ZBS1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11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Klinisches Management/Entlassungsmanagement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rFonts w:asciiTheme="majorHAnsi" w:hAnsiTheme="majorHAnsi"/>
                <w:b w:val="0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ZBS7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12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Maßnahmen zum Infektionsschutz</w:t>
            </w:r>
          </w:p>
          <w:p>
            <w:pPr>
              <w:pStyle w:val="Liste1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13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Surveillance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Zusage vom BMG für Förderung der </w:t>
            </w:r>
            <w:proofErr w:type="spellStart"/>
            <w:r>
              <w:rPr>
                <w:rFonts w:asciiTheme="majorHAnsi" w:hAnsiTheme="majorHAnsi"/>
              </w:rPr>
              <w:t>Abwassersurveillance</w:t>
            </w:r>
            <w:proofErr w:type="spellEnd"/>
            <w:r>
              <w:rPr>
                <w:rFonts w:asciiTheme="majorHAnsi" w:hAnsiTheme="majorHAnsi"/>
              </w:rPr>
              <w:t xml:space="preserve"> (2-stellige Millionen Beitrag pro Jahr), muss noch an Standorte verteilt werden, 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bürgernaher Pandemieradar soll fertiggestellt werden; dafür sollen verständliche Texte erstellt werden; Daten sollen als Open Data bereitgestellt werden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 32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b w:val="0"/>
                <w:sz w:val="22"/>
              </w:rPr>
            </w:pPr>
            <w:r>
              <w:rPr>
                <w:rFonts w:asciiTheme="majorHAnsi" w:hAnsiTheme="majorHAnsi"/>
                <w:szCs w:val="28"/>
              </w:rPr>
              <w:t>14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 xml:space="preserve">Transport und Grenzübergangsstellen 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FG31 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b w:val="0"/>
                <w:sz w:val="22"/>
              </w:rPr>
            </w:pPr>
            <w:r>
              <w:rPr>
                <w:rFonts w:asciiTheme="majorHAnsi" w:hAnsiTheme="majorHAnsi"/>
                <w:szCs w:val="28"/>
              </w:rPr>
              <w:t>15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 xml:space="preserve">Information aus der Koordinierungsstelle 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Berichterstattung zwischen den Feiertagen 2022</w:t>
            </w:r>
          </w:p>
          <w:p>
            <w:pPr>
              <w:pStyle w:val="Liste2"/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Initiativbericht ans BMG erfolgt, dass zwischen Weihnachten und Neujahr Berichterstattung runtergefahren wird; Daten sind nicht aussagekräftig</w:t>
            </w:r>
          </w:p>
          <w:p>
            <w:pPr>
              <w:pStyle w:val="Liste2"/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RKI möchte ebenfalls zwischen den Feiertagen Berichterstattung einstellen, Ressourcen schonen</w:t>
            </w:r>
          </w:p>
          <w:p>
            <w:pPr>
              <w:pStyle w:val="Liste2"/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Rückmeldung vom BMG vertagt auf 16.12.22, abhängig von der epidemiologischen Lage zu dem Zeitpunkt, Entscheidung steht weiter aus</w:t>
            </w:r>
          </w:p>
          <w:p>
            <w:pPr>
              <w:pStyle w:val="Liste2"/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Wurde den Ländern in AGI und </w:t>
            </w:r>
            <w:proofErr w:type="spellStart"/>
            <w:r>
              <w:rPr>
                <w:rFonts w:asciiTheme="majorHAnsi" w:hAnsiTheme="majorHAnsi"/>
                <w:lang w:val="de-DE"/>
              </w:rPr>
              <w:t>Epi</w:t>
            </w:r>
            <w:proofErr w:type="spellEnd"/>
            <w:r>
              <w:rPr>
                <w:rFonts w:asciiTheme="majorHAnsi" w:hAnsiTheme="majorHAnsi"/>
                <w:lang w:val="de-DE"/>
              </w:rPr>
              <w:t>-Lag mitgeteilt, diese entscheiden dann selbst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rFonts w:asciiTheme="majorHAnsi" w:hAnsiTheme="majorHAnsi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FG31</w:t>
            </w:r>
            <w:r>
              <w:rPr>
                <w:rFonts w:asciiTheme="majorHAnsi" w:hAnsiTheme="majorHAnsi"/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b w:val="0"/>
                <w:sz w:val="22"/>
              </w:rPr>
            </w:pPr>
            <w:r>
              <w:rPr>
                <w:rFonts w:asciiTheme="majorHAnsi" w:hAnsiTheme="majorHAnsi"/>
                <w:szCs w:val="28"/>
              </w:rPr>
              <w:t>16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Wichtige Termine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Alle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b w:val="0"/>
                <w:sz w:val="22"/>
              </w:rPr>
            </w:pPr>
            <w:r>
              <w:rPr>
                <w:rFonts w:asciiTheme="majorHAnsi" w:hAnsiTheme="majorHAnsi"/>
                <w:szCs w:val="28"/>
              </w:rPr>
              <w:t>17</w:t>
            </w:r>
          </w:p>
        </w:tc>
        <w:tc>
          <w:tcPr>
            <w:tcW w:w="6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1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Andere Themen</w:t>
            </w:r>
          </w:p>
          <w:p>
            <w:pPr>
              <w:pStyle w:val="Liste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Nächste Sitzung: Mittwoch, 07.12.2022, 11:00 Uhr, via </w:t>
            </w:r>
            <w:proofErr w:type="spellStart"/>
            <w:r>
              <w:rPr>
                <w:rFonts w:asciiTheme="majorHAnsi" w:hAnsiTheme="majorHAnsi"/>
              </w:rPr>
              <w:t>Webex</w:t>
            </w:r>
            <w:proofErr w:type="spellEnd"/>
            <w:r>
              <w:rPr>
                <w:rFonts w:asciiTheme="majorHAnsi" w:hAnsiTheme="majorHAnsi"/>
              </w:rPr>
              <w:br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>
      <w:pPr>
        <w:rPr>
          <w:rFonts w:asciiTheme="majorHAnsi" w:hAnsiTheme="majorHAnsi"/>
          <w:b/>
          <w:sz w:val="22"/>
          <w:szCs w:val="22"/>
        </w:rPr>
      </w:pPr>
    </w:p>
    <w:p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Ende: 12:57 Uhr </w:t>
      </w:r>
    </w:p>
    <w:p>
      <w:pPr>
        <w:rPr>
          <w:rFonts w:asciiTheme="majorHAnsi" w:hAnsiTheme="majorHAnsi"/>
          <w:sz w:val="22"/>
          <w:szCs w:val="22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23179"/>
    <w:multiLevelType w:val="hybridMultilevel"/>
    <w:tmpl w:val="D9540F58"/>
    <w:lvl w:ilvl="0" w:tplc="52C24A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A208B"/>
    <w:multiLevelType w:val="hybridMultilevel"/>
    <w:tmpl w:val="5C00C1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C0447"/>
    <w:multiLevelType w:val="hybridMultilevel"/>
    <w:tmpl w:val="4D2E7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0707A"/>
    <w:multiLevelType w:val="hybridMultilevel"/>
    <w:tmpl w:val="66EE0D92"/>
    <w:lvl w:ilvl="0" w:tplc="0407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2"/>
  </w:num>
  <w:num w:numId="14">
    <w:abstractNumId w:val="4"/>
  </w:num>
  <w:num w:numId="15">
    <w:abstractNumId w:val="2"/>
  </w:num>
  <w:num w:numId="16">
    <w:abstractNumId w:val="4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2"/>
  </w:num>
  <w:num w:numId="22">
    <w:abstractNumId w:val="4"/>
  </w:num>
  <w:num w:numId="23">
    <w:abstractNumId w:val="4"/>
  </w:num>
  <w:num w:numId="24">
    <w:abstractNumId w:val="2"/>
  </w:num>
  <w:num w:numId="25">
    <w:abstractNumId w:val="4"/>
  </w:num>
  <w:num w:numId="26">
    <w:abstractNumId w:val="2"/>
  </w:num>
  <w:num w:numId="27">
    <w:abstractNumId w:val="2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  <w:num w:numId="3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82276-8EA8-453C-8BD5-A6799A4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Pr>
      <w:rFonts w:ascii="Calibri" w:hAnsi="Calibri"/>
      <w:szCs w:val="21"/>
    </w:rPr>
  </w:style>
  <w:style w:type="character" w:customStyle="1" w:styleId="ListenabsatzZchn">
    <w:name w:val="Listenabsatz Zchn"/>
    <w:basedOn w:val="Absatz-Standardschriftart"/>
    <w:link w:val="Listenabsatz"/>
    <w:uiPriority w:val="34"/>
    <w:locked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  <w:rPr>
      <w:sz w:val="22"/>
      <w:szCs w:val="22"/>
    </w:rPr>
  </w:style>
  <w:style w:type="character" w:customStyle="1" w:styleId="1Zchn">
    <w:name w:val="Ü1 Zchn"/>
    <w:basedOn w:val="Absatz-Standardschriftart"/>
    <w:link w:val="1"/>
    <w:locked/>
    <w:rPr>
      <w:b/>
      <w:sz w:val="28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  <w:szCs w:val="22"/>
    </w:rPr>
  </w:style>
  <w:style w:type="character" w:customStyle="1" w:styleId="2Zchn">
    <w:name w:val="Ü2 Zchn"/>
    <w:basedOn w:val="Absatz-Standardschriftart"/>
    <w:link w:val="2"/>
    <w:locked/>
    <w:rPr>
      <w:b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  <w:sz w:val="22"/>
      <w:szCs w:val="22"/>
    </w:rPr>
  </w:style>
  <w:style w:type="character" w:customStyle="1" w:styleId="3Zchn">
    <w:name w:val="Ü3 Zchn"/>
    <w:basedOn w:val="Absatz-Standardschriftart"/>
    <w:link w:val="3"/>
    <w:locked/>
    <w:rPr>
      <w:b/>
    </w:rPr>
  </w:style>
  <w:style w:type="paragraph" w:customStyle="1" w:styleId="3">
    <w:name w:val="Ü3"/>
    <w:basedOn w:val="Listenabsatz"/>
    <w:link w:val="3Zchn"/>
    <w:qFormat/>
    <w:pPr>
      <w:numPr>
        <w:numId w:val="1"/>
      </w:numPr>
      <w:spacing w:before="120" w:after="0"/>
    </w:pPr>
    <w:rPr>
      <w:b/>
    </w:rPr>
  </w:style>
  <w:style w:type="character" w:customStyle="1" w:styleId="Liste1Zchn">
    <w:name w:val="Liste1 Zchn"/>
    <w:basedOn w:val="ListenabsatzZchn"/>
    <w:link w:val="Liste1"/>
    <w:locked/>
  </w:style>
  <w:style w:type="paragraph" w:customStyle="1" w:styleId="Liste1">
    <w:name w:val="Liste1"/>
    <w:basedOn w:val="Listenabsatz"/>
    <w:link w:val="Liste1Zchn"/>
    <w:qFormat/>
    <w:pPr>
      <w:numPr>
        <w:numId w:val="2"/>
      </w:numPr>
      <w:spacing w:after="0"/>
    </w:pPr>
  </w:style>
  <w:style w:type="character" w:customStyle="1" w:styleId="Liste2Zchn">
    <w:name w:val="Liste2 Zchn"/>
    <w:basedOn w:val="ListenabsatzZchn"/>
    <w:link w:val="Liste2"/>
    <w:locked/>
    <w:rPr>
      <w:lang w:val="en-GB"/>
    </w:rPr>
  </w:style>
  <w:style w:type="paragraph" w:customStyle="1" w:styleId="Liste2">
    <w:name w:val="Liste2"/>
    <w:basedOn w:val="Listenabsatz"/>
    <w:link w:val="Liste2Zchn"/>
    <w:qFormat/>
    <w:pPr>
      <w:numPr>
        <w:numId w:val="3"/>
      </w:numPr>
      <w:spacing w:after="0"/>
    </w:pPr>
    <w:rPr>
      <w:lang w:val="en-GB"/>
    </w:rPr>
  </w:style>
  <w:style w:type="character" w:customStyle="1" w:styleId="Liste3Zchn">
    <w:name w:val="Liste3 Zchn"/>
    <w:basedOn w:val="ListenabsatzZchn"/>
    <w:link w:val="Liste3"/>
    <w:locked/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2"/>
      </w:numPr>
      <w:spacing w:after="0"/>
    </w:pPr>
  </w:style>
  <w:style w:type="character" w:customStyle="1" w:styleId="TagFrZchn">
    <w:name w:val="Tag_Fr Zchn"/>
    <w:basedOn w:val="Absatz-Standardschriftart"/>
    <w:link w:val="TagFr"/>
    <w:locked/>
    <w:rPr>
      <w:b/>
      <w:i/>
      <w:color w:val="8DB3E2" w:themeColor="text2" w:themeTint="66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TagMiZchn">
    <w:name w:val="Tag_Mi Zchn"/>
    <w:basedOn w:val="ListenabsatzZchn"/>
    <w:link w:val="TagMi"/>
    <w:locked/>
    <w:rPr>
      <w:b/>
      <w:i/>
      <w:color w:val="D99594" w:themeColor="accent2" w:themeTint="99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character" w:customStyle="1" w:styleId="highlight">
    <w:name w:val="highlight"/>
    <w:basedOn w:val="Absatz-Standardschriftart"/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7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5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8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1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pi.de/rsv-survey-update/" TargetMode="External"/><Relationship Id="rId13" Type="http://schemas.openxmlformats.org/officeDocument/2006/relationships/hyperlink" Target="https://www.nature.com/articles/s41591-022-02051-3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S:\Wissdaten\RKI_nCoV-Lage\1.Lagemanagement\1.3.Besprechungen_TKs\1.Lage_AG\2022-11-23-Lage-AG\2022-11-23_Intensivregister_SPoCK.pptx" TargetMode="External"/><Relationship Id="rId12" Type="http://schemas.openxmlformats.org/officeDocument/2006/relationships/hyperlink" Target="file:///S:\Wissdaten\RKI_nCoV-Lage\1.Lagemanagement\1.3.Besprechungen_TKs\1.Lage_AG\2022-11-23-Lage-AG\COVID-19_internat.%20Lage_2022-11-23.ppt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S:\Wissdaten\RKI_nCoV-Lage\1.Lagemanagement\1.3.Besprechungen_TKs\1.Lage_AG\2022-11-23-Lage-AG\LageNational_2022-11-23_draft.pptx" TargetMode="External"/><Relationship Id="rId11" Type="http://schemas.openxmlformats.org/officeDocument/2006/relationships/hyperlink" Target="file:///S:\Wissdaten\RKI_nCoV-Lage\1.Lagemanagement\1.3.Besprechungen_TKs\1.Lage_AG\2022-11-23-Lage-AG\2022-11_23_LageAG-VOC.pptx" TargetMode="External"/><Relationship Id="rId5" Type="http://schemas.openxmlformats.org/officeDocument/2006/relationships/hyperlink" Target="file:///S:\Wissdaten\RKI_nCoV-Lage\1.Lagemanagement\1.3.Besprechungen_TKs\1.Lage_AG\2022-11-23-Lage-AG\COVID-19_internat.%20Lage_2022-11-23.ppt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S:\Wissdaten\RKI_nCoV-Lage\1.Lagemanagement\1.3.Besprechungen_TKs\1.Lage_AG\2022-11-23-Lage-AG\2022-11_23_LageAG-VOC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S:\Wissdaten\RKI_nCoV-Lage\1.Lagemanagement\1.3.Besprechungen_TKs\1.Lage_AG\2022-11-23-Lage-AG\syndrom-ARE-SARI-COVID_bis_KW46_2022_f&#252;r-Krisenstab.pptx" TargetMode="External"/><Relationship Id="rId14" Type="http://schemas.openxmlformats.org/officeDocument/2006/relationships/hyperlink" Target="file:///S:\Wissdaten\RKI_nCoV-Lage\1.Lagemanagement\1.3.Besprechungen_TKs\1.Lage_AG\2022-11-23-Lage-AG\Pr&#228;sentation_ID4627_Impfungen_Long_COVID_23112022Krisenstab.pp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1816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Püschel, Nadine</dc:creator>
  <cp:keywords/>
  <dc:description/>
  <cp:lastModifiedBy>Püschel, Nadine</cp:lastModifiedBy>
  <cp:revision>3</cp:revision>
  <dcterms:created xsi:type="dcterms:W3CDTF">2022-11-24T18:44:00Z</dcterms:created>
  <dcterms:modified xsi:type="dcterms:W3CDTF">2022-11-25T06:22:00Z</dcterms:modified>
</cp:coreProperties>
</file>