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04.01.2023,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Alexandra Hofmann</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1"/>
          <w:numId w:val="2"/>
        </w:numPr>
        <w:spacing w:after="0"/>
        <w:contextualSpacing w:val="0"/>
        <w:rPr>
          <w:sz w:val="22"/>
        </w:rPr>
      </w:pPr>
      <w:r>
        <w:rPr>
          <w:sz w:val="22"/>
        </w:rPr>
        <w:t>Jonathan Fischer-Fels</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proofErr w:type="spellStart"/>
      <w:r>
        <w:rPr>
          <w:sz w:val="22"/>
          <w:szCs w:val="22"/>
        </w:rPr>
        <w:t>Turid</w:t>
      </w:r>
      <w:proofErr w:type="spellEnd"/>
      <w:r>
        <w:rPr>
          <w:sz w:val="22"/>
          <w:szCs w:val="22"/>
        </w:rPr>
        <w:t xml:space="preserve"> </w:t>
      </w:r>
      <w:proofErr w:type="spellStart"/>
      <w:r>
        <w:rPr>
          <w:sz w:val="22"/>
          <w:szCs w:val="22"/>
        </w:rPr>
        <w:t>Peining</w:t>
      </w:r>
      <w:proofErr w:type="spellEnd"/>
    </w:p>
    <w:p>
      <w:pPr>
        <w:pStyle w:val="Listenabsatz"/>
        <w:numPr>
          <w:ilvl w:val="0"/>
          <w:numId w:val="3"/>
        </w:numPr>
        <w:spacing w:after="0"/>
        <w:contextualSpacing w:val="0"/>
        <w:rPr>
          <w:sz w:val="22"/>
          <w:szCs w:val="22"/>
        </w:rPr>
      </w:pPr>
      <w:r>
        <w:rPr>
          <w:sz w:val="22"/>
          <w:szCs w:val="22"/>
        </w:rPr>
        <w:t>MFI</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Jamela Seedat</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Andreas Jansen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pStyle w:val="Listenabsatz"/>
        <w:numPr>
          <w:ilvl w:val="0"/>
          <w:numId w:val="2"/>
        </w:numPr>
        <w:spacing w:after="0"/>
        <w:contextualSpacing w:val="0"/>
        <w:rPr>
          <w:sz w:val="22"/>
          <w:szCs w:val="22"/>
        </w:rPr>
      </w:pPr>
      <w:r>
        <w:rPr>
          <w:sz w:val="22"/>
          <w:szCs w:val="22"/>
        </w:rPr>
        <w:t>L1</w:t>
      </w:r>
    </w:p>
    <w:p>
      <w:pPr>
        <w:pStyle w:val="Listenabsatz"/>
        <w:numPr>
          <w:ilvl w:val="1"/>
          <w:numId w:val="2"/>
        </w:numPr>
        <w:spacing w:after="0"/>
        <w:contextualSpacing w:val="0"/>
        <w:rPr>
          <w:sz w:val="22"/>
          <w:szCs w:val="22"/>
        </w:rPr>
      </w:pPr>
      <w:r>
        <w:rPr>
          <w:sz w:val="22"/>
          <w:szCs w:val="22"/>
        </w:rPr>
        <w:t>Bettina Hanke</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spacing w:line="276" w:lineRule="auto"/>
            </w:pPr>
            <w:r>
              <w:t>(nicht berichtet)</w:t>
            </w:r>
          </w:p>
          <w:p>
            <w:pPr>
              <w:pStyle w:val="Liste2"/>
            </w:pPr>
            <w:proofErr w:type="spellStart"/>
            <w:r>
              <w:t>Folien</w:t>
            </w:r>
            <w:proofErr w:type="spellEnd"/>
            <w:r>
              <w:t xml:space="preserve"> </w:t>
            </w:r>
            <w:hyperlink r:id="rId11" w:history="1">
              <w:proofErr w:type="spellStart"/>
              <w:r>
                <w:rPr>
                  <w:rStyle w:val="Hyperlink"/>
                  <w:highlight w:val="yellow"/>
                </w:rPr>
                <w:t>hier</w:t>
              </w:r>
              <w:proofErr w:type="spellEnd"/>
            </w:hyperlink>
          </w:p>
          <w:p>
            <w:pPr>
              <w:pStyle w:val="Liste2"/>
              <w:rPr>
                <w:lang w:val="de-DE"/>
              </w:rPr>
            </w:pPr>
            <w:r>
              <w:rPr>
                <w:lang w:val="de-DE"/>
              </w:rPr>
              <w:t>Fallzahlen stark gesunken, Daten sind mit Berücksichtigung der Feiertage und weniger Meldungen zu interpretieren</w:t>
            </w:r>
          </w:p>
          <w:p>
            <w:pPr>
              <w:pStyle w:val="Liste2"/>
              <w:rPr>
                <w:lang w:val="de-DE"/>
              </w:rPr>
            </w:pPr>
            <w:r>
              <w:rPr>
                <w:lang w:val="de-DE"/>
              </w:rPr>
              <w:t>In Ozeanien Zuwachs der Fallzahlen, begründet durch Nachmeldungen</w:t>
            </w:r>
          </w:p>
          <w:p>
            <w:pPr>
              <w:pStyle w:val="Liste2"/>
              <w:rPr>
                <w:lang w:val="de-DE"/>
              </w:rPr>
            </w:pPr>
            <w:r>
              <w:rPr>
                <w:lang w:val="de-DE"/>
              </w:rPr>
              <w:t>Höchste 7-Tages-Inzidenz in Frankreich, Deutschland, Vereinigte Staaten und Chile</w:t>
            </w:r>
          </w:p>
          <w:p>
            <w:pPr>
              <w:pStyle w:val="Liste2"/>
            </w:pPr>
            <w:proofErr w:type="spellStart"/>
            <w:r>
              <w:t>Andere</w:t>
            </w:r>
            <w:proofErr w:type="spellEnd"/>
            <w:r>
              <w:t xml:space="preserve"> </w:t>
            </w:r>
            <w:proofErr w:type="spellStart"/>
            <w:r>
              <w:t>Berichte</w:t>
            </w:r>
            <w:proofErr w:type="spellEnd"/>
            <w:r>
              <w:t xml:space="preserve">: </w:t>
            </w:r>
          </w:p>
          <w:p>
            <w:pPr>
              <w:pStyle w:val="Liste2"/>
              <w:numPr>
                <w:ilvl w:val="0"/>
                <w:numId w:val="0"/>
              </w:numPr>
              <w:ind w:left="833" w:hanging="360"/>
            </w:pPr>
            <w:r>
              <w:t>COVID-19-Lage in China</w:t>
            </w:r>
          </w:p>
          <w:p>
            <w:pPr>
              <w:pStyle w:val="Liste2"/>
              <w:numPr>
                <w:ilvl w:val="1"/>
                <w:numId w:val="7"/>
              </w:numPr>
              <w:rPr>
                <w:lang w:val="de-DE"/>
              </w:rPr>
            </w:pPr>
            <w:r>
              <w:rPr>
                <w:lang w:val="de-DE"/>
              </w:rPr>
              <w:t xml:space="preserve">Daten gelten für das </w:t>
            </w:r>
            <w:proofErr w:type="gramStart"/>
            <w:r>
              <w:rPr>
                <w:lang w:val="de-DE"/>
              </w:rPr>
              <w:t>Festland China</w:t>
            </w:r>
            <w:proofErr w:type="gramEnd"/>
          </w:p>
          <w:p>
            <w:pPr>
              <w:pStyle w:val="Liste2"/>
              <w:numPr>
                <w:ilvl w:val="1"/>
                <w:numId w:val="7"/>
              </w:numPr>
              <w:rPr>
                <w:lang w:val="de-DE"/>
              </w:rPr>
            </w:pPr>
            <w:r>
              <w:rPr>
                <w:lang w:val="de-DE"/>
              </w:rPr>
              <w:t xml:space="preserve">In der letzten Woche wurden durchschnittlich 5.386 neue Fälle/d gemeldet (7T-I: 10/100,000 </w:t>
            </w:r>
            <w:proofErr w:type="spellStart"/>
            <w:r>
              <w:rPr>
                <w:lang w:val="de-DE"/>
              </w:rPr>
              <w:t>Ew</w:t>
            </w:r>
            <w:proofErr w:type="spellEnd"/>
            <w:r>
              <w:rPr>
                <w:lang w:val="de-DE"/>
              </w:rPr>
              <w:t>.)</w:t>
            </w:r>
          </w:p>
          <w:p>
            <w:pPr>
              <w:pStyle w:val="Liste2"/>
              <w:numPr>
                <w:ilvl w:val="1"/>
                <w:numId w:val="7"/>
              </w:numPr>
            </w:pPr>
            <w:r>
              <w:t xml:space="preserve">Am 03.01.23.: 7.689 </w:t>
            </w:r>
            <w:proofErr w:type="spellStart"/>
            <w:r>
              <w:t>neue</w:t>
            </w:r>
            <w:proofErr w:type="spellEnd"/>
            <w:r>
              <w:t xml:space="preserve"> </w:t>
            </w:r>
            <w:proofErr w:type="spellStart"/>
            <w:r>
              <w:t>Fälle</w:t>
            </w:r>
            <w:proofErr w:type="spellEnd"/>
            <w:r>
              <w:t xml:space="preserve">, 5 </w:t>
            </w:r>
            <w:proofErr w:type="spellStart"/>
            <w:r>
              <w:t>Todesfälle</w:t>
            </w:r>
            <w:proofErr w:type="spellEnd"/>
          </w:p>
          <w:p>
            <w:pPr>
              <w:pStyle w:val="Liste2"/>
              <w:numPr>
                <w:ilvl w:val="1"/>
                <w:numId w:val="7"/>
              </w:numPr>
              <w:rPr>
                <w:lang w:val="de-DE"/>
              </w:rPr>
            </w:pPr>
            <w:r>
              <w:rPr>
                <w:lang w:val="de-DE"/>
              </w:rPr>
              <w:t>Zahl der Todesfälle konstant (7T: 32)</w:t>
            </w:r>
          </w:p>
          <w:p>
            <w:pPr>
              <w:pStyle w:val="Liste2"/>
              <w:numPr>
                <w:ilvl w:val="1"/>
                <w:numId w:val="7"/>
              </w:numPr>
            </w:pPr>
            <w:proofErr w:type="spellStart"/>
            <w:r>
              <w:rPr>
                <w:lang w:val="en-US"/>
              </w:rPr>
              <w:t>Insgesamt</w:t>
            </w:r>
            <w:proofErr w:type="spellEnd"/>
            <w:r>
              <w:rPr>
                <w:lang w:val="en-US"/>
              </w:rPr>
              <w:t xml:space="preserve"> 452.517 </w:t>
            </w:r>
            <w:proofErr w:type="spellStart"/>
            <w:r>
              <w:rPr>
                <w:lang w:val="en-US"/>
              </w:rPr>
              <w:t>Fälle</w:t>
            </w:r>
            <w:proofErr w:type="spellEnd"/>
            <w:r>
              <w:rPr>
                <w:lang w:val="en-US"/>
              </w:rPr>
              <w:t xml:space="preserve"> und 5.258 </w:t>
            </w:r>
            <w:proofErr w:type="spellStart"/>
            <w:r>
              <w:rPr>
                <w:lang w:val="en-US"/>
              </w:rPr>
              <w:t>Todesfälle</w:t>
            </w:r>
            <w:proofErr w:type="spellEnd"/>
          </w:p>
          <w:p>
            <w:pPr>
              <w:pStyle w:val="Liste2"/>
              <w:numPr>
                <w:ilvl w:val="1"/>
                <w:numId w:val="7"/>
              </w:numPr>
              <w:rPr>
                <w:lang w:val="de-DE"/>
              </w:rPr>
            </w:pPr>
            <w:r>
              <w:rPr>
                <w:lang w:val="de-DE"/>
              </w:rPr>
              <w:t>Medienberichten zufolge gehen Schätzungen der Gesundheitsbehörden davon aus, dass sich 37 Millionen Menschen in China an einem einzigen Tag in der Woche vom 19. bis 25. Dezember mit COVID-19 infiziert haben könnten, und 248 Millionen Menschen in den ersten 20 Tagen des Dezembers</w:t>
            </w:r>
          </w:p>
          <w:p>
            <w:pPr>
              <w:pStyle w:val="Liste2"/>
              <w:numPr>
                <w:ilvl w:val="1"/>
                <w:numId w:val="7"/>
              </w:numPr>
              <w:rPr>
                <w:lang w:val="de-DE"/>
              </w:rPr>
            </w:pPr>
            <w:r>
              <w:rPr>
                <w:lang w:val="de-DE"/>
              </w:rPr>
              <w:t>Vom 01.12.2022 bis zum 03.01.2023 sequenzierte das chinesische CDC 2.444 lokale Fälle</w:t>
            </w:r>
          </w:p>
          <w:p>
            <w:pPr>
              <w:pStyle w:val="Liste2"/>
              <w:numPr>
                <w:ilvl w:val="1"/>
                <w:numId w:val="7"/>
              </w:numPr>
              <w:rPr>
                <w:lang w:val="de-DE"/>
              </w:rPr>
            </w:pPr>
            <w:r>
              <w:rPr>
                <w:lang w:val="de-DE"/>
              </w:rPr>
              <w:t xml:space="preserve">Die </w:t>
            </w:r>
            <w:proofErr w:type="spellStart"/>
            <w:r>
              <w:rPr>
                <w:lang w:val="de-DE"/>
              </w:rPr>
              <w:t>Omicron</w:t>
            </w:r>
            <w:proofErr w:type="spellEnd"/>
            <w:r>
              <w:rPr>
                <w:lang w:val="de-DE"/>
              </w:rPr>
              <w:t xml:space="preserve">-Subvarianten BA.5.2 und BF.7 waren die vorherrschenden Stämme und machten 97,5 % der Fälle aus (XBB.1: 0.04%); es wurden keine neuen Varianten entdeckt </w:t>
            </w:r>
          </w:p>
          <w:p>
            <w:pPr>
              <w:pStyle w:val="Liste2"/>
              <w:numPr>
                <w:ilvl w:val="1"/>
                <w:numId w:val="7"/>
              </w:numPr>
              <w:rPr>
                <w:lang w:val="de-DE"/>
              </w:rPr>
            </w:pPr>
            <w:r>
              <w:rPr>
                <w:lang w:val="de-DE"/>
              </w:rPr>
              <w:t>ECDC: Die in China zirkulierenden Varianten sind bereits in der EU im Umlauf und stellen daher keine Herausforderung für die Immunantwort von EU/EWR-Bürgern dar. Außerdem sind die EU-/EWR-Bürger relativ häufig geimpft und immunisiert.</w:t>
            </w:r>
          </w:p>
          <w:p>
            <w:pPr>
              <w:pStyle w:val="Liste2"/>
              <w:numPr>
                <w:ilvl w:val="1"/>
                <w:numId w:val="7"/>
              </w:numPr>
              <w:rPr>
                <w:lang w:val="de-DE"/>
              </w:rPr>
            </w:pPr>
            <w:r>
              <w:rPr>
                <w:lang w:val="de-DE"/>
              </w:rPr>
              <w:t>Unterschiede zwischen den Ländern in den Maßnahmen bei Einreise aus China, mit einer Dynamik in der Anpassung der Maßnahmen ist zu rechnen</w:t>
            </w:r>
          </w:p>
          <w:p>
            <w:pPr>
              <w:pStyle w:val="Liste2"/>
              <w:numPr>
                <w:ilvl w:val="0"/>
                <w:numId w:val="0"/>
              </w:numPr>
              <w:ind w:left="833" w:hanging="360"/>
              <w:rPr>
                <w:lang w:val="de-DE"/>
              </w:rPr>
            </w:pPr>
            <w:r>
              <w:rPr>
                <w:lang w:val="de-DE"/>
              </w:rPr>
              <w:t>COVID-19- USA und XBB.1.5.</w:t>
            </w:r>
          </w:p>
          <w:p>
            <w:pPr>
              <w:pStyle w:val="Liste2"/>
              <w:numPr>
                <w:ilvl w:val="1"/>
                <w:numId w:val="7"/>
              </w:numPr>
              <w:rPr>
                <w:lang w:val="de-DE"/>
              </w:rPr>
            </w:pPr>
            <w:r>
              <w:rPr>
                <w:lang w:val="de-DE"/>
              </w:rPr>
              <w:t xml:space="preserve">In der letzten Woche 396.130 neue Fälle; -21% (7T-I: 120/100,000 </w:t>
            </w:r>
            <w:proofErr w:type="spellStart"/>
            <w:r>
              <w:rPr>
                <w:lang w:val="de-DE"/>
              </w:rPr>
              <w:t>Ew</w:t>
            </w:r>
            <w:proofErr w:type="spellEnd"/>
            <w:r>
              <w:rPr>
                <w:lang w:val="de-DE"/>
              </w:rPr>
              <w:t>.)</w:t>
            </w:r>
          </w:p>
          <w:p>
            <w:pPr>
              <w:pStyle w:val="Liste2"/>
              <w:numPr>
                <w:ilvl w:val="1"/>
                <w:numId w:val="7"/>
              </w:numPr>
              <w:rPr>
                <w:lang w:val="de-DE"/>
              </w:rPr>
            </w:pPr>
            <w:r>
              <w:rPr>
                <w:lang w:val="de-DE"/>
              </w:rPr>
              <w:t xml:space="preserve"> 26.232 Hospitalisierungen in den letzten 7 Tagen (+10%)</w:t>
            </w:r>
          </w:p>
          <w:p>
            <w:pPr>
              <w:pStyle w:val="Liste2"/>
              <w:numPr>
                <w:ilvl w:val="1"/>
                <w:numId w:val="7"/>
              </w:numPr>
              <w:rPr>
                <w:lang w:val="de-DE"/>
              </w:rPr>
            </w:pPr>
            <w:r>
              <w:rPr>
                <w:lang w:val="de-DE"/>
              </w:rPr>
              <w:t>Zahl der Todesfälle in den letzten 7 Tagen: 2255 (-23%)</w:t>
            </w:r>
          </w:p>
          <w:p>
            <w:pPr>
              <w:pStyle w:val="Liste2"/>
              <w:numPr>
                <w:ilvl w:val="1"/>
                <w:numId w:val="7"/>
              </w:numPr>
            </w:pPr>
            <w:r>
              <w:t xml:space="preserve">XBB.1.5.: 40.5% </w:t>
            </w:r>
            <w:proofErr w:type="spellStart"/>
            <w:r>
              <w:t>aller</w:t>
            </w:r>
            <w:proofErr w:type="spellEnd"/>
            <w:r>
              <w:t xml:space="preserve"> </w:t>
            </w:r>
            <w:proofErr w:type="spellStart"/>
            <w:r>
              <w:t>sequenzierten</w:t>
            </w:r>
            <w:proofErr w:type="spellEnd"/>
            <w:r>
              <w:t xml:space="preserve"> Isolate</w:t>
            </w:r>
          </w:p>
          <w:p>
            <w:pPr>
              <w:pStyle w:val="Liste2"/>
              <w:numPr>
                <w:ilvl w:val="1"/>
                <w:numId w:val="7"/>
              </w:numPr>
              <w:rPr>
                <w:lang w:val="de-DE"/>
              </w:rPr>
            </w:pPr>
            <w:r>
              <w:rPr>
                <w:lang w:val="de-DE"/>
              </w:rPr>
              <w:t xml:space="preserve">Hospitalisierungsrate ist in allen Bundesstaaten proportional gleich. Spricht dafür, dass die </w:t>
            </w:r>
            <w:r>
              <w:rPr>
                <w:lang w:val="de-DE"/>
              </w:rPr>
              <w:lastRenderedPageBreak/>
              <w:t>Krankheitsschwere durch die Variante nicht verstärkt ist</w:t>
            </w:r>
          </w:p>
          <w:p>
            <w:pPr>
              <w:pStyle w:val="Liste2"/>
              <w:numPr>
                <w:ilvl w:val="1"/>
                <w:numId w:val="7"/>
              </w:numPr>
              <w:rPr>
                <w:lang w:val="de-DE"/>
              </w:rPr>
            </w:pPr>
            <w:r>
              <w:rPr>
                <w:lang w:val="de-DE"/>
              </w:rPr>
              <w:t xml:space="preserve">Keine Evidenz auf Immune </w:t>
            </w:r>
            <w:proofErr w:type="spellStart"/>
            <w:r>
              <w:rPr>
                <w:lang w:val="de-DE"/>
              </w:rPr>
              <w:t>escape</w:t>
            </w:r>
            <w:proofErr w:type="spellEnd"/>
          </w:p>
          <w:p>
            <w:pPr>
              <w:pStyle w:val="Liste2"/>
              <w:numPr>
                <w:ilvl w:val="0"/>
                <w:numId w:val="0"/>
              </w:numPr>
              <w:ind w:left="1553"/>
              <w:rPr>
                <w:lang w:val="de-DE"/>
              </w:r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highlight w:val="yellow"/>
                </w:rPr>
                <w:t>hier</w:t>
              </w:r>
              <w:proofErr w:type="spellEnd"/>
            </w:hyperlink>
          </w:p>
          <w:p>
            <w:pPr>
              <w:pStyle w:val="Liste2"/>
              <w:rPr>
                <w:lang w:val="de-DE"/>
              </w:rPr>
            </w:pPr>
            <w:r>
              <w:rPr>
                <w:lang w:val="de-DE"/>
              </w:rPr>
              <w:t>Info: Diese Woche erscheint kein Wochenbericht. Der ARE-Wochenbericht erscheint wie üblich</w:t>
            </w:r>
          </w:p>
          <w:p>
            <w:pPr>
              <w:pStyle w:val="Liste2"/>
              <w:rPr>
                <w:lang w:val="de-DE"/>
              </w:rPr>
            </w:pPr>
            <w:proofErr w:type="spellStart"/>
            <w:r>
              <w:rPr>
                <w:lang w:val="de-DE"/>
              </w:rPr>
              <w:t>SurvNet</w:t>
            </w:r>
            <w:proofErr w:type="spellEnd"/>
            <w:r>
              <w:rPr>
                <w:lang w:val="de-DE"/>
              </w:rPr>
              <w:t xml:space="preserve"> übermittelt: 37.446.795 (+36.145), davon 162.021 (+307) Todesfälle </w:t>
            </w:r>
          </w:p>
          <w:p>
            <w:pPr>
              <w:pStyle w:val="Liste2"/>
            </w:pPr>
            <w:r>
              <w:t xml:space="preserve">7-Tage-Inzidenz:  189,0/100.000 </w:t>
            </w:r>
            <w:proofErr w:type="spellStart"/>
            <w:r>
              <w:t>Einw</w:t>
            </w:r>
            <w:proofErr w:type="spellEnd"/>
            <w:r>
              <w:t>.</w:t>
            </w:r>
          </w:p>
          <w:p>
            <w:pPr>
              <w:pStyle w:val="Liste2"/>
              <w:rPr>
                <w:lang w:val="de-DE"/>
              </w:rPr>
            </w:pPr>
            <w:r>
              <w:rPr>
                <w:lang w:val="de-DE"/>
              </w:rPr>
              <w:t>Impfmonitoring: Geimpfte mit 1. Dosis 64.849.845 (77,9%), mit vollständiger Impfung 52.086.009 (62,6%)</w:t>
            </w:r>
          </w:p>
          <w:p>
            <w:pPr>
              <w:pStyle w:val="Liste2"/>
              <w:rPr>
                <w:lang w:val="de-DE"/>
              </w:rPr>
            </w:pPr>
            <w:r>
              <w:rPr>
                <w:lang w:val="de-DE"/>
              </w:rPr>
              <w:t>Verlauf der 7-Tage-Inzidenz der Bundesländer:</w:t>
            </w:r>
          </w:p>
          <w:p>
            <w:pPr>
              <w:pStyle w:val="Liste3"/>
            </w:pPr>
            <w:r>
              <w:t>Starker Rückgang der Zahlen</w:t>
            </w:r>
          </w:p>
          <w:p>
            <w:pPr>
              <w:pStyle w:val="Liste3"/>
            </w:pPr>
            <w:r>
              <w:t>Geografische Verteilung der 7-Tages-Inzidenz nach Landkreis hellt sich im Nordwesten auf</w:t>
            </w:r>
          </w:p>
          <w:p>
            <w:pPr>
              <w:pStyle w:val="Liste3"/>
            </w:pPr>
            <w:r>
              <w:t>In allen Altersgruppen Rückgang der Fallzahlen</w:t>
            </w:r>
          </w:p>
          <w:p>
            <w:pPr>
              <w:pStyle w:val="Liste3"/>
            </w:pPr>
            <w:r>
              <w:t>Keine Änderung der Sterbefallzahlen, diese Woche aufgrund der Feiertage nicht aussagekräftig</w:t>
            </w:r>
          </w:p>
          <w:p>
            <w:pPr>
              <w:pStyle w:val="Liste2"/>
              <w:numPr>
                <w:ilvl w:val="0"/>
                <w:numId w:val="0"/>
              </w:numPr>
              <w:ind w:left="833"/>
              <w:rPr>
                <w:rStyle w:val="3Zchn"/>
                <w:b w:val="0"/>
                <w:lang w:val="de-DE"/>
              </w:rPr>
            </w:pPr>
          </w:p>
          <w:p>
            <w:pPr>
              <w:pStyle w:val="Liste2"/>
              <w:numPr>
                <w:ilvl w:val="0"/>
                <w:numId w:val="0"/>
              </w:numPr>
              <w:rPr>
                <w:b/>
              </w:rPr>
            </w:pPr>
            <w:proofErr w:type="spellStart"/>
            <w:r>
              <w:rPr>
                <w:b/>
              </w:rPr>
              <w:t>Molekulare</w:t>
            </w:r>
            <w:proofErr w:type="spellEnd"/>
            <w:r>
              <w:rPr>
                <w:b/>
              </w:rPr>
              <w:t xml:space="preserve"> Surveillance </w:t>
            </w:r>
          </w:p>
          <w:p>
            <w:pPr>
              <w:pStyle w:val="Liste2"/>
              <w:rPr>
                <w:lang w:val="de-DE"/>
              </w:rPr>
            </w:pPr>
            <w:r>
              <w:rPr>
                <w:lang w:val="de-DE"/>
              </w:rPr>
              <w:t>Repräsentative Zahlen stammen aus KW50, die Zusammensetzung ist unverändert</w:t>
            </w:r>
          </w:p>
          <w:p>
            <w:pPr>
              <w:pStyle w:val="Liste2"/>
              <w:numPr>
                <w:ilvl w:val="0"/>
                <w:numId w:val="0"/>
              </w:numPr>
              <w:ind w:left="833"/>
              <w:rPr>
                <w:lang w:val="de-DE"/>
              </w:rPr>
            </w:pPr>
          </w:p>
          <w:p>
            <w:pPr>
              <w:pStyle w:val="Liste2"/>
              <w:numPr>
                <w:ilvl w:val="0"/>
                <w:numId w:val="0"/>
              </w:numPr>
              <w:rPr>
                <w:b/>
              </w:rPr>
            </w:pPr>
            <w:proofErr w:type="spellStart"/>
            <w:r>
              <w:rPr>
                <w:b/>
              </w:rPr>
              <w:t>Syndromische</w:t>
            </w:r>
            <w:proofErr w:type="spellEnd"/>
            <w:r>
              <w:rPr>
                <w:b/>
              </w:rPr>
              <w:t xml:space="preserve"> Surveillance</w:t>
            </w:r>
            <w:r>
              <w:rPr>
                <w:rStyle w:val="TagMiZchn"/>
                <w:b w:val="0"/>
              </w:rPr>
              <w:t xml:space="preserve"> </w:t>
            </w:r>
          </w:p>
          <w:p>
            <w:pPr>
              <w:pStyle w:val="Liste2"/>
              <w:numPr>
                <w:ilvl w:val="0"/>
                <w:numId w:val="0"/>
              </w:numPr>
            </w:pPr>
            <w:proofErr w:type="spellStart"/>
            <w:r>
              <w:t>Folien</w:t>
            </w:r>
            <w:proofErr w:type="spellEnd"/>
            <w:r>
              <w:t xml:space="preserve"> </w:t>
            </w:r>
            <w:hyperlink r:id="rId13" w:history="1">
              <w:proofErr w:type="spellStart"/>
              <w:r>
                <w:rPr>
                  <w:rStyle w:val="Hyperlink"/>
                </w:rPr>
                <w:t>hier</w:t>
              </w:r>
              <w:proofErr w:type="spellEnd"/>
            </w:hyperlink>
          </w:p>
          <w:p>
            <w:pPr>
              <w:pStyle w:val="Liste2"/>
              <w:rPr>
                <w:lang w:val="de-DE"/>
              </w:rPr>
            </w:pPr>
            <w:r>
              <w:rPr>
                <w:lang w:val="de-DE"/>
              </w:rPr>
              <w:t>ARE gesamt ist gesunken, lag in der KW52 bei 7.700 ARE (in KW51 bei 9.500) pro 100.000 Einwohnenden</w:t>
            </w:r>
          </w:p>
          <w:p>
            <w:pPr>
              <w:pStyle w:val="Liste2"/>
              <w:rPr>
                <w:lang w:val="de-DE"/>
              </w:rPr>
            </w:pPr>
            <w:r>
              <w:rPr>
                <w:lang w:val="de-DE"/>
              </w:rPr>
              <w:t>Entspricht einer Gesamtzahl von 6,4 Mio. ARE in DE, ARE-gesamt ist höher als im Vergleichszeitraum um den Jahreswechsel</w:t>
            </w:r>
          </w:p>
          <w:p>
            <w:pPr>
              <w:pStyle w:val="Liste2"/>
              <w:rPr>
                <w:lang w:val="de-DE"/>
              </w:rPr>
            </w:pPr>
            <w:r>
              <w:rPr>
                <w:lang w:val="de-DE"/>
              </w:rPr>
              <w:t>Zur Vorwoche: Rückgang bei allen AG bis ab 60-Jährige (hier stabil, aber auf hohem Niveau)</w:t>
            </w:r>
          </w:p>
          <w:p>
            <w:pPr>
              <w:pStyle w:val="Liste2"/>
              <w:rPr>
                <w:lang w:val="de-DE"/>
              </w:rPr>
            </w:pPr>
            <w:r>
              <w:rPr>
                <w:lang w:val="de-DE"/>
              </w:rPr>
              <w:t>bei den 0-4-Jährigen: teilweise niedrigere Werte als in den vorpandemischen Jahren, auch Annäherung in den anderen AGI (zur 52. KW)</w:t>
            </w:r>
          </w:p>
          <w:p>
            <w:pPr>
              <w:pStyle w:val="Liste2"/>
              <w:rPr>
                <w:lang w:val="de-DE"/>
              </w:rPr>
            </w:pPr>
            <w:r>
              <w:rPr>
                <w:lang w:val="de-DE"/>
              </w:rPr>
              <w:t>ARE-Konsultationen / 100.000 Einwohner bis zur 52. KW 2022 sind von der 50. KW ab deutlich gesunken (von 3.358 auf 1.424 in 52.KW)</w:t>
            </w:r>
          </w:p>
          <w:p>
            <w:pPr>
              <w:pStyle w:val="Liste2"/>
              <w:rPr>
                <w:lang w:val="de-DE"/>
              </w:rPr>
            </w:pPr>
            <w:r>
              <w:rPr>
                <w:lang w:val="de-DE"/>
              </w:rPr>
              <w:t>52. KW 2022: ca. 1,2 Mio. Arztbesuche wegen ARE in Deutschland</w:t>
            </w:r>
          </w:p>
          <w:p>
            <w:pPr>
              <w:pStyle w:val="Liste2"/>
              <w:rPr>
                <w:lang w:val="de-DE"/>
              </w:rPr>
            </w:pPr>
            <w:r>
              <w:rPr>
                <w:lang w:val="de-DE"/>
              </w:rPr>
              <w:t>Im Vergleich zur Vorwoche: Rückgang in allen AG</w:t>
            </w:r>
          </w:p>
          <w:p>
            <w:pPr>
              <w:pStyle w:val="Liste2"/>
              <w:rPr>
                <w:lang w:val="de-DE"/>
              </w:rPr>
            </w:pPr>
            <w:r>
              <w:rPr>
                <w:lang w:val="de-DE"/>
              </w:rPr>
              <w:t>SEEDARE – ARE mit COVID-19 Konsultationen lässt sich bei den Kindern bis 14 Jahren ein leicht rückläufiger Trend beobachten</w:t>
            </w:r>
          </w:p>
          <w:p>
            <w:pPr>
              <w:pStyle w:val="Liste2"/>
              <w:rPr>
                <w:lang w:val="de-DE"/>
              </w:rPr>
            </w:pPr>
            <w:r>
              <w:rPr>
                <w:lang w:val="de-DE"/>
              </w:rPr>
              <w:t>Bei den 35- 59-Järhigen und ab den 80-Jährigen ist seit der 48.KW ein Anstieg der Werte zu verzeichnen</w:t>
            </w:r>
          </w:p>
          <w:p>
            <w:pPr>
              <w:pStyle w:val="Liste2"/>
              <w:rPr>
                <w:lang w:val="de-DE"/>
              </w:rPr>
            </w:pPr>
            <w:r>
              <w:rPr>
                <w:lang w:val="de-DE"/>
              </w:rPr>
              <w:t>SARI-Fallzahlen steigt seit 45. KW 2022 an, nähert sich dem Allzeithoch zum Peak 2017/18; in KW 51 leichter Rückgang</w:t>
            </w:r>
          </w:p>
          <w:p>
            <w:pPr>
              <w:pStyle w:val="Liste2"/>
              <w:rPr>
                <w:lang w:val="de-DE"/>
              </w:rPr>
            </w:pPr>
            <w:r>
              <w:rPr>
                <w:lang w:val="de-DE"/>
              </w:rPr>
              <w:t xml:space="preserve">SARI mit Intensivbehandlungen haben in KW 49/50 nochmal Sprung nach oben gemacht, Wert vergleichbar zu Peak </w:t>
            </w:r>
            <w:r>
              <w:rPr>
                <w:lang w:val="de-DE"/>
              </w:rPr>
              <w:lastRenderedPageBreak/>
              <w:t>2017/18 und 3. COVID-19Welle, noch unter 2./4. COVID-19-Peak</w:t>
            </w:r>
          </w:p>
          <w:p>
            <w:pPr>
              <w:pStyle w:val="Liste2"/>
              <w:rPr>
                <w:lang w:val="de-DE"/>
              </w:rPr>
            </w:pPr>
            <w:r>
              <w:rPr>
                <w:lang w:val="de-DE"/>
              </w:rPr>
              <w:t>Anteil COVID-19 an SARI relativ stabil (16%, Vorwoche 14%), Anteil RSV sinkt langsam</w:t>
            </w:r>
          </w:p>
          <w:p>
            <w:pPr>
              <w:pStyle w:val="Liste2"/>
              <w:numPr>
                <w:ilvl w:val="0"/>
                <w:numId w:val="0"/>
              </w:numPr>
              <w:ind w:left="833" w:hanging="360"/>
              <w:rPr>
                <w:lang w:val="de-DE"/>
              </w:rPr>
            </w:pPr>
            <w:r>
              <w:rPr>
                <w:lang w:val="de-DE"/>
              </w:rPr>
              <w:t>Anteil COVID-19 an SARI mit Intensivbehandlung bisher noch relativ stabil: 20 % (Vorwoche: 20 %), weiter relativ noch etwas höherer Anteil an Intensivbehandlungen bei SARI mit COVID-19 als bei SARI mit Influenza</w:t>
            </w:r>
          </w:p>
          <w:p>
            <w:pPr>
              <w:pStyle w:val="Liste2"/>
              <w:rPr>
                <w:lang w:val="de-DE"/>
              </w:rPr>
            </w:pPr>
            <w:r>
              <w:rPr>
                <w:lang w:val="de-DE"/>
              </w:rPr>
              <w:t>Anteil Influenza an SARI 33% (Vorwoche 35 %), 22% Influenza-Fälle (Vorwoche: 29 %) unter SARI mit Intensivbehandlung</w:t>
            </w:r>
          </w:p>
          <w:p>
            <w:pPr>
              <w:pStyle w:val="Liste2"/>
              <w:rPr>
                <w:lang w:val="de-DE"/>
              </w:rPr>
            </w:pPr>
            <w:r>
              <w:rPr>
                <w:lang w:val="de-DE"/>
              </w:rPr>
              <w:t>Influenza bleibt in allen Altersgruppen die häufigste spezifische Diagnose</w:t>
            </w:r>
          </w:p>
          <w:p>
            <w:pPr>
              <w:pStyle w:val="Liste2"/>
              <w:rPr>
                <w:sz w:val="20"/>
                <w:lang w:val="de-DE"/>
              </w:rPr>
            </w:pPr>
            <w:r>
              <w:rPr>
                <w:szCs w:val="24"/>
                <w:lang w:val="de-DE"/>
              </w:rPr>
              <w:t>Im Vergleich zur Vorwoche weiterer Anstieg SARI in den AG 60-79 und 80+</w:t>
            </w:r>
          </w:p>
          <w:p>
            <w:pPr>
              <w:pStyle w:val="Liste2"/>
              <w:rPr>
                <w:lang w:val="de-DE"/>
              </w:rPr>
            </w:pPr>
            <w:r>
              <w:rPr>
                <w:lang w:val="de-DE"/>
              </w:rPr>
              <w:t>ICOSARI-KH-Surveillance-SARI Fälle verzeichnet einen Rückgang in der AG 0-4, bei steigendem Anteil Influenza Diagnosen, ebenfalls Rückgang in den AG zwischen 5 und 59 Jahre. Anstieg in den AG 60-79 und 80+ auf Niveau über 2. COVID-19-Welle, weiter Zunahme Influenza-Diagnosen</w:t>
            </w:r>
          </w:p>
          <w:p>
            <w:pPr>
              <w:pStyle w:val="Liste2"/>
              <w:rPr>
                <w:lang w:val="de-DE"/>
              </w:rPr>
            </w:pPr>
            <w:r>
              <w:rPr>
                <w:lang w:val="de-DE"/>
              </w:rPr>
              <w:t>In der Intensivbehandlung der SARI Fälle wird in den AG ab 35 Jahren COVID-19 etwas häufiger als Influenza diagnostiziert (unter SARI mit Intensivbehandlung)</w:t>
            </w:r>
          </w:p>
          <w:p>
            <w:pPr>
              <w:pStyle w:val="Liste2"/>
              <w:numPr>
                <w:ilvl w:val="0"/>
                <w:numId w:val="0"/>
              </w:numPr>
              <w:ind w:left="473"/>
              <w:rPr>
                <w:sz w:val="20"/>
                <w:lang w:val="de-DE"/>
              </w:rPr>
            </w:pPr>
          </w:p>
          <w:p>
            <w:pPr>
              <w:pStyle w:val="Liste2"/>
              <w:numPr>
                <w:ilvl w:val="0"/>
                <w:numId w:val="0"/>
              </w:numPr>
              <w:rPr>
                <w:rStyle w:val="TagMiZchn"/>
                <w:b w:val="0"/>
                <w:lang w:val="de-DE"/>
              </w:rPr>
            </w:pPr>
            <w:r>
              <w:rPr>
                <w:b/>
                <w:lang w:val="de-DE"/>
              </w:rPr>
              <w:t xml:space="preserve">Virologische Surveillance, NRZ Influenza-Daten </w:t>
            </w:r>
          </w:p>
          <w:p>
            <w:pPr>
              <w:pStyle w:val="Liste2"/>
              <w:rPr>
                <w:lang w:val="de-DE"/>
              </w:rPr>
            </w:pPr>
            <w:r>
              <w:rPr>
                <w:lang w:val="de-DE"/>
              </w:rPr>
              <w:t>Weniger Einsendungen; 51.KW 199 Einsendungen und 52. KW 49 Einsendungen</w:t>
            </w:r>
          </w:p>
          <w:p>
            <w:pPr>
              <w:pStyle w:val="Liste2"/>
              <w:rPr>
                <w:lang w:val="de-DE"/>
              </w:rPr>
            </w:pPr>
            <w:r>
              <w:rPr>
                <w:lang w:val="de-DE"/>
              </w:rPr>
              <w:t>Gleichbleibende Altersverteilung</w:t>
            </w:r>
          </w:p>
          <w:p>
            <w:pPr>
              <w:pStyle w:val="Liste2"/>
              <w:rPr>
                <w:lang w:val="de-DE"/>
              </w:rPr>
            </w:pPr>
            <w:r>
              <w:rPr>
                <w:lang w:val="de-DE"/>
              </w:rPr>
              <w:t>SARS-CoV-2 angestiegen, Rückgang von OC43, bleibt jedoch stärkstes Coronavirus</w:t>
            </w:r>
          </w:p>
          <w:p>
            <w:pPr>
              <w:pStyle w:val="Liste2"/>
              <w:rPr>
                <w:lang w:val="de-DE"/>
              </w:rPr>
            </w:pPr>
            <w:r>
              <w:rPr>
                <w:lang w:val="de-DE"/>
              </w:rPr>
              <w:t>Influenzaviren als stärkste Viren im Sentinel, leichter Rückgang deutet sich an, dominierend (A)H3N2</w:t>
            </w:r>
          </w:p>
          <w:p>
            <w:pPr>
              <w:pStyle w:val="Liste2"/>
              <w:rPr>
                <w:lang w:val="de-DE"/>
              </w:rPr>
            </w:pPr>
            <w:r>
              <w:rPr>
                <w:lang w:val="de-DE"/>
              </w:rPr>
              <w:t>Influenza am stärksten, gefolgt von RSV</w:t>
            </w:r>
          </w:p>
          <w:p>
            <w:pPr>
              <w:pStyle w:val="Liste2"/>
              <w:numPr>
                <w:ilvl w:val="0"/>
                <w:numId w:val="0"/>
              </w:numPr>
              <w:ind w:left="833"/>
              <w:rPr>
                <w:lang w:val="de-DE"/>
              </w:rPr>
            </w:pPr>
          </w:p>
          <w:p>
            <w:pPr>
              <w:pStyle w:val="Liste2"/>
              <w:numPr>
                <w:ilvl w:val="0"/>
                <w:numId w:val="0"/>
              </w:numPr>
            </w:pPr>
            <w:r>
              <w:rPr>
                <w:b/>
                <w:lang w:val="de-DE"/>
              </w:rPr>
              <w:t>Zahlen zum DIVI-</w:t>
            </w:r>
            <w:proofErr w:type="spellStart"/>
            <w:r>
              <w:rPr>
                <w:b/>
                <w:lang w:val="de-DE"/>
              </w:rPr>
              <w:t>Intensivregister</w:t>
            </w:r>
            <w:proofErr w:type="spellEnd"/>
            <w:r>
              <w:t xml:space="preserve"> </w:t>
            </w:r>
          </w:p>
          <w:p>
            <w:pPr>
              <w:pStyle w:val="Liste2"/>
              <w:rPr>
                <w:lang w:val="de-DE"/>
              </w:rPr>
            </w:pPr>
            <w:r>
              <w:rPr>
                <w:lang w:val="de-DE"/>
              </w:rPr>
              <w:t>Mit Stand 04.01.2023 werden 1.348 COVID-Patient*innen auf Intensivstationen behandelt</w:t>
            </w:r>
          </w:p>
          <w:p>
            <w:pPr>
              <w:pStyle w:val="Liste2"/>
              <w:rPr>
                <w:lang w:val="de-DE"/>
              </w:rPr>
            </w:pPr>
            <w:r>
              <w:rPr>
                <w:lang w:val="de-DE"/>
              </w:rPr>
              <w:t>Verlangsamter Anstieg der COVID-ITS-Belegung</w:t>
            </w:r>
          </w:p>
          <w:p>
            <w:pPr>
              <w:pStyle w:val="Liste2"/>
              <w:rPr>
                <w:lang w:val="de-DE"/>
              </w:rPr>
            </w:pPr>
            <w:r>
              <w:rPr>
                <w:lang w:val="de-DE"/>
              </w:rPr>
              <w:t>ITS-COVID-Neuaufnahme mit +1.134 in den letzten 7 Tagen</w:t>
            </w:r>
          </w:p>
          <w:p>
            <w:pPr>
              <w:pStyle w:val="Liste2"/>
              <w:rPr>
                <w:lang w:val="de-DE"/>
              </w:rPr>
            </w:pPr>
            <w:r>
              <w:rPr>
                <w:lang w:val="de-DE"/>
              </w:rPr>
              <w:t>Die Anzahl der täglich verstorbenen SARS-Cov-2-Patient*innen sind wieder im Anstieg, flächendeckend moderat in DE</w:t>
            </w:r>
          </w:p>
          <w:p>
            <w:pPr>
              <w:pStyle w:val="Liste2"/>
              <w:rPr>
                <w:lang w:val="de-DE"/>
              </w:rPr>
            </w:pPr>
            <w:r>
              <w:rPr>
                <w:lang w:val="de-DE"/>
              </w:rPr>
              <w:t xml:space="preserve"> Der Anteil der SARS-CoV-2-Patient*innen an betreibbaren Intensivbettenentwickelt zeigt weiterhin ein gestreutes Bild.</w:t>
            </w:r>
          </w:p>
          <w:p>
            <w:pPr>
              <w:pStyle w:val="Liste2"/>
              <w:rPr>
                <w:lang w:val="de-DE"/>
              </w:rPr>
            </w:pPr>
            <w:r>
              <w:rPr>
                <w:lang w:val="de-DE"/>
              </w:rPr>
              <w:t>Brandenburg, Hamburg und Bremen sind seit der letzten Lage-AG vor zwei Wochen weiterhin Top 3 mit über 7 %, dabei stellenweise bis zu 10% in den letzten Tagen.</w:t>
            </w:r>
          </w:p>
          <w:p>
            <w:pPr>
              <w:pStyle w:val="Liste2"/>
              <w:rPr>
                <w:sz w:val="20"/>
                <w:lang w:val="de-DE"/>
              </w:rPr>
            </w:pPr>
            <w:r>
              <w:rPr>
                <w:szCs w:val="24"/>
                <w:lang w:val="de-DE"/>
              </w:rPr>
              <w:t>Die restlichen Bundesländer lagen vor zwei Wochen zwischen 2 und 6%, und liegen nun zwischen 3 und 7%</w:t>
            </w:r>
          </w:p>
          <w:p>
            <w:pPr>
              <w:pStyle w:val="Liste2"/>
              <w:rPr>
                <w:sz w:val="20"/>
                <w:lang w:val="de-DE"/>
              </w:rPr>
            </w:pPr>
            <w:r>
              <w:rPr>
                <w:szCs w:val="24"/>
                <w:lang w:val="de-DE"/>
              </w:rPr>
              <w:t>Trend ist vor allem in der AG ab 60 Jahren zu verzeichnen</w:t>
            </w:r>
          </w:p>
          <w:p>
            <w:pPr>
              <w:pStyle w:val="Liste2"/>
              <w:rPr>
                <w:szCs w:val="24"/>
                <w:lang w:val="de-DE"/>
              </w:rPr>
            </w:pPr>
            <w:r>
              <w:rPr>
                <w:szCs w:val="24"/>
                <w:lang w:val="de-DE"/>
              </w:rPr>
              <w:t xml:space="preserve">Prozentual zeigt sich weiterhin im langfristigen Trend ein immer weiter steigender Anteil der über 70 und 80-jährigen, </w:t>
            </w:r>
            <w:r>
              <w:rPr>
                <w:szCs w:val="24"/>
                <w:lang w:val="de-DE"/>
              </w:rPr>
              <w:lastRenderedPageBreak/>
              <w:t>diese machen inzwischen 60 % der COVID-19-Fälle auf ITS aus.</w:t>
            </w:r>
          </w:p>
          <w:p>
            <w:pPr>
              <w:pStyle w:val="Liste2"/>
              <w:rPr>
                <w:sz w:val="20"/>
                <w:lang w:val="de-DE"/>
              </w:rPr>
            </w:pPr>
            <w:r>
              <w:rPr>
                <w:sz w:val="24"/>
                <w:szCs w:val="24"/>
                <w:lang w:val="de-DE"/>
              </w:rPr>
              <w:t>Nimmt man noch die 60-69-jährigen dazu, machen Die Altersgruppen zusammen über 84 % aus.</w:t>
            </w:r>
          </w:p>
          <w:p>
            <w:pPr>
              <w:pStyle w:val="Liste2"/>
              <w:rPr>
                <w:sz w:val="20"/>
                <w:lang w:val="de-DE"/>
              </w:rPr>
            </w:pPr>
            <w:r>
              <w:rPr>
                <w:lang w:val="de-DE"/>
              </w:rPr>
              <w:t>Invasive Beatmung: Belegung und freie Kapazität für Non-COVID-Erwachsene: seit Ende November ein verstärkter Anstieg auf über 6.000 Patient*innen. Gleichzeitig fällt die Zahl der gemeldeten freien invasiven Beatmungsmöglichkeiten auf ein globales Minimum. Neben der freien invasiven Beatmungskapazitäten nehmen auch die freien Intensivbetten ab</w:t>
            </w:r>
          </w:p>
          <w:p>
            <w:pPr>
              <w:pStyle w:val="Liste2"/>
              <w:rPr>
                <w:sz w:val="20"/>
                <w:lang w:val="de-DE"/>
              </w:rPr>
            </w:pPr>
            <w:r>
              <w:rPr>
                <w:lang w:val="de-DE"/>
              </w:rPr>
              <w:t>Die Absolut-Zahl der Non-</w:t>
            </w:r>
            <w:proofErr w:type="spellStart"/>
            <w:r>
              <w:rPr>
                <w:lang w:val="de-DE"/>
              </w:rPr>
              <w:t>Covid</w:t>
            </w:r>
            <w:proofErr w:type="spellEnd"/>
            <w:r>
              <w:rPr>
                <w:lang w:val="de-DE"/>
              </w:rPr>
              <w:t>-Patient*innen nimmt nicht zu, das bedeutet, dass mehr non-</w:t>
            </w:r>
            <w:proofErr w:type="spellStart"/>
            <w:r>
              <w:rPr>
                <w:lang w:val="de-DE"/>
              </w:rPr>
              <w:t>Covid</w:t>
            </w:r>
            <w:proofErr w:type="spellEnd"/>
            <w:r>
              <w:rPr>
                <w:lang w:val="de-DE"/>
              </w:rPr>
              <w:t>-Patient*innen beatmet werden müssen</w:t>
            </w:r>
          </w:p>
          <w:p>
            <w:pPr>
              <w:pStyle w:val="Liste2"/>
              <w:rPr>
                <w:lang w:val="de-DE"/>
              </w:rPr>
            </w:pPr>
            <w:r>
              <w:rPr>
                <w:lang w:val="de-DE"/>
              </w:rPr>
              <w:t>Meldungen der Belastung der Intensivstationen steigt an, ebenso die Meldung von Personalmangel bei den Gründen der Betriebseinschränkungen</w:t>
            </w:r>
          </w:p>
          <w:p>
            <w:pPr>
              <w:pStyle w:val="Liste2"/>
              <w:rPr>
                <w:lang w:val="de-DE"/>
              </w:rPr>
            </w:pPr>
            <w:r>
              <w:rPr>
                <w:lang w:val="de-DE"/>
              </w:rPr>
              <w:t>Pädiatrische ITS: freie Betten &amp; freie Kapazitäten zur invasiven Beatmung haben abgenommen. Die Anzahl der intensivpflichtigen RSV-Fälle scheint die Spitze überschritten zu haben, Influenza zieht nach. Dies führt zu Einschränkungen in der Betriebssituation, als Gründe werden unter anderem Mangel an Räumen (aufgrund von Isolation) angegeben</w:t>
            </w:r>
          </w:p>
          <w:p>
            <w:pPr>
              <w:pStyle w:val="Liste2"/>
              <w:numPr>
                <w:ilvl w:val="0"/>
                <w:numId w:val="0"/>
              </w:numPr>
              <w:rPr>
                <w:b/>
              </w:rPr>
            </w:pPr>
            <w:proofErr w:type="spellStart"/>
            <w:r>
              <w:rPr>
                <w:b/>
              </w:rPr>
              <w:t>Diskussion</w:t>
            </w:r>
            <w:proofErr w:type="spellEnd"/>
          </w:p>
          <w:p>
            <w:pPr>
              <w:pStyle w:val="Liste2"/>
              <w:rPr>
                <w:lang w:val="de-DE"/>
              </w:rPr>
            </w:pPr>
            <w:r>
              <w:rPr>
                <w:lang w:val="de-DE"/>
              </w:rPr>
              <w:t xml:space="preserve">Kolleg*innen aus China stellen morgen Daten vor und Länder können hier offene Fragen stellen. Bitte vom </w:t>
            </w:r>
            <w:proofErr w:type="spellStart"/>
            <w:r>
              <w:rPr>
                <w:lang w:val="de-DE"/>
              </w:rPr>
              <w:t>Präs</w:t>
            </w:r>
            <w:proofErr w:type="spellEnd"/>
            <w:r>
              <w:rPr>
                <w:lang w:val="de-DE"/>
              </w:rPr>
              <w:t xml:space="preserve"> um Teilnahme des RKI und Fragen zu u.a. Krankheitsschwere, Prävalenz, Impfstatus zu stellen</w:t>
            </w:r>
          </w:p>
          <w:p>
            <w:pPr>
              <w:pStyle w:val="Liste2"/>
              <w:rPr>
                <w:lang w:val="de-DE"/>
              </w:rPr>
            </w:pPr>
            <w:r>
              <w:rPr>
                <w:lang w:val="de-DE"/>
              </w:rPr>
              <w:t>Bericht aus Videokonferenz mit Kolleg*innen in EU: Frankreich beprobt 30% der Flugzeuge, DE rechnet mit einem Volumen an 15 aus China in Frankfurt ankommenden Flugzeugen und etwa 1.000 Passagieren. Abwassersurveillance in Flughäfen wird mit einem eingeschränkten wissenschaftlichen Nutzen gesehen, relevant sind Varianten, die in China entstehen können.</w:t>
            </w:r>
          </w:p>
          <w:p>
            <w:pPr>
              <w:pStyle w:val="Liste2"/>
              <w:rPr>
                <w:lang w:val="de-DE"/>
              </w:rPr>
            </w:pPr>
            <w:r>
              <w:rPr>
                <w:lang w:val="de-DE"/>
              </w:rPr>
              <w:t>Anlassbezogene Sequenzierung ist möglich, entscheidend ist, was sich ausbreitet. Dies wird durch nicht anlassbezogene Stichproben erfasst und sollte weiterhin berücksichtigt werden</w:t>
            </w:r>
          </w:p>
        </w:tc>
        <w:tc>
          <w:tcPr>
            <w:tcW w:w="1463"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MFI</w:t>
            </w: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MFI</w:t>
            </w:r>
          </w:p>
          <w:p>
            <w:pPr>
              <w:rPr>
                <w:sz w:val="22"/>
                <w:szCs w:val="22"/>
              </w:rPr>
            </w:pPr>
            <w:r>
              <w:rPr>
                <w:sz w:val="22"/>
                <w:szCs w:val="22"/>
              </w:rPr>
              <w:br/>
            </w:r>
          </w:p>
        </w:tc>
      </w:tr>
      <w:tr>
        <w:tc>
          <w:tcPr>
            <w:tcW w:w="684" w:type="dxa"/>
          </w:tcPr>
          <w:p>
            <w:pPr>
              <w:rPr>
                <w:b/>
              </w:rPr>
            </w:pPr>
            <w:r>
              <w:rPr>
                <w:b/>
              </w:rPr>
              <w:lastRenderedPageBreak/>
              <w:t>2</w:t>
            </w:r>
          </w:p>
        </w:tc>
        <w:tc>
          <w:tcPr>
            <w:tcW w:w="6824" w:type="dxa"/>
          </w:tcPr>
          <w:p>
            <w:pPr>
              <w:pStyle w:val="1"/>
            </w:pPr>
            <w:r>
              <w:t>Wichtige Punkte für den Wochenbericht</w:t>
            </w:r>
          </w:p>
          <w:p>
            <w:pPr>
              <w:pStyle w:val="Liste1"/>
            </w:pPr>
            <w:r>
              <w:t>Erscheint erst wieder am 12.01.2023</w:t>
            </w:r>
          </w:p>
          <w:p>
            <w:pPr>
              <w:pStyle w:val="1"/>
            </w:pPr>
          </w:p>
        </w:tc>
        <w:tc>
          <w:tcPr>
            <w:tcW w:w="1463" w:type="dxa"/>
          </w:tcPr>
          <w:p>
            <w:pPr>
              <w:rPr>
                <w:sz w:val="22"/>
                <w:szCs w:val="22"/>
              </w:rPr>
            </w:pPr>
            <w:r>
              <w:rPr>
                <w:sz w:val="22"/>
                <w:szCs w:val="22"/>
              </w:rPr>
              <w:t>Alle</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pPr>
            <w:r>
              <w:t>Vorstellung Monatsbericht, erscheint am 05.01.2023</w:t>
            </w:r>
          </w:p>
          <w:p>
            <w:pPr>
              <w:pStyle w:val="Liste3"/>
            </w:pPr>
            <w:r>
              <w:t>Im Dezember ca. 930.000 COVID-19-Impfstoffe verabreicht (fast ausschließlich bivalente mRNA-Impfstoffe)</w:t>
            </w:r>
          </w:p>
          <w:p>
            <w:pPr>
              <w:pStyle w:val="Liste3"/>
            </w:pPr>
            <w:r>
              <w:t>Bei Kindern im Alter 6 Monate bis 4 Jahre bisher insgesamt 2.296 Impfserien begonnen</w:t>
            </w:r>
          </w:p>
          <w:p>
            <w:pPr>
              <w:pStyle w:val="Liste1"/>
            </w:pPr>
            <w:r>
              <w:lastRenderedPageBreak/>
              <w:t>Erlass liegt vor zu Abstimmung mit PEI bzgl. Impfstoffbedarf für 2023, PEI setzt Modell auf, RKI ist nächste Woche im Austausch mit ZEPAI</w:t>
            </w:r>
          </w:p>
          <w:p>
            <w:pPr>
              <w:pStyle w:val="Liste1"/>
            </w:pPr>
            <w:r>
              <w:t>Bedeutung der Auffrischimpfung und Effektivität auf Verhinderung Hospitalisierung</w:t>
            </w:r>
          </w:p>
          <w:p>
            <w:pPr>
              <w:pStyle w:val="2"/>
            </w:pPr>
            <w:r>
              <w:t>Diskussion</w:t>
            </w:r>
          </w:p>
          <w:p>
            <w:pPr>
              <w:pStyle w:val="Liste2"/>
              <w:rPr>
                <w:rStyle w:val="1Zchn"/>
                <w:sz w:val="22"/>
                <w:lang w:val="de-DE"/>
              </w:rPr>
            </w:pPr>
            <w:r>
              <w:rPr>
                <w:rStyle w:val="1Zchn"/>
                <w:b w:val="0"/>
                <w:sz w:val="22"/>
                <w:lang w:val="de-DE"/>
              </w:rPr>
              <w:t>Preprint des Papers (COVIK</w:t>
            </w:r>
            <w:bookmarkStart w:id="1" w:name="_GoBack"/>
            <w:bookmarkEnd w:id="1"/>
            <w:r>
              <w:rPr>
                <w:rStyle w:val="1Zchn"/>
                <w:b w:val="0"/>
                <w:sz w:val="22"/>
                <w:lang w:val="de-DE"/>
              </w:rPr>
              <w:t xml:space="preserve">-Studie) wurde kurz vor Weihnachten eingereicht, Link hierzu wird an </w:t>
            </w:r>
            <w:proofErr w:type="spellStart"/>
            <w:r>
              <w:rPr>
                <w:rStyle w:val="1Zchn"/>
                <w:b w:val="0"/>
                <w:sz w:val="22"/>
                <w:lang w:val="de-DE"/>
              </w:rPr>
              <w:t>Präs</w:t>
            </w:r>
            <w:proofErr w:type="spellEnd"/>
            <w:r>
              <w:rPr>
                <w:rStyle w:val="1Zchn"/>
                <w:b w:val="0"/>
                <w:sz w:val="22"/>
                <w:lang w:val="de-DE"/>
              </w:rPr>
              <w:t xml:space="preserve"> übersendet</w:t>
            </w:r>
          </w:p>
          <w:p>
            <w:pPr>
              <w:pStyle w:val="Liste2"/>
              <w:rPr>
                <w:rStyle w:val="1Zchn"/>
                <w:b w:val="0"/>
                <w:sz w:val="22"/>
                <w:lang w:val="de-DE"/>
              </w:rPr>
            </w:pPr>
            <w:proofErr w:type="spellStart"/>
            <w:r>
              <w:rPr>
                <w:rStyle w:val="1Zchn"/>
                <w:b w:val="0"/>
                <w:sz w:val="22"/>
                <w:lang w:val="de-DE"/>
              </w:rPr>
              <w:t>Adjuvantierter</w:t>
            </w:r>
            <w:proofErr w:type="spellEnd"/>
            <w:r>
              <w:rPr>
                <w:rStyle w:val="1Zchn"/>
                <w:b w:val="0"/>
                <w:sz w:val="22"/>
                <w:lang w:val="de-DE"/>
              </w:rPr>
              <w:t xml:space="preserve"> Impfstoff ist auf der Arbeitsagenda der STIKO, Sanofi und GSK als Betavarianten Impfstoff (Peptid-Impfstoff), ist von der EMA zugelassen, in den nächsten Wochen verfügbar, Forschung an Kombination mit nicht-mRNA-Impfstoffen für breitere Immunantwort</w:t>
            </w:r>
          </w:p>
          <w:p>
            <w:pPr>
              <w:pStyle w:val="Liste2"/>
              <w:rPr>
                <w:rStyle w:val="1Zchn"/>
                <w:b w:val="0"/>
                <w:sz w:val="22"/>
                <w:lang w:val="de-DE"/>
              </w:rPr>
            </w:pPr>
            <w:r>
              <w:rPr>
                <w:rStyle w:val="1Zchn"/>
                <w:b w:val="0"/>
                <w:sz w:val="22"/>
                <w:lang w:val="de-DE"/>
              </w:rPr>
              <w:t>Workshop zu Long-Covid ist in Richtung Prävention gedacht. Diskussion der Integration in die STIKO Empfehlung, findet Ende April mit externen Referierenden und Abteilung 2 statt</w:t>
            </w:r>
          </w:p>
          <w:p>
            <w:pPr>
              <w:pStyle w:val="Liste2"/>
              <w:rPr>
                <w:rStyle w:val="1Zchn"/>
                <w:b w:val="0"/>
                <w:sz w:val="24"/>
                <w:lang w:val="de-DE"/>
              </w:rPr>
            </w:pPr>
            <w:r>
              <w:rPr>
                <w:rStyle w:val="1Zchn"/>
                <w:b w:val="0"/>
                <w:sz w:val="22"/>
                <w:lang w:val="de-DE"/>
              </w:rPr>
              <w:t xml:space="preserve">Erfassung der Impfquote nach April: DIM ist bis Ende 2023 finanziert, Verordnung läuft am 07.04.23 aus, derzeit keine Information über Änderung, sodass Daten wohl nicht vorliegen. Im Antrag auf Weiterfinanzierung war für April-Dezember eine Überfügung des DIM Systems in DEMIS Strukturen sowie das </w:t>
            </w:r>
            <w:proofErr w:type="spellStart"/>
            <w:r>
              <w:rPr>
                <w:rStyle w:val="1Zchn"/>
                <w:b w:val="0"/>
                <w:sz w:val="22"/>
                <w:lang w:val="de-DE"/>
              </w:rPr>
              <w:t>Matching</w:t>
            </w:r>
            <w:proofErr w:type="spellEnd"/>
            <w:r>
              <w:rPr>
                <w:rStyle w:val="1Zchn"/>
                <w:b w:val="0"/>
                <w:sz w:val="22"/>
                <w:lang w:val="de-DE"/>
              </w:rPr>
              <w:t xml:space="preserve"> mit den KV-Abrechnungsdaten</w:t>
            </w:r>
          </w:p>
          <w:p>
            <w:pPr>
              <w:pStyle w:val="Liste2"/>
              <w:rPr>
                <w:rStyle w:val="1Zchn"/>
                <w:b w:val="0"/>
                <w:sz w:val="24"/>
                <w:lang w:val="de-DE"/>
              </w:rPr>
            </w:pPr>
            <w:r>
              <w:rPr>
                <w:rStyle w:val="1Zchn"/>
                <w:b w:val="0"/>
                <w:sz w:val="22"/>
                <w:lang w:val="de-DE"/>
              </w:rPr>
              <w:t>Arbeitsplan der STIKO sieht für Frühjahr 2023 eine Überführung der COVID-19 ins Regelsystem vor</w:t>
            </w:r>
          </w:p>
        </w:tc>
        <w:tc>
          <w:tcPr>
            <w:tcW w:w="1463" w:type="dxa"/>
          </w:tcPr>
          <w:p>
            <w:pPr>
              <w:rPr>
                <w:sz w:val="22"/>
                <w:szCs w:val="22"/>
              </w:rPr>
            </w:pPr>
            <w:r>
              <w:rPr>
                <w:sz w:val="22"/>
                <w:szCs w:val="22"/>
              </w:rPr>
              <w:lastRenderedPageBreak/>
              <w:t>FG 33</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Situation China s.o.</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5</w:t>
            </w:r>
          </w:p>
        </w:tc>
        <w:tc>
          <w:tcPr>
            <w:tcW w:w="6824" w:type="dxa"/>
          </w:tcPr>
          <w:p>
            <w:pPr>
              <w:spacing w:line="276" w:lineRule="auto"/>
              <w:rPr>
                <w:b/>
                <w:sz w:val="28"/>
              </w:rPr>
            </w:pPr>
            <w:r>
              <w:rPr>
                <w:rStyle w:val="1Zchn"/>
              </w:rPr>
              <w:t>Update digitale Projekte</w:t>
            </w:r>
            <w:r>
              <w:rPr>
                <w:b/>
                <w:sz w:val="28"/>
              </w:rPr>
              <w:t xml:space="preserve"> </w:t>
            </w:r>
          </w:p>
          <w:p>
            <w:pPr>
              <w:pStyle w:val="Liste1"/>
            </w:pPr>
            <w:r>
              <w:t>DEA ist zum 31.12.22 eingestellt worden</w:t>
            </w:r>
          </w:p>
          <w:p>
            <w:pPr>
              <w:spacing w:line="276" w:lineRule="auto"/>
              <w:rPr>
                <w:b/>
                <w:i/>
                <w:color w:val="C2D69B" w:themeColor="accent3" w:themeTint="99"/>
              </w:rPr>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6</w:t>
            </w:r>
          </w:p>
        </w:tc>
        <w:tc>
          <w:tcPr>
            <w:tcW w:w="6824" w:type="dxa"/>
          </w:tcPr>
          <w:p>
            <w:pPr>
              <w:spacing w:line="276" w:lineRule="auto"/>
              <w:rPr>
                <w:rStyle w:val="1Zchn"/>
              </w:rPr>
            </w:pPr>
            <w:r>
              <w:rPr>
                <w:rStyle w:val="1Zchn"/>
              </w:rPr>
              <w:t>Daten aus der Gesundheitsberichterstattung</w:t>
            </w:r>
          </w:p>
          <w:p>
            <w:pPr>
              <w:pStyle w:val="Listenabsatz"/>
              <w:numPr>
                <w:ilvl w:val="0"/>
                <w:numId w:val="8"/>
              </w:numPr>
              <w:spacing w:line="276" w:lineRule="auto"/>
              <w:rPr>
                <w:rStyle w:val="1Zchn"/>
              </w:rPr>
            </w:pPr>
          </w:p>
        </w:tc>
        <w:tc>
          <w:tcPr>
            <w:tcW w:w="1463" w:type="dxa"/>
          </w:tcPr>
          <w:p>
            <w:pPr>
              <w:rPr>
                <w:sz w:val="22"/>
                <w:szCs w:val="22"/>
              </w:rPr>
            </w:pPr>
            <w:r>
              <w:rPr>
                <w:sz w:val="22"/>
                <w:szCs w:val="22"/>
              </w:rPr>
              <w:t>Abt.2</w:t>
            </w:r>
          </w:p>
        </w:tc>
      </w:tr>
      <w:tr>
        <w:tc>
          <w:tcPr>
            <w:tcW w:w="684" w:type="dxa"/>
          </w:tcPr>
          <w:p>
            <w:pPr>
              <w:rPr>
                <w:b/>
              </w:rPr>
            </w:pPr>
            <w:r>
              <w:rPr>
                <w:b/>
              </w:rPr>
              <w:t>7</w:t>
            </w:r>
          </w:p>
        </w:tc>
        <w:tc>
          <w:tcPr>
            <w:tcW w:w="6824" w:type="dxa"/>
          </w:tcPr>
          <w:p>
            <w:pPr>
              <w:pStyle w:val="1"/>
            </w:pPr>
            <w:r>
              <w:t>Aktuelle Risikobewertung</w:t>
            </w:r>
          </w:p>
          <w:p>
            <w:pPr>
              <w:pStyle w:val="Liste1"/>
            </w:pPr>
            <w:r>
              <w:t xml:space="preserve">Diskussion der Änderungsvorschläge zur Risikobewertung </w:t>
            </w:r>
          </w:p>
          <w:p>
            <w:pPr>
              <w:pStyle w:val="Liste2"/>
            </w:pPr>
            <w:proofErr w:type="spellStart"/>
            <w:r>
              <w:t>Deeskalation</w:t>
            </w:r>
            <w:proofErr w:type="spellEnd"/>
            <w:r>
              <w:t xml:space="preserve"> </w:t>
            </w:r>
            <w:proofErr w:type="spellStart"/>
            <w:r>
              <w:t>zurückgestellt</w:t>
            </w:r>
            <w:proofErr w:type="spellEnd"/>
            <w:r>
              <w:br/>
            </w:r>
          </w:p>
        </w:tc>
        <w:tc>
          <w:tcPr>
            <w:tcW w:w="1463" w:type="dxa"/>
          </w:tcPr>
          <w:p>
            <w:pPr>
              <w:rPr>
                <w:sz w:val="22"/>
                <w:szCs w:val="22"/>
              </w:rPr>
            </w:pPr>
          </w:p>
          <w:p>
            <w:pPr>
              <w:rPr>
                <w:sz w:val="22"/>
                <w:szCs w:val="22"/>
              </w:rPr>
            </w:pPr>
            <w:r>
              <w:rPr>
                <w:sz w:val="22"/>
                <w:szCs w:val="22"/>
              </w:rPr>
              <w:t>Alle</w:t>
            </w:r>
            <w:r>
              <w:rPr>
                <w:sz w:val="22"/>
                <w:szCs w:val="22"/>
              </w:rPr>
              <w:br/>
            </w:r>
          </w:p>
          <w:p>
            <w:pPr>
              <w:rPr>
                <w:sz w:val="22"/>
                <w:szCs w:val="22"/>
              </w:rPr>
            </w:pPr>
          </w:p>
        </w:tc>
      </w:tr>
      <w:tr>
        <w:tc>
          <w:tcPr>
            <w:tcW w:w="684" w:type="dxa"/>
          </w:tcPr>
          <w:p>
            <w:pPr>
              <w:rPr>
                <w:b/>
              </w:rPr>
            </w:pPr>
            <w:r>
              <w:rPr>
                <w:b/>
              </w:rPr>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p>
            <w:pPr>
              <w:pStyle w:val="1"/>
              <w:rPr>
                <w:sz w:val="22"/>
              </w:rPr>
            </w:pPr>
          </w:p>
        </w:tc>
        <w:tc>
          <w:tcPr>
            <w:tcW w:w="1463" w:type="dxa"/>
          </w:tcPr>
          <w:p>
            <w:pPr>
              <w:rPr>
                <w:sz w:val="22"/>
                <w:szCs w:val="22"/>
              </w:rPr>
            </w:pPr>
            <w:r>
              <w:rPr>
                <w:sz w:val="22"/>
                <w:szCs w:val="22"/>
              </w:rPr>
              <w:t>Wieler</w:t>
            </w:r>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pPr>
            <w:r>
              <w:lastRenderedPageBreak/>
              <w:t>(nicht berichtet)</w:t>
            </w:r>
          </w:p>
          <w:p>
            <w:pPr>
              <w:pStyle w:val="2"/>
            </w:pPr>
            <w:r>
              <w:t>Presse</w:t>
            </w:r>
          </w:p>
          <w:p>
            <w:pPr>
              <w:pStyle w:val="Liste1"/>
            </w:pPr>
            <w:r>
              <w:t>(nicht berichtet)</w:t>
            </w:r>
          </w:p>
          <w:p>
            <w:pPr>
              <w:pStyle w:val="2"/>
            </w:pPr>
            <w:r>
              <w:t>P1</w:t>
            </w:r>
          </w:p>
          <w:p>
            <w:pPr>
              <w:pStyle w:val="Liste1"/>
              <w:rPr>
                <w:i/>
              </w:rPr>
            </w:pPr>
            <w:r>
              <w:t>(nicht berichtet)</w:t>
            </w:r>
          </w:p>
          <w:p>
            <w:pPr>
              <w:pStyle w:val="Liste1"/>
              <w:numPr>
                <w:ilvl w:val="0"/>
                <w:numId w:val="0"/>
              </w:numPr>
              <w:ind w:left="473" w:hanging="360"/>
            </w:pPr>
          </w:p>
          <w:p>
            <w:pPr>
              <w:pStyle w:val="Liste2"/>
              <w:numPr>
                <w:ilvl w:val="0"/>
                <w:numId w:val="0"/>
              </w:numPr>
              <w:ind w:left="833" w:hanging="360"/>
              <w:rPr>
                <w:lang w:val="de-DE"/>
              </w:rPr>
            </w:pPr>
          </w:p>
          <w:p>
            <w:pPr>
              <w:pStyle w:val="Liste2"/>
              <w:numPr>
                <w:ilvl w:val="0"/>
                <w:numId w:val="0"/>
              </w:numPr>
              <w:rPr>
                <w:i/>
                <w:lang w:val="de-DE"/>
              </w:rPr>
            </w:pPr>
            <w:proofErr w:type="spellStart"/>
            <w:r>
              <w:rPr>
                <w:i/>
                <w:lang w:val="de-DE"/>
              </w:rPr>
              <w:t>ToDo</w:t>
            </w:r>
            <w:proofErr w:type="spellEnd"/>
          </w:p>
          <w:p>
            <w:pPr>
              <w:pStyle w:val="Liste1"/>
              <w:numPr>
                <w:ilvl w:val="0"/>
                <w:numId w:val="0"/>
              </w:numPr>
              <w:ind w:left="473" w:hanging="360"/>
            </w:pPr>
            <w:r>
              <w:t>Für Erstellung Kurzkonzept AAR (ZIG und FG31) soll ein Termin gefunden werden (U. Rexroth)</w:t>
            </w:r>
            <w:r>
              <w:br/>
            </w:r>
          </w:p>
        </w:tc>
        <w:tc>
          <w:tcPr>
            <w:tcW w:w="1463" w:type="dxa"/>
          </w:tcPr>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10</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 xml:space="preserve">FG36 stellt zur Diskussion, ob eine gezielte Werbeaktion für die Teilnahme an </w:t>
            </w:r>
            <w:proofErr w:type="spellStart"/>
            <w:r>
              <w:t>GrippeWeb</w:t>
            </w:r>
            <w:proofErr w:type="spellEnd"/>
            <w:r>
              <w:t xml:space="preserve"> erfolgen sollte, da diese Daten frühzeitig, erregerübergreifend und unabhängig von der Teststrategie und </w:t>
            </w:r>
            <w:proofErr w:type="spellStart"/>
            <w:r>
              <w:t>Arzkonsultationen</w:t>
            </w:r>
            <w:proofErr w:type="spellEnd"/>
            <w:r>
              <w:t xml:space="preserve"> über die Dynamik der epidemiologischen Entwicklung von akuten Atemwegserkrankungen informieren. Ziel ist es, die Zahl der Teilnehmenden zu erhöhen zur weiteren Erhöhung der geographischen Auflösung. Die technische </w:t>
            </w:r>
            <w:proofErr w:type="spellStart"/>
            <w:r>
              <w:t>Infratstruktur</w:t>
            </w:r>
            <w:proofErr w:type="spellEnd"/>
            <w:r>
              <w:t xml:space="preserve"> wurde in den vergangenen zweieinhalb Jahr durch Umzug auf eine neue Plattform bei </w:t>
            </w:r>
            <w:proofErr w:type="spellStart"/>
            <w:r>
              <w:t>ITZBund</w:t>
            </w:r>
            <w:proofErr w:type="spellEnd"/>
            <w:r>
              <w:t xml:space="preserve"> geschaffen. Dies wird vom Krisenstab und der Leitung unterstützt unter der Voraussetzung, dass hierdurch keine zusätzlichen Personalressourcen erforderlich werden.</w:t>
            </w:r>
          </w:p>
          <w:p>
            <w:pPr>
              <w:pStyle w:val="Liste1"/>
            </w:pPr>
            <w:proofErr w:type="spellStart"/>
            <w:r>
              <w:t>Todo</w:t>
            </w:r>
            <w:proofErr w:type="spellEnd"/>
            <w:r>
              <w:t>: FG36 wird zeitnah mit P1 und der Pressestelle Kontakt aufnehmen und sich diesbezüglich abstimmen.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1"/>
            </w:pPr>
            <w:r>
              <w:t>Aktualisierung Entlassungspapier Krankenhaus und Pflegeheime</w:t>
            </w:r>
          </w:p>
          <w:p>
            <w:pPr>
              <w:pStyle w:val="Liste2"/>
              <w:rPr>
                <w:lang w:val="de-DE"/>
              </w:rPr>
            </w:pPr>
            <w:r>
              <w:rPr>
                <w:lang w:val="de-DE"/>
              </w:rPr>
              <w:t xml:space="preserve">Für diese Woche Treffen zur Diskussion der </w:t>
            </w:r>
            <w:proofErr w:type="spellStart"/>
            <w:r>
              <w:rPr>
                <w:lang w:val="de-DE"/>
              </w:rPr>
              <w:t>Entisolierungskriterien</w:t>
            </w:r>
            <w:proofErr w:type="spellEnd"/>
            <w:r>
              <w:rPr>
                <w:lang w:val="de-DE"/>
              </w:rPr>
              <w:t xml:space="preserve"> (FG14 und ZBS7)</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lastRenderedPageBreak/>
              <w:t>ZBS1</w:t>
            </w:r>
          </w:p>
          <w:p>
            <w:pPr>
              <w:pStyle w:val="2"/>
              <w:rPr>
                <w:b w:val="0"/>
                <w:i/>
              </w:rPr>
            </w:pPr>
            <w:proofErr w:type="spellStart"/>
            <w:r>
              <w:rPr>
                <w:b w:val="0"/>
                <w:i/>
              </w:rPr>
              <w:t>ToDo</w:t>
            </w:r>
            <w:proofErr w:type="spellEnd"/>
          </w:p>
          <w:p>
            <w:pPr>
              <w:pStyle w:val="2"/>
              <w:rPr>
                <w:b w:val="0"/>
              </w:rPr>
            </w:pPr>
            <w:r>
              <w:rPr>
                <w:b w:val="0"/>
                <w:sz w:val="22"/>
              </w:rPr>
              <w:t>Nachreichen, ob bei Antigentests aus Tupfer RNA gewonnen werden kann.</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14</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15</w:t>
            </w:r>
          </w:p>
        </w:tc>
        <w:tc>
          <w:tcPr>
            <w:tcW w:w="6824" w:type="dxa"/>
          </w:tcPr>
          <w:p>
            <w:pPr>
              <w:pStyle w:val="1"/>
              <w:rPr>
                <w:sz w:val="22"/>
              </w:rPr>
            </w:pPr>
            <w:r>
              <w:t>Surveillance</w:t>
            </w:r>
          </w:p>
          <w:p>
            <w:pPr>
              <w:pStyle w:val="Liste1"/>
            </w:pPr>
            <w:r>
              <w:t xml:space="preserve">Disclaimer ist bis zum 06.01.23 geschaltet, ab 07.01. erfolgt der </w:t>
            </w:r>
            <w:proofErr w:type="spellStart"/>
            <w:r>
              <w:t>Wochenenddisclaimer</w:t>
            </w:r>
            <w:proofErr w:type="spellEnd"/>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Besprechung IFG-Anfrage Krisenstabsprotokolle</w:t>
            </w:r>
          </w:p>
          <w:p>
            <w:pPr>
              <w:pStyle w:val="Liste2"/>
              <w:rPr>
                <w:lang w:val="de-DE"/>
              </w:rPr>
            </w:pPr>
            <w:r>
              <w:rPr>
                <w:lang w:val="de-DE"/>
              </w:rPr>
              <w:t>Fortschritt gut, Drittbeteiligte und Rechtsreferate schauen noch rüber. Frist ist der 06.01.23.</w:t>
            </w:r>
          </w:p>
          <w:p>
            <w:pPr>
              <w:pStyle w:val="Liste1"/>
              <w:numPr>
                <w:ilvl w:val="0"/>
                <w:numId w:val="0"/>
              </w:numPr>
            </w:pPr>
          </w:p>
          <w:p>
            <w:pPr>
              <w:pStyle w:val="Liste1"/>
              <w:numPr>
                <w:ilvl w:val="0"/>
                <w:numId w:val="0"/>
              </w:numPr>
              <w:rPr>
                <w:b/>
              </w:rPr>
            </w:pPr>
            <w:r>
              <w:rPr>
                <w:b/>
              </w:rPr>
              <w:t>Diskussion</w:t>
            </w:r>
          </w:p>
          <w:p>
            <w:pPr>
              <w:pStyle w:val="Liste1"/>
            </w:pPr>
            <w:r>
              <w:t xml:space="preserve">Für zukünftige Protokolle: Fokus auf </w:t>
            </w:r>
            <w:r>
              <w:rPr>
                <w:b/>
              </w:rPr>
              <w:t>Ergebnis</w:t>
            </w:r>
            <w:r>
              <w:t>protokoll, kurz, knapp und wesentlich halten, Sensibilisierung der Protokollierenden. Bei Aufgaben weniger Personen, sondern OE angeben</w:t>
            </w:r>
          </w:p>
          <w:p>
            <w:pPr>
              <w:pStyle w:val="Liste1"/>
            </w:pPr>
            <w:r>
              <w:t xml:space="preserve">Überlegung der Schulung zum Umgang mit </w:t>
            </w:r>
            <w:proofErr w:type="spellStart"/>
            <w:r>
              <w:t>nfD</w:t>
            </w:r>
            <w:proofErr w:type="spellEnd"/>
            <w:r>
              <w:t>, VSD</w:t>
            </w:r>
          </w:p>
          <w:p>
            <w:pPr>
              <w:pStyle w:val="Liste1"/>
            </w:pPr>
            <w:r>
              <w:t xml:space="preserve">IFG setzt amtliche Information voraus, alle Unterlagen, die also </w:t>
            </w:r>
            <w:proofErr w:type="spellStart"/>
            <w:r>
              <w:t>veraktet</w:t>
            </w:r>
            <w:proofErr w:type="spellEnd"/>
            <w:r>
              <w:t xml:space="preserve"> werden, da sie für Entscheidungen im Haus relevant sind (</w:t>
            </w:r>
            <w:proofErr w:type="spellStart"/>
            <w:r>
              <w:t>Veraktung</w:t>
            </w:r>
            <w:proofErr w:type="spellEnd"/>
            <w:r>
              <w:t xml:space="preserve"> über DMS z.B.)</w:t>
            </w:r>
          </w:p>
          <w:p>
            <w:pPr>
              <w:pStyle w:val="Liste1"/>
              <w:numPr>
                <w:ilvl w:val="0"/>
                <w:numId w:val="0"/>
              </w:numPr>
              <w:ind w:left="473"/>
            </w:pP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18</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19</w:t>
            </w:r>
          </w:p>
        </w:tc>
        <w:tc>
          <w:tcPr>
            <w:tcW w:w="6824" w:type="dxa"/>
          </w:tcPr>
          <w:p>
            <w:pPr>
              <w:pStyle w:val="1"/>
            </w:pPr>
            <w:r>
              <w:t>Andere Themen</w:t>
            </w:r>
          </w:p>
          <w:p>
            <w:pPr>
              <w:pStyle w:val="Liste1"/>
            </w:pPr>
            <w:r>
              <w:t>Nächste Sitzung: 18.01.2023,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BA0D3E"/>
    <w:multiLevelType w:val="hybridMultilevel"/>
    <w:tmpl w:val="6F7697A2"/>
    <w:lvl w:ilvl="0" w:tplc="CEEE165C">
      <w:start w:val="1"/>
      <w:numFmt w:val="bullet"/>
      <w:lvlText w:val="-"/>
      <w:lvlJc w:val="left"/>
      <w:pPr>
        <w:tabs>
          <w:tab w:val="num" w:pos="720"/>
        </w:tabs>
        <w:ind w:left="720" w:hanging="360"/>
      </w:pPr>
      <w:rPr>
        <w:rFonts w:ascii="Times New Roman" w:hAnsi="Times New Roman" w:hint="default"/>
      </w:rPr>
    </w:lvl>
    <w:lvl w:ilvl="1" w:tplc="25D0F368" w:tentative="1">
      <w:start w:val="1"/>
      <w:numFmt w:val="bullet"/>
      <w:lvlText w:val="-"/>
      <w:lvlJc w:val="left"/>
      <w:pPr>
        <w:tabs>
          <w:tab w:val="num" w:pos="1440"/>
        </w:tabs>
        <w:ind w:left="1440" w:hanging="360"/>
      </w:pPr>
      <w:rPr>
        <w:rFonts w:ascii="Times New Roman" w:hAnsi="Times New Roman" w:hint="default"/>
      </w:rPr>
    </w:lvl>
    <w:lvl w:ilvl="2" w:tplc="A60CB2B8" w:tentative="1">
      <w:start w:val="1"/>
      <w:numFmt w:val="bullet"/>
      <w:lvlText w:val="-"/>
      <w:lvlJc w:val="left"/>
      <w:pPr>
        <w:tabs>
          <w:tab w:val="num" w:pos="2160"/>
        </w:tabs>
        <w:ind w:left="2160" w:hanging="360"/>
      </w:pPr>
      <w:rPr>
        <w:rFonts w:ascii="Times New Roman" w:hAnsi="Times New Roman" w:hint="default"/>
      </w:rPr>
    </w:lvl>
    <w:lvl w:ilvl="3" w:tplc="EC1207FC" w:tentative="1">
      <w:start w:val="1"/>
      <w:numFmt w:val="bullet"/>
      <w:lvlText w:val="-"/>
      <w:lvlJc w:val="left"/>
      <w:pPr>
        <w:tabs>
          <w:tab w:val="num" w:pos="2880"/>
        </w:tabs>
        <w:ind w:left="2880" w:hanging="360"/>
      </w:pPr>
      <w:rPr>
        <w:rFonts w:ascii="Times New Roman" w:hAnsi="Times New Roman" w:hint="default"/>
      </w:rPr>
    </w:lvl>
    <w:lvl w:ilvl="4" w:tplc="A4FE30FE" w:tentative="1">
      <w:start w:val="1"/>
      <w:numFmt w:val="bullet"/>
      <w:lvlText w:val="-"/>
      <w:lvlJc w:val="left"/>
      <w:pPr>
        <w:tabs>
          <w:tab w:val="num" w:pos="3600"/>
        </w:tabs>
        <w:ind w:left="3600" w:hanging="360"/>
      </w:pPr>
      <w:rPr>
        <w:rFonts w:ascii="Times New Roman" w:hAnsi="Times New Roman" w:hint="default"/>
      </w:rPr>
    </w:lvl>
    <w:lvl w:ilvl="5" w:tplc="E01416FC" w:tentative="1">
      <w:start w:val="1"/>
      <w:numFmt w:val="bullet"/>
      <w:lvlText w:val="-"/>
      <w:lvlJc w:val="left"/>
      <w:pPr>
        <w:tabs>
          <w:tab w:val="num" w:pos="4320"/>
        </w:tabs>
        <w:ind w:left="4320" w:hanging="360"/>
      </w:pPr>
      <w:rPr>
        <w:rFonts w:ascii="Times New Roman" w:hAnsi="Times New Roman" w:hint="default"/>
      </w:rPr>
    </w:lvl>
    <w:lvl w:ilvl="6" w:tplc="2474D1F4" w:tentative="1">
      <w:start w:val="1"/>
      <w:numFmt w:val="bullet"/>
      <w:lvlText w:val="-"/>
      <w:lvlJc w:val="left"/>
      <w:pPr>
        <w:tabs>
          <w:tab w:val="num" w:pos="5040"/>
        </w:tabs>
        <w:ind w:left="5040" w:hanging="360"/>
      </w:pPr>
      <w:rPr>
        <w:rFonts w:ascii="Times New Roman" w:hAnsi="Times New Roman" w:hint="default"/>
      </w:rPr>
    </w:lvl>
    <w:lvl w:ilvl="7" w:tplc="0E5EA122" w:tentative="1">
      <w:start w:val="1"/>
      <w:numFmt w:val="bullet"/>
      <w:lvlText w:val="-"/>
      <w:lvlJc w:val="left"/>
      <w:pPr>
        <w:tabs>
          <w:tab w:val="num" w:pos="5760"/>
        </w:tabs>
        <w:ind w:left="5760" w:hanging="360"/>
      </w:pPr>
      <w:rPr>
        <w:rFonts w:ascii="Times New Roman" w:hAnsi="Times New Roman" w:hint="default"/>
      </w:rPr>
    </w:lvl>
    <w:lvl w:ilvl="8" w:tplc="370C4C9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A27046"/>
    <w:multiLevelType w:val="hybridMultilevel"/>
    <w:tmpl w:val="EEE6A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3"/>
  </w:num>
  <w:num w:numId="6">
    <w:abstractNumId w:val="2"/>
  </w:num>
  <w:num w:numId="7">
    <w:abstractNumId w:val="6"/>
  </w:num>
  <w:num w:numId="8">
    <w:abstractNumId w:val="8"/>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37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14854773">
      <w:bodyDiv w:val="1"/>
      <w:marLeft w:val="0"/>
      <w:marRight w:val="0"/>
      <w:marTop w:val="0"/>
      <w:marBottom w:val="0"/>
      <w:divBdr>
        <w:top w:val="none" w:sz="0" w:space="0" w:color="auto"/>
        <w:left w:val="none" w:sz="0" w:space="0" w:color="auto"/>
        <w:bottom w:val="none" w:sz="0" w:space="0" w:color="auto"/>
        <w:right w:val="none" w:sz="0" w:space="0" w:color="auto"/>
      </w:divBdr>
    </w:div>
    <w:div w:id="491724295">
      <w:bodyDiv w:val="1"/>
      <w:marLeft w:val="0"/>
      <w:marRight w:val="0"/>
      <w:marTop w:val="0"/>
      <w:marBottom w:val="0"/>
      <w:divBdr>
        <w:top w:val="none" w:sz="0" w:space="0" w:color="auto"/>
        <w:left w:val="none" w:sz="0" w:space="0" w:color="auto"/>
        <w:bottom w:val="none" w:sz="0" w:space="0" w:color="auto"/>
        <w:right w:val="none" w:sz="0" w:space="0" w:color="auto"/>
      </w:divBdr>
      <w:divsChild>
        <w:div w:id="284166362">
          <w:marLeft w:val="1267"/>
          <w:marRight w:val="0"/>
          <w:marTop w:val="0"/>
          <w:marBottom w:val="0"/>
          <w:divBdr>
            <w:top w:val="none" w:sz="0" w:space="0" w:color="auto"/>
            <w:left w:val="none" w:sz="0" w:space="0" w:color="auto"/>
            <w:bottom w:val="none" w:sz="0" w:space="0" w:color="auto"/>
            <w:right w:val="none" w:sz="0" w:space="0" w:color="auto"/>
          </w:divBdr>
        </w:div>
        <w:div w:id="806237471">
          <w:marLeft w:val="1267"/>
          <w:marRight w:val="0"/>
          <w:marTop w:val="0"/>
          <w:marBottom w:val="0"/>
          <w:divBdr>
            <w:top w:val="none" w:sz="0" w:space="0" w:color="auto"/>
            <w:left w:val="none" w:sz="0" w:space="0" w:color="auto"/>
            <w:bottom w:val="none" w:sz="0" w:space="0" w:color="auto"/>
            <w:right w:val="none" w:sz="0" w:space="0" w:color="auto"/>
          </w:divBdr>
        </w:div>
        <w:div w:id="159007966">
          <w:marLeft w:val="1267"/>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02117923">
      <w:bodyDiv w:val="1"/>
      <w:marLeft w:val="0"/>
      <w:marRight w:val="0"/>
      <w:marTop w:val="0"/>
      <w:marBottom w:val="0"/>
      <w:divBdr>
        <w:top w:val="none" w:sz="0" w:space="0" w:color="auto"/>
        <w:left w:val="none" w:sz="0" w:space="0" w:color="auto"/>
        <w:bottom w:val="none" w:sz="0" w:space="0" w:color="auto"/>
        <w:right w:val="none" w:sz="0" w:space="0" w:color="auto"/>
      </w:divBdr>
      <w:divsChild>
        <w:div w:id="302004543">
          <w:marLeft w:val="1267"/>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7564042">
      <w:bodyDiv w:val="1"/>
      <w:marLeft w:val="0"/>
      <w:marRight w:val="0"/>
      <w:marTop w:val="0"/>
      <w:marBottom w:val="0"/>
      <w:divBdr>
        <w:top w:val="none" w:sz="0" w:space="0" w:color="auto"/>
        <w:left w:val="none" w:sz="0" w:space="0" w:color="auto"/>
        <w:bottom w:val="none" w:sz="0" w:space="0" w:color="auto"/>
        <w:right w:val="none" w:sz="0" w:space="0" w:color="auto"/>
      </w:divBdr>
      <w:divsChild>
        <w:div w:id="1454908170">
          <w:marLeft w:val="274"/>
          <w:marRight w:val="0"/>
          <w:marTop w:val="0"/>
          <w:marBottom w:val="0"/>
          <w:divBdr>
            <w:top w:val="none" w:sz="0" w:space="0" w:color="auto"/>
            <w:left w:val="none" w:sz="0" w:space="0" w:color="auto"/>
            <w:bottom w:val="none" w:sz="0" w:space="0" w:color="auto"/>
            <w:right w:val="none" w:sz="0" w:space="0" w:color="auto"/>
          </w:divBdr>
        </w:div>
      </w:divsChild>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98253415">
      <w:bodyDiv w:val="1"/>
      <w:marLeft w:val="0"/>
      <w:marRight w:val="0"/>
      <w:marTop w:val="0"/>
      <w:marBottom w:val="0"/>
      <w:divBdr>
        <w:top w:val="none" w:sz="0" w:space="0" w:color="auto"/>
        <w:left w:val="none" w:sz="0" w:space="0" w:color="auto"/>
        <w:bottom w:val="none" w:sz="0" w:space="0" w:color="auto"/>
        <w:right w:val="none" w:sz="0" w:space="0" w:color="auto"/>
      </w:divBdr>
      <w:divsChild>
        <w:div w:id="408233857">
          <w:marLeft w:val="1267"/>
          <w:marRight w:val="0"/>
          <w:marTop w:val="0"/>
          <w:marBottom w:val="0"/>
          <w:divBdr>
            <w:top w:val="none" w:sz="0" w:space="0" w:color="auto"/>
            <w:left w:val="none" w:sz="0" w:space="0" w:color="auto"/>
            <w:bottom w:val="none" w:sz="0" w:space="0" w:color="auto"/>
            <w:right w:val="none" w:sz="0" w:space="0" w:color="auto"/>
          </w:divBdr>
        </w:div>
        <w:div w:id="382485689">
          <w:marLeft w:val="1267"/>
          <w:marRight w:val="0"/>
          <w:marTop w:val="0"/>
          <w:marBottom w:val="0"/>
          <w:divBdr>
            <w:top w:val="none" w:sz="0" w:space="0" w:color="auto"/>
            <w:left w:val="none" w:sz="0" w:space="0" w:color="auto"/>
            <w:bottom w:val="none" w:sz="0" w:space="0" w:color="auto"/>
            <w:right w:val="none" w:sz="0" w:space="0" w:color="auto"/>
          </w:divBdr>
        </w:div>
        <w:div w:id="1987931637">
          <w:marLeft w:val="1267"/>
          <w:marRight w:val="0"/>
          <w:marTop w:val="0"/>
          <w:marBottom w:val="0"/>
          <w:divBdr>
            <w:top w:val="none" w:sz="0" w:space="0" w:color="auto"/>
            <w:left w:val="none" w:sz="0" w:space="0" w:color="auto"/>
            <w:bottom w:val="none" w:sz="0" w:space="0" w:color="auto"/>
            <w:right w:val="none" w:sz="0" w:space="0" w:color="auto"/>
          </w:divBdr>
        </w:div>
        <w:div w:id="1927181153">
          <w:marLeft w:val="1267"/>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1956712271">
      <w:bodyDiv w:val="1"/>
      <w:marLeft w:val="0"/>
      <w:marRight w:val="0"/>
      <w:marTop w:val="0"/>
      <w:marBottom w:val="0"/>
      <w:divBdr>
        <w:top w:val="none" w:sz="0" w:space="0" w:color="auto"/>
        <w:left w:val="none" w:sz="0" w:space="0" w:color="auto"/>
        <w:bottom w:val="none" w:sz="0" w:space="0" w:color="auto"/>
        <w:right w:val="none" w:sz="0" w:space="0" w:color="auto"/>
      </w:divBdr>
      <w:divsChild>
        <w:div w:id="1299532710">
          <w:marLeft w:val="1267"/>
          <w:marRight w:val="0"/>
          <w:marTop w:val="0"/>
          <w:marBottom w:val="0"/>
          <w:divBdr>
            <w:top w:val="none" w:sz="0" w:space="0" w:color="auto"/>
            <w:left w:val="none" w:sz="0" w:space="0" w:color="auto"/>
            <w:bottom w:val="none" w:sz="0" w:space="0" w:color="auto"/>
            <w:right w:val="none" w:sz="0" w:space="0" w:color="auto"/>
          </w:divBdr>
        </w:div>
        <w:div w:id="959922293">
          <w:marLeft w:val="1267"/>
          <w:marRight w:val="0"/>
          <w:marTop w:val="0"/>
          <w:marBottom w:val="0"/>
          <w:divBdr>
            <w:top w:val="none" w:sz="0" w:space="0" w:color="auto"/>
            <w:left w:val="none" w:sz="0" w:space="0" w:color="auto"/>
            <w:bottom w:val="none" w:sz="0" w:space="0" w:color="auto"/>
            <w:right w:val="none" w:sz="0" w:space="0" w:color="auto"/>
          </w:divBdr>
        </w:div>
        <w:div w:id="1805196408">
          <w:marLeft w:val="1267"/>
          <w:marRight w:val="0"/>
          <w:marTop w:val="0"/>
          <w:marBottom w:val="0"/>
          <w:divBdr>
            <w:top w:val="none" w:sz="0" w:space="0" w:color="auto"/>
            <w:left w:val="none" w:sz="0" w:space="0" w:color="auto"/>
            <w:bottom w:val="none" w:sz="0" w:space="0" w:color="auto"/>
            <w:right w:val="none" w:sz="0" w:space="0" w:color="auto"/>
          </w:divBdr>
        </w:div>
        <w:div w:id="1141465445">
          <w:marLeft w:val="1267"/>
          <w:marRight w:val="0"/>
          <w:marTop w:val="0"/>
          <w:marBottom w:val="0"/>
          <w:divBdr>
            <w:top w:val="none" w:sz="0" w:space="0" w:color="auto"/>
            <w:left w:val="none" w:sz="0" w:space="0" w:color="auto"/>
            <w:bottom w:val="none" w:sz="0" w:space="0" w:color="auto"/>
            <w:right w:val="none" w:sz="0" w:space="0" w:color="auto"/>
          </w:divBdr>
        </w:div>
      </w:divsChild>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6937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syndrom-ARE-SARI-COVID_bis_KW52_2022_f&#252;r-Krisenstab.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3-01-04.ppt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3\2023-01-04_Lage-AG\COVID-19_internat.%20Lage_2023-01-04.ppt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00869-C09C-41AD-A210-F86D8381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12059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12</cp:revision>
  <cp:lastPrinted>2020-05-06T16:43:00Z</cp:lastPrinted>
  <dcterms:created xsi:type="dcterms:W3CDTF">2023-01-04T13:35:00Z</dcterms:created>
  <dcterms:modified xsi:type="dcterms:W3CDTF">2023-01-06T14:02:00Z</dcterms:modified>
</cp:coreProperties>
</file>