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bookmarkStart w:id="0" w:name="_GoBack"/>
      <w:bookmarkEnd w:id="0"/>
      <w:r>
        <w:t>Lage-AG-Sitzung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Wochentag, 18.01.2023,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Osamah Hamouda</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1"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0"/>
          <w:numId w:val="9"/>
        </w:numPr>
        <w:spacing w:after="0" w:line="233" w:lineRule="auto"/>
        <w:contextualSpacing w:val="0"/>
        <w:rPr>
          <w:sz w:val="22"/>
          <w:szCs w:val="22"/>
        </w:rPr>
      </w:pPr>
      <w:r>
        <w:rPr>
          <w:sz w:val="22"/>
          <w:szCs w:val="22"/>
        </w:rPr>
        <w:t>Thomas Ziese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Patrick Schmich</w:t>
      </w:r>
    </w:p>
    <w:p>
      <w:pPr>
        <w:pStyle w:val="Listenabsatz"/>
        <w:numPr>
          <w:ilvl w:val="1"/>
          <w:numId w:val="2"/>
        </w:numPr>
        <w:spacing w:after="0"/>
        <w:contextualSpacing w:val="0"/>
        <w:rPr>
          <w:rStyle w:val="highlight"/>
          <w:sz w:val="22"/>
          <w:szCs w:val="22"/>
        </w:rPr>
      </w:pPr>
      <w:r>
        <w:rPr>
          <w:sz w:val="22"/>
          <w:szCs w:val="22"/>
        </w:rPr>
        <w:t xml:space="preserve">Wolfgang </w:t>
      </w:r>
      <w:r>
        <w:rPr>
          <w:rStyle w:val="highlight"/>
          <w:sz w:val="22"/>
          <w:szCs w:val="22"/>
        </w:rPr>
        <w:t>Scheida</w:t>
      </w:r>
    </w:p>
    <w:p>
      <w:pPr>
        <w:pStyle w:val="Listenabsatz"/>
        <w:numPr>
          <w:ilvl w:val="1"/>
          <w:numId w:val="2"/>
        </w:numPr>
        <w:spacing w:after="0"/>
        <w:contextualSpacing w:val="0"/>
        <w:rPr>
          <w:sz w:val="22"/>
        </w:rPr>
      </w:pPr>
      <w:r>
        <w:rPr>
          <w:sz w:val="22"/>
        </w:rPr>
        <w:t>Justus Benzler</w:t>
      </w:r>
    </w:p>
    <w:p>
      <w:pPr>
        <w:pStyle w:val="Listenabsatz"/>
        <w:numPr>
          <w:ilvl w:val="0"/>
          <w:numId w:val="10"/>
        </w:numPr>
        <w:spacing w:after="0"/>
        <w:rPr>
          <w:rStyle w:val="highlight"/>
          <w:sz w:val="22"/>
          <w:szCs w:val="22"/>
        </w:rPr>
      </w:pPr>
      <w:r>
        <w:rPr>
          <w:rStyle w:val="highlight"/>
          <w:sz w:val="22"/>
          <w:szCs w:val="22"/>
        </w:rPr>
        <w:t>FG26</w:t>
      </w:r>
    </w:p>
    <w:p>
      <w:pPr>
        <w:pStyle w:val="Listenabsatz"/>
        <w:numPr>
          <w:ilvl w:val="0"/>
          <w:numId w:val="11"/>
        </w:numPr>
        <w:spacing w:after="0"/>
        <w:ind w:left="1434" w:hanging="357"/>
        <w:rPr>
          <w:rStyle w:val="highlight"/>
          <w:sz w:val="22"/>
          <w:szCs w:val="22"/>
        </w:rPr>
      </w:pPr>
      <w:r>
        <w:rPr>
          <w:rStyle w:val="highlight"/>
          <w:sz w:val="22"/>
          <w:szCs w:val="22"/>
        </w:rPr>
        <w:t>Lena Walther</w:t>
      </w:r>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Maria an der Heiden</w:t>
      </w:r>
    </w:p>
    <w:p>
      <w:pPr>
        <w:pStyle w:val="Listenabsatz"/>
        <w:numPr>
          <w:ilvl w:val="1"/>
          <w:numId w:val="2"/>
        </w:numPr>
        <w:spacing w:after="0"/>
        <w:contextualSpacing w:val="0"/>
        <w:rPr>
          <w:sz w:val="22"/>
          <w:szCs w:val="22"/>
        </w:rPr>
      </w:pPr>
      <w:r>
        <w:rPr>
          <w:sz w:val="22"/>
          <w:szCs w:val="22"/>
        </w:rPr>
        <w:t>Alexandra Hofmann</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1"/>
          <w:numId w:val="2"/>
        </w:numPr>
        <w:spacing w:after="0"/>
        <w:contextualSpacing w:val="0"/>
        <w:rPr>
          <w:sz w:val="22"/>
        </w:rPr>
      </w:pPr>
      <w:r>
        <w:rPr>
          <w:sz w:val="22"/>
          <w:szCs w:val="22"/>
        </w:rPr>
        <w:t>Jonathan Fischer-Fels</w:t>
      </w:r>
    </w:p>
    <w:p>
      <w:pPr>
        <w:pStyle w:val="Listenabsatz"/>
        <w:spacing w:after="0"/>
        <w:contextualSpacing w:val="0"/>
        <w:rPr>
          <w:sz w:val="22"/>
          <w:szCs w:val="22"/>
        </w:rPr>
      </w:pPr>
    </w:p>
    <w:p>
      <w:pPr>
        <w:pStyle w:val="Listenabsatz"/>
        <w:spacing w:after="0"/>
        <w:contextualSpacing w:val="0"/>
        <w:rPr>
          <w:sz w:val="22"/>
          <w:szCs w:val="22"/>
        </w:rPr>
      </w:pP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Romy Kerber</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Udo Buchholz</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1"/>
          <w:numId w:val="2"/>
        </w:numPr>
        <w:spacing w:after="0"/>
        <w:contextualSpacing w:val="0"/>
        <w:rPr>
          <w:rStyle w:val="highlight"/>
          <w:sz w:val="22"/>
          <w:szCs w:val="22"/>
        </w:rPr>
      </w:pPr>
      <w:r>
        <w:rPr>
          <w:rStyle w:val="highlight"/>
          <w:sz w:val="22"/>
          <w:szCs w:val="22"/>
        </w:rPr>
        <w:t>Regina Singer</w:t>
      </w:r>
    </w:p>
    <w:p>
      <w:pPr>
        <w:pStyle w:val="Listenabsatz"/>
        <w:numPr>
          <w:ilvl w:val="1"/>
          <w:numId w:val="2"/>
        </w:numPr>
        <w:spacing w:after="0"/>
        <w:contextualSpacing w:val="0"/>
        <w:rPr>
          <w:sz w:val="22"/>
          <w:szCs w:val="22"/>
        </w:rPr>
      </w:pPr>
      <w:r>
        <w:rPr>
          <w:sz w:val="22"/>
          <w:szCs w:val="22"/>
        </w:rPr>
        <w:t>Sebastian Haller</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Michaela Niebank</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contextualSpacing w:val="0"/>
        <w:rPr>
          <w:sz w:val="22"/>
        </w:rPr>
      </w:pPr>
      <w:r>
        <w:rPr>
          <w:sz w:val="22"/>
        </w:rPr>
        <w:t xml:space="preserve">Pascal </w:t>
      </w:r>
      <w:proofErr w:type="spellStart"/>
      <w:r>
        <w:rPr>
          <w:sz w:val="22"/>
        </w:rPr>
        <w:t>Klamser</w:t>
      </w:r>
      <w:proofErr w:type="spellEnd"/>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Marieke Degen</w:t>
      </w:r>
    </w:p>
    <w:p>
      <w:pPr>
        <w:pStyle w:val="Listenabsatz"/>
        <w:numPr>
          <w:ilvl w:val="1"/>
          <w:numId w:val="3"/>
        </w:numPr>
        <w:spacing w:after="0"/>
        <w:contextualSpacing w:val="0"/>
        <w:rPr>
          <w:sz w:val="22"/>
          <w:szCs w:val="22"/>
        </w:rPr>
      </w:pPr>
      <w:r>
        <w:rPr>
          <w:sz w:val="22"/>
          <w:szCs w:val="22"/>
        </w:rPr>
        <w:t>Jamela Seedat</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0"/>
          <w:numId w:val="12"/>
        </w:numPr>
        <w:spacing w:after="0"/>
        <w:contextualSpacing w:val="0"/>
        <w:rPr>
          <w:sz w:val="22"/>
          <w:szCs w:val="22"/>
        </w:rPr>
      </w:pPr>
      <w:r>
        <w:rPr>
          <w:sz w:val="22"/>
          <w:szCs w:val="22"/>
        </w:rPr>
        <w:t>Iris Hunger</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 xml:space="preserve">Sofie </w:t>
      </w:r>
      <w:proofErr w:type="spellStart"/>
      <w:r>
        <w:rPr>
          <w:rStyle w:val="highlight"/>
          <w:sz w:val="22"/>
          <w:szCs w:val="22"/>
        </w:rPr>
        <w:t>Gillesberg</w:t>
      </w:r>
      <w:proofErr w:type="spellEnd"/>
      <w:r>
        <w:rPr>
          <w:rStyle w:val="highlight"/>
          <w:sz w:val="22"/>
          <w:szCs w:val="22"/>
        </w:rPr>
        <w:t xml:space="preserve"> Raiser</w:t>
      </w:r>
    </w:p>
    <w:p>
      <w:pPr>
        <w:pStyle w:val="Listenabsatz"/>
        <w:numPr>
          <w:ilvl w:val="1"/>
          <w:numId w:val="2"/>
        </w:numPr>
        <w:spacing w:after="0"/>
        <w:contextualSpacing w:val="0"/>
        <w:rPr>
          <w:rStyle w:val="highlight"/>
          <w:sz w:val="22"/>
          <w:szCs w:val="22"/>
        </w:rPr>
      </w:pPr>
      <w:r>
        <w:rPr>
          <w:rStyle w:val="highlight"/>
          <w:sz w:val="22"/>
          <w:szCs w:val="22"/>
        </w:rPr>
        <w:t>Andreas Jansen</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rPr>
        <w:t>Mirco Steffens</w:t>
      </w:r>
    </w:p>
    <w:p>
      <w:pPr>
        <w:rPr>
          <w:sz w:val="22"/>
          <w:szCs w:val="22"/>
        </w:rPr>
      </w:pPr>
      <w:r>
        <w:rPr>
          <w:sz w:val="22"/>
          <w:szCs w:val="22"/>
        </w:rPr>
        <w:br w:type="page"/>
      </w:r>
    </w:p>
    <w:bookmarkEnd w:id="1"/>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MiZchn"/>
                <w:bCs/>
              </w:rPr>
            </w:pPr>
            <w:r>
              <w:rPr>
                <w:rStyle w:val="2Zchn"/>
                <w:sz w:val="22"/>
                <w:szCs w:val="22"/>
              </w:rPr>
              <w:t>International</w:t>
            </w:r>
            <w:r>
              <w:rPr>
                <w:rStyle w:val="TagMiZchn"/>
                <w:bCs/>
              </w:rPr>
              <w:t xml:space="preserve"> </w:t>
            </w:r>
          </w:p>
          <w:p>
            <w:pPr>
              <w:pStyle w:val="Liste2"/>
              <w:numPr>
                <w:ilvl w:val="0"/>
                <w:numId w:val="0"/>
              </w:numPr>
              <w:rPr>
                <w:sz w:val="20"/>
                <w:szCs w:val="20"/>
              </w:rPr>
            </w:pPr>
            <w:proofErr w:type="spellStart"/>
            <w:r>
              <w:rPr>
                <w:sz w:val="20"/>
                <w:szCs w:val="20"/>
              </w:rPr>
              <w:t>Folien</w:t>
            </w:r>
            <w:proofErr w:type="spellEnd"/>
            <w:r>
              <w:rPr>
                <w:sz w:val="20"/>
                <w:szCs w:val="20"/>
              </w:rPr>
              <w:t xml:space="preserve"> </w:t>
            </w:r>
            <w:hyperlink r:id="rId14" w:history="1">
              <w:proofErr w:type="spellStart"/>
              <w:r>
                <w:rPr>
                  <w:rStyle w:val="Hyperlink"/>
                  <w:sz w:val="20"/>
                  <w:szCs w:val="20"/>
                </w:rPr>
                <w:t>hier</w:t>
              </w:r>
              <w:proofErr w:type="spellEnd"/>
            </w:hyperlink>
          </w:p>
          <w:p>
            <w:pPr>
              <w:pStyle w:val="Liste2"/>
              <w:numPr>
                <w:ilvl w:val="0"/>
                <w:numId w:val="14"/>
              </w:numPr>
              <w:ind w:left="470" w:hanging="357"/>
              <w:rPr>
                <w:sz w:val="20"/>
                <w:szCs w:val="20"/>
                <w:lang w:val="de-DE"/>
              </w:rPr>
            </w:pPr>
            <w:r>
              <w:rPr>
                <w:sz w:val="20"/>
                <w:szCs w:val="20"/>
                <w:lang w:val="de-DE"/>
              </w:rPr>
              <w:t xml:space="preserve">Weiterhin Rückgang der Fallzahlen, Ausnahme: Ozeanien (AUS, NZ), Leichte Unsicherheiten bestehen allerdings weiterhin aufgrund veränderter Testverhalten und Feiertage. </w:t>
            </w:r>
          </w:p>
          <w:p>
            <w:pPr>
              <w:pStyle w:val="Liste2"/>
              <w:numPr>
                <w:ilvl w:val="0"/>
                <w:numId w:val="14"/>
              </w:numPr>
              <w:ind w:left="470" w:hanging="357"/>
              <w:rPr>
                <w:sz w:val="20"/>
                <w:szCs w:val="20"/>
                <w:lang w:val="de-DE"/>
              </w:rPr>
            </w:pPr>
            <w:r>
              <w:rPr>
                <w:sz w:val="20"/>
                <w:szCs w:val="20"/>
                <w:lang w:val="de-DE"/>
              </w:rPr>
              <w:t xml:space="preserve">Lage China: </w:t>
            </w:r>
          </w:p>
          <w:p>
            <w:pPr>
              <w:pStyle w:val="Liste2"/>
              <w:numPr>
                <w:ilvl w:val="0"/>
                <w:numId w:val="14"/>
              </w:numPr>
              <w:ind w:left="470" w:hanging="357"/>
              <w:rPr>
                <w:sz w:val="20"/>
                <w:szCs w:val="20"/>
                <w:lang w:val="de-DE"/>
              </w:rPr>
            </w:pPr>
            <w:r>
              <w:rPr>
                <w:sz w:val="20"/>
                <w:szCs w:val="20"/>
                <w:lang w:val="de-DE"/>
              </w:rPr>
              <w:t xml:space="preserve">Am 13.01 neue Todes- und Fallzahlen erstmalig im neuen Jahr berichtet; Infos auf Folie 2; 1.27 </w:t>
            </w:r>
            <w:proofErr w:type="spellStart"/>
            <w:r>
              <w:rPr>
                <w:sz w:val="20"/>
                <w:szCs w:val="20"/>
                <w:lang w:val="de-DE"/>
              </w:rPr>
              <w:t>Mio</w:t>
            </w:r>
            <w:proofErr w:type="spellEnd"/>
            <w:r>
              <w:rPr>
                <w:sz w:val="20"/>
                <w:szCs w:val="20"/>
                <w:lang w:val="de-DE"/>
              </w:rPr>
              <w:t xml:space="preserve"> gemeldete Fälle in Krankenhäusern, 105T mit schwerem Verlauf. 60T Todesfälle zwischen dem 01.12.22 und 12.01.23 gemeldet (hauptsächlich bei Ü65-Jährigen). Todesfälle nur aus Krankenhäusern berichtet, und sehr enge Falldefinition „verstorben aufgrund von COVID-19“. Peak laut Regierung bereits erreicht. Modellierung der Univ. Washington sagt Peak erst für April voraus. </w:t>
            </w:r>
          </w:p>
          <w:p>
            <w:pPr>
              <w:pStyle w:val="Liste2"/>
              <w:numPr>
                <w:ilvl w:val="0"/>
                <w:numId w:val="14"/>
              </w:numPr>
              <w:ind w:left="470" w:hanging="357"/>
              <w:rPr>
                <w:sz w:val="20"/>
                <w:szCs w:val="20"/>
                <w:lang w:val="de-DE"/>
              </w:rPr>
            </w:pPr>
            <w:r>
              <w:rPr>
                <w:sz w:val="20"/>
                <w:szCs w:val="20"/>
                <w:lang w:val="de-DE"/>
              </w:rPr>
              <w:t xml:space="preserve">Nur sehr wenige Sequenzen aus China in GISAID hochgeladen (1250 seit Mitte Dez 2022). Sehr wenige Informationen zu zirkulierenden Varianten. Sequenzen aus 16 Subregionen, die meisten aus Beijing und Shanghai (nicht repräsentativ). </w:t>
            </w:r>
          </w:p>
          <w:p>
            <w:pPr>
              <w:pStyle w:val="Liste2"/>
              <w:numPr>
                <w:ilvl w:val="0"/>
                <w:numId w:val="14"/>
              </w:numPr>
              <w:ind w:left="470" w:hanging="357"/>
              <w:rPr>
                <w:sz w:val="20"/>
                <w:szCs w:val="20"/>
                <w:lang w:val="de-DE"/>
              </w:rPr>
            </w:pPr>
            <w:r>
              <w:rPr>
                <w:sz w:val="20"/>
                <w:szCs w:val="20"/>
                <w:lang w:val="de-DE"/>
              </w:rPr>
              <w:t xml:space="preserve">30% der Infektionen sind lokal erworben, 20% importiert, 50% unbekannt. BF.7 und BA.5.2 sind die dominierenden Varianten. </w:t>
            </w:r>
          </w:p>
          <w:p>
            <w:pPr>
              <w:pStyle w:val="Liste2"/>
              <w:numPr>
                <w:ilvl w:val="0"/>
                <w:numId w:val="14"/>
              </w:numPr>
              <w:ind w:left="470" w:hanging="357"/>
              <w:rPr>
                <w:sz w:val="20"/>
                <w:szCs w:val="20"/>
                <w:lang w:val="de-DE"/>
              </w:rPr>
            </w:pPr>
            <w:r>
              <w:rPr>
                <w:sz w:val="20"/>
                <w:szCs w:val="20"/>
                <w:lang w:val="de-DE"/>
              </w:rPr>
              <w:t xml:space="preserve">Testmaßnahmen bei Einreise aus China: Folie 3; Die Mehrzahl der Länder setzt auf freiwillige Testung bei vor Ausreise und bei Ankunft. </w:t>
            </w:r>
          </w:p>
          <w:p>
            <w:pPr>
              <w:pStyle w:val="Liste2"/>
              <w:numPr>
                <w:ilvl w:val="0"/>
                <w:numId w:val="14"/>
              </w:numPr>
              <w:ind w:left="470" w:hanging="357"/>
              <w:rPr>
                <w:sz w:val="20"/>
                <w:szCs w:val="20"/>
                <w:lang w:val="de-DE"/>
              </w:rPr>
            </w:pPr>
            <w:r>
              <w:rPr>
                <w:sz w:val="20"/>
                <w:szCs w:val="20"/>
                <w:lang w:val="de-DE"/>
              </w:rPr>
              <w:t xml:space="preserve">Varianten XBB1.5: am 12.01 durch ECDC als alleinstehende VOI eingestuft. Durch WHO als „variant </w:t>
            </w:r>
            <w:proofErr w:type="spellStart"/>
            <w:r>
              <w:rPr>
                <w:sz w:val="20"/>
                <w:szCs w:val="20"/>
                <w:lang w:val="de-DE"/>
              </w:rPr>
              <w:t>under</w:t>
            </w:r>
            <w:proofErr w:type="spellEnd"/>
            <w:r>
              <w:rPr>
                <w:sz w:val="20"/>
                <w:szCs w:val="20"/>
                <w:lang w:val="de-DE"/>
              </w:rPr>
              <w:t xml:space="preserve"> </w:t>
            </w:r>
            <w:proofErr w:type="spellStart"/>
            <w:r>
              <w:rPr>
                <w:sz w:val="20"/>
                <w:szCs w:val="20"/>
                <w:lang w:val="de-DE"/>
              </w:rPr>
              <w:t>monitoring</w:t>
            </w:r>
            <w:proofErr w:type="spellEnd"/>
            <w:r>
              <w:rPr>
                <w:sz w:val="20"/>
                <w:szCs w:val="20"/>
                <w:lang w:val="de-DE"/>
              </w:rPr>
              <w:t xml:space="preserve">“ seit 13.01 eingestuft (mehr Informationen hierzu, siehe auch Präsentation zur Molekularen Surveillance). Anteile in Europa weiterhin niedrig. Einschätzung für das Risiko der Allgemeinbevölkerung durch ECDC ist gering; für gefährdete Bevölkerungsgruppen (nach Immunität): mäßig bis hoch; USA: XBB1.5 Anteil in KW02 bei 26%; </w:t>
            </w:r>
          </w:p>
          <w:p>
            <w:pPr>
              <w:pStyle w:val="2"/>
            </w:pPr>
            <w:r>
              <w:t xml:space="preserve">National </w:t>
            </w:r>
          </w:p>
          <w:p>
            <w:pPr>
              <w:pStyle w:val="Liste2"/>
              <w:numPr>
                <w:ilvl w:val="0"/>
                <w:numId w:val="0"/>
              </w:numPr>
              <w:rPr>
                <w:sz w:val="20"/>
                <w:szCs w:val="20"/>
                <w:lang w:val="de-DE"/>
              </w:rPr>
            </w:pPr>
            <w:r>
              <w:rPr>
                <w:sz w:val="20"/>
                <w:szCs w:val="20"/>
                <w:u w:val="single"/>
                <w:lang w:val="de-DE"/>
              </w:rPr>
              <w:t xml:space="preserve">Fallzahlen, Todesfälle, Trend, Folien </w:t>
            </w:r>
            <w:hyperlink r:id="rId15" w:history="1">
              <w:r>
                <w:rPr>
                  <w:rStyle w:val="Hyperlink"/>
                  <w:sz w:val="20"/>
                  <w:szCs w:val="20"/>
                  <w:lang w:val="de-DE"/>
                </w:rPr>
                <w:t>hier</w:t>
              </w:r>
            </w:hyperlink>
            <w:r>
              <w:rPr>
                <w:sz w:val="20"/>
                <w:szCs w:val="20"/>
                <w:lang w:val="de-DE"/>
              </w:rPr>
              <w:t>:</w:t>
            </w:r>
          </w:p>
          <w:p>
            <w:pPr>
              <w:pStyle w:val="Liste2"/>
              <w:numPr>
                <w:ilvl w:val="0"/>
                <w:numId w:val="15"/>
              </w:numPr>
              <w:ind w:left="470" w:hanging="357"/>
              <w:rPr>
                <w:sz w:val="20"/>
                <w:szCs w:val="20"/>
                <w:lang w:val="de-DE"/>
              </w:rPr>
            </w:pPr>
            <w:proofErr w:type="spellStart"/>
            <w:r>
              <w:rPr>
                <w:sz w:val="20"/>
                <w:szCs w:val="20"/>
                <w:lang w:val="de-DE"/>
              </w:rPr>
              <w:t>SurvNet</w:t>
            </w:r>
            <w:proofErr w:type="spellEnd"/>
            <w:r>
              <w:rPr>
                <w:sz w:val="20"/>
                <w:szCs w:val="20"/>
                <w:lang w:val="de-DE"/>
              </w:rPr>
              <w:t xml:space="preserve"> übermittelt: </w:t>
            </w:r>
            <w:proofErr w:type="spellStart"/>
            <w:r>
              <w:rPr>
                <w:sz w:val="20"/>
                <w:szCs w:val="20"/>
                <w:lang w:val="de-DE"/>
              </w:rPr>
              <w:t>SurvNet</w:t>
            </w:r>
            <w:proofErr w:type="spellEnd"/>
            <w:r>
              <w:rPr>
                <w:sz w:val="20"/>
                <w:szCs w:val="20"/>
                <w:lang w:val="de-DE"/>
              </w:rPr>
              <w:t xml:space="preserve"> übermittelt: 37.139.200 (+34.900), davon 164.153 (+188) Todesfälle </w:t>
            </w:r>
          </w:p>
          <w:p>
            <w:pPr>
              <w:pStyle w:val="Liste2"/>
              <w:numPr>
                <w:ilvl w:val="0"/>
                <w:numId w:val="15"/>
              </w:numPr>
              <w:ind w:left="470" w:hanging="357"/>
              <w:rPr>
                <w:sz w:val="20"/>
                <w:szCs w:val="20"/>
                <w:lang w:val="de-DE"/>
              </w:rPr>
            </w:pPr>
            <w:r>
              <w:rPr>
                <w:sz w:val="20"/>
                <w:szCs w:val="20"/>
                <w:lang w:val="de-DE"/>
              </w:rPr>
              <w:t xml:space="preserve">7-Tage-Inzidenz: weiter zurückläufig 80/100.000 </w:t>
            </w:r>
            <w:proofErr w:type="spellStart"/>
            <w:r>
              <w:rPr>
                <w:sz w:val="20"/>
                <w:szCs w:val="20"/>
                <w:lang w:val="de-DE"/>
              </w:rPr>
              <w:t>Einw</w:t>
            </w:r>
            <w:proofErr w:type="spellEnd"/>
            <w:r>
              <w:rPr>
                <w:sz w:val="20"/>
                <w:szCs w:val="20"/>
                <w:lang w:val="de-DE"/>
              </w:rPr>
              <w:t>.</w:t>
            </w:r>
          </w:p>
          <w:p>
            <w:pPr>
              <w:pStyle w:val="Liste2"/>
              <w:numPr>
                <w:ilvl w:val="0"/>
                <w:numId w:val="15"/>
              </w:numPr>
              <w:ind w:left="470" w:hanging="357"/>
              <w:rPr>
                <w:sz w:val="20"/>
                <w:szCs w:val="20"/>
                <w:lang w:val="de-DE"/>
              </w:rPr>
            </w:pPr>
            <w:r>
              <w:rPr>
                <w:sz w:val="20"/>
                <w:szCs w:val="20"/>
                <w:lang w:val="de-DE"/>
              </w:rPr>
              <w:t>7-Tage-Hosp. Inzidenz und Todesfälle: ebenfalls rückläufig</w:t>
            </w:r>
          </w:p>
          <w:p>
            <w:pPr>
              <w:pStyle w:val="Liste2"/>
              <w:numPr>
                <w:ilvl w:val="0"/>
                <w:numId w:val="15"/>
              </w:numPr>
              <w:ind w:left="470" w:hanging="357"/>
              <w:rPr>
                <w:sz w:val="20"/>
                <w:szCs w:val="20"/>
                <w:lang w:val="de-DE"/>
              </w:rPr>
            </w:pPr>
            <w:r>
              <w:rPr>
                <w:sz w:val="20"/>
                <w:szCs w:val="20"/>
                <w:lang w:val="de-DE"/>
              </w:rPr>
              <w:t>Meldungen, die über DEMIS von Laboren abgesetzt werden: konsistent zu Meldedaten. Deutlich weniger Meldungen;</w:t>
            </w:r>
          </w:p>
          <w:p>
            <w:pPr>
              <w:pStyle w:val="Liste2"/>
              <w:numPr>
                <w:ilvl w:val="0"/>
                <w:numId w:val="15"/>
              </w:numPr>
              <w:ind w:left="470" w:hanging="357"/>
              <w:rPr>
                <w:sz w:val="20"/>
                <w:szCs w:val="20"/>
                <w:lang w:val="de-DE"/>
              </w:rPr>
            </w:pPr>
            <w:r>
              <w:rPr>
                <w:sz w:val="20"/>
                <w:szCs w:val="20"/>
                <w:lang w:val="de-DE"/>
              </w:rPr>
              <w:t>Verlauf der 7-Tage-Inzidenz der Bundesländer:</w:t>
            </w:r>
          </w:p>
          <w:p>
            <w:pPr>
              <w:pStyle w:val="Liste3"/>
              <w:numPr>
                <w:ilvl w:val="0"/>
                <w:numId w:val="0"/>
              </w:numPr>
              <w:ind w:left="470"/>
              <w:rPr>
                <w:sz w:val="20"/>
                <w:szCs w:val="20"/>
              </w:rPr>
            </w:pPr>
            <w:r>
              <w:rPr>
                <w:sz w:val="20"/>
                <w:szCs w:val="20"/>
              </w:rPr>
              <w:t xml:space="preserve">Niedersachsen und NRW am höchsten; </w:t>
            </w:r>
          </w:p>
          <w:p>
            <w:pPr>
              <w:pStyle w:val="Liste3"/>
              <w:numPr>
                <w:ilvl w:val="0"/>
                <w:numId w:val="0"/>
              </w:numPr>
              <w:ind w:left="470"/>
              <w:rPr>
                <w:sz w:val="20"/>
                <w:szCs w:val="20"/>
              </w:rPr>
            </w:pPr>
            <w:r>
              <w:rPr>
                <w:sz w:val="20"/>
                <w:szCs w:val="20"/>
              </w:rPr>
              <w:t xml:space="preserve">Sachsen und Thüringen zeigen die niedrigsten Werte; </w:t>
            </w:r>
          </w:p>
          <w:p>
            <w:pPr>
              <w:pStyle w:val="Liste3"/>
              <w:numPr>
                <w:ilvl w:val="0"/>
                <w:numId w:val="15"/>
              </w:numPr>
              <w:ind w:left="470" w:hanging="357"/>
              <w:rPr>
                <w:sz w:val="20"/>
                <w:szCs w:val="20"/>
              </w:rPr>
            </w:pPr>
            <w:r>
              <w:rPr>
                <w:sz w:val="20"/>
                <w:szCs w:val="20"/>
              </w:rPr>
              <w:t xml:space="preserve">Top 15 der Kreise in Niedersachen. </w:t>
            </w:r>
          </w:p>
          <w:p>
            <w:pPr>
              <w:pStyle w:val="Liste3"/>
              <w:numPr>
                <w:ilvl w:val="0"/>
                <w:numId w:val="15"/>
              </w:numPr>
              <w:ind w:left="470" w:hanging="357"/>
              <w:rPr>
                <w:sz w:val="20"/>
                <w:szCs w:val="20"/>
              </w:rPr>
            </w:pPr>
            <w:r>
              <w:rPr>
                <w:sz w:val="20"/>
                <w:szCs w:val="20"/>
              </w:rPr>
              <w:t xml:space="preserve">Die Mehrheit der Kreise mit 7TI zwischen 50-250/100T </w:t>
            </w:r>
            <w:proofErr w:type="spellStart"/>
            <w:r>
              <w:rPr>
                <w:sz w:val="20"/>
                <w:szCs w:val="20"/>
              </w:rPr>
              <w:t>Einw</w:t>
            </w:r>
            <w:proofErr w:type="spellEnd"/>
            <w:r>
              <w:rPr>
                <w:sz w:val="20"/>
                <w:szCs w:val="20"/>
              </w:rPr>
              <w:t xml:space="preserve">.; </w:t>
            </w:r>
          </w:p>
          <w:p>
            <w:pPr>
              <w:pStyle w:val="Liste3"/>
              <w:numPr>
                <w:ilvl w:val="0"/>
                <w:numId w:val="0"/>
              </w:numPr>
              <w:ind w:left="470"/>
              <w:rPr>
                <w:sz w:val="20"/>
                <w:szCs w:val="20"/>
              </w:rPr>
            </w:pPr>
            <w:r>
              <w:rPr>
                <w:sz w:val="20"/>
                <w:szCs w:val="20"/>
              </w:rPr>
              <w:t xml:space="preserve">1/5 der Kreise sogar unter 50/100T </w:t>
            </w:r>
            <w:proofErr w:type="spellStart"/>
            <w:r>
              <w:rPr>
                <w:sz w:val="20"/>
                <w:szCs w:val="20"/>
              </w:rPr>
              <w:t>Einw</w:t>
            </w:r>
            <w:proofErr w:type="spellEnd"/>
            <w:r>
              <w:rPr>
                <w:sz w:val="20"/>
                <w:szCs w:val="20"/>
              </w:rPr>
              <w:t xml:space="preserve">. </w:t>
            </w:r>
          </w:p>
          <w:p>
            <w:pPr>
              <w:pStyle w:val="Liste3"/>
              <w:numPr>
                <w:ilvl w:val="0"/>
                <w:numId w:val="15"/>
              </w:numPr>
              <w:ind w:left="470" w:hanging="357"/>
              <w:rPr>
                <w:sz w:val="20"/>
                <w:szCs w:val="20"/>
              </w:rPr>
            </w:pPr>
            <w:proofErr w:type="spellStart"/>
            <w:r>
              <w:rPr>
                <w:sz w:val="20"/>
                <w:szCs w:val="20"/>
              </w:rPr>
              <w:t>Heatmap</w:t>
            </w:r>
            <w:proofErr w:type="spellEnd"/>
            <w:r>
              <w:rPr>
                <w:sz w:val="20"/>
                <w:szCs w:val="20"/>
              </w:rPr>
              <w:t xml:space="preserve">/Altersgruppenverteilung: Rückgang in allen Altersgruppen in KW01 und KW01; 5-9- und 9-14-Jährige, leichter Anstieg. </w:t>
            </w:r>
          </w:p>
          <w:p>
            <w:pPr>
              <w:pStyle w:val="Liste3"/>
              <w:numPr>
                <w:ilvl w:val="0"/>
                <w:numId w:val="15"/>
              </w:numPr>
              <w:ind w:left="470" w:hanging="357"/>
              <w:rPr>
                <w:sz w:val="20"/>
                <w:szCs w:val="20"/>
              </w:rPr>
            </w:pPr>
            <w:r>
              <w:rPr>
                <w:sz w:val="20"/>
                <w:szCs w:val="20"/>
              </w:rPr>
              <w:t>Anzahl der Todesfälle rückläufig; Peak wohl in KW 51/52 2022</w:t>
            </w:r>
          </w:p>
          <w:p>
            <w:pPr>
              <w:pStyle w:val="Liste3"/>
              <w:numPr>
                <w:ilvl w:val="0"/>
                <w:numId w:val="0"/>
              </w:numPr>
              <w:ind w:left="470"/>
              <w:rPr>
                <w:sz w:val="20"/>
                <w:szCs w:val="20"/>
              </w:rPr>
            </w:pPr>
            <w:r>
              <w:rPr>
                <w:sz w:val="20"/>
                <w:szCs w:val="20"/>
              </w:rPr>
              <w:t xml:space="preserve">erreicht. </w:t>
            </w:r>
          </w:p>
          <w:p>
            <w:pPr>
              <w:pStyle w:val="Liste3"/>
              <w:numPr>
                <w:ilvl w:val="0"/>
                <w:numId w:val="0"/>
              </w:numPr>
              <w:ind w:left="470"/>
              <w:rPr>
                <w:sz w:val="20"/>
                <w:szCs w:val="20"/>
              </w:rPr>
            </w:pPr>
          </w:p>
          <w:p>
            <w:pPr>
              <w:pStyle w:val="Liste2"/>
              <w:numPr>
                <w:ilvl w:val="0"/>
                <w:numId w:val="0"/>
              </w:numPr>
              <w:rPr>
                <w:rStyle w:val="TagMiZchn"/>
                <w:b w:val="0"/>
                <w:bCs/>
                <w:sz w:val="20"/>
                <w:szCs w:val="20"/>
                <w:u w:val="single"/>
                <w:lang w:val="de-DE"/>
              </w:rPr>
            </w:pPr>
            <w:r>
              <w:rPr>
                <w:rStyle w:val="3Zchn"/>
                <w:b w:val="0"/>
                <w:sz w:val="20"/>
                <w:szCs w:val="20"/>
                <w:u w:val="single"/>
                <w:lang w:val="de-DE"/>
              </w:rPr>
              <w:t xml:space="preserve">Testkapazität und Testungen, Folien </w:t>
            </w:r>
            <w:hyperlink r:id="rId16" w:history="1">
              <w:r>
                <w:rPr>
                  <w:rStyle w:val="Hyperlink"/>
                  <w:sz w:val="20"/>
                  <w:szCs w:val="20"/>
                  <w:lang w:val="de-DE"/>
                </w:rPr>
                <w:t>hier</w:t>
              </w:r>
            </w:hyperlink>
            <w:r>
              <w:rPr>
                <w:sz w:val="20"/>
                <w:szCs w:val="20"/>
                <w:u w:val="single"/>
                <w:lang w:val="de-DE"/>
              </w:rPr>
              <w:t xml:space="preserve"> </w:t>
            </w:r>
          </w:p>
          <w:p>
            <w:pPr>
              <w:pStyle w:val="Liste2"/>
              <w:numPr>
                <w:ilvl w:val="0"/>
                <w:numId w:val="0"/>
              </w:numPr>
              <w:ind w:left="470" w:hanging="357"/>
              <w:rPr>
                <w:sz w:val="20"/>
                <w:szCs w:val="20"/>
                <w:lang w:val="de-DE"/>
              </w:rPr>
            </w:pPr>
            <w:r>
              <w:rPr>
                <w:sz w:val="20"/>
                <w:szCs w:val="20"/>
                <w:lang w:val="de-DE"/>
              </w:rPr>
              <w:t xml:space="preserve">Deutlicher Rückgang der </w:t>
            </w:r>
            <w:proofErr w:type="spellStart"/>
            <w:r>
              <w:rPr>
                <w:sz w:val="20"/>
                <w:szCs w:val="20"/>
                <w:lang w:val="de-DE"/>
              </w:rPr>
              <w:t>Positivenraten</w:t>
            </w:r>
            <w:proofErr w:type="spellEnd"/>
            <w:r>
              <w:rPr>
                <w:sz w:val="20"/>
                <w:szCs w:val="20"/>
                <w:lang w:val="de-DE"/>
              </w:rPr>
              <w:t xml:space="preserve"> von 40% auf 20%; </w:t>
            </w:r>
          </w:p>
          <w:p>
            <w:pPr>
              <w:pStyle w:val="Liste2"/>
              <w:numPr>
                <w:ilvl w:val="0"/>
                <w:numId w:val="0"/>
              </w:numPr>
              <w:ind w:left="471" w:hanging="360"/>
              <w:rPr>
                <w:sz w:val="20"/>
                <w:szCs w:val="20"/>
                <w:lang w:val="de-DE"/>
              </w:rPr>
            </w:pPr>
            <w:r>
              <w:rPr>
                <w:sz w:val="20"/>
                <w:szCs w:val="20"/>
                <w:lang w:val="de-DE"/>
              </w:rPr>
              <w:t xml:space="preserve">Anzahl der Testungen um 10% rückläufig; </w:t>
            </w:r>
          </w:p>
          <w:p>
            <w:pPr>
              <w:pStyle w:val="Liste2"/>
              <w:numPr>
                <w:ilvl w:val="0"/>
                <w:numId w:val="0"/>
              </w:numPr>
              <w:ind w:left="471" w:hanging="360"/>
              <w:rPr>
                <w:sz w:val="20"/>
                <w:szCs w:val="20"/>
                <w:lang w:val="de-DE"/>
              </w:rPr>
            </w:pPr>
            <w:r>
              <w:rPr>
                <w:sz w:val="20"/>
                <w:szCs w:val="20"/>
                <w:lang w:val="de-DE"/>
              </w:rPr>
              <w:lastRenderedPageBreak/>
              <w:t>Bestätigung der Entwicklung, die in den anderen</w:t>
            </w:r>
          </w:p>
          <w:p>
            <w:pPr>
              <w:pStyle w:val="Liste2"/>
              <w:numPr>
                <w:ilvl w:val="0"/>
                <w:numId w:val="0"/>
              </w:numPr>
              <w:ind w:left="471" w:hanging="360"/>
              <w:rPr>
                <w:sz w:val="20"/>
                <w:szCs w:val="20"/>
                <w:lang w:val="de-DE"/>
              </w:rPr>
            </w:pPr>
            <w:r>
              <w:rPr>
                <w:sz w:val="20"/>
                <w:szCs w:val="20"/>
                <w:lang w:val="de-DE"/>
              </w:rPr>
              <w:t>Erhebungsinstrumenten beobachtet wird.</w:t>
            </w:r>
          </w:p>
          <w:p>
            <w:pPr>
              <w:pStyle w:val="Liste2"/>
              <w:numPr>
                <w:ilvl w:val="0"/>
                <w:numId w:val="0"/>
              </w:numPr>
              <w:rPr>
                <w:lang w:val="de-DE"/>
              </w:rPr>
            </w:pPr>
          </w:p>
          <w:p>
            <w:pPr>
              <w:pStyle w:val="Liste2"/>
              <w:numPr>
                <w:ilvl w:val="0"/>
                <w:numId w:val="0"/>
              </w:numPr>
              <w:rPr>
                <w:sz w:val="20"/>
                <w:szCs w:val="20"/>
                <w:u w:val="single"/>
                <w:lang w:val="de-DE"/>
              </w:rPr>
            </w:pPr>
            <w:r>
              <w:rPr>
                <w:sz w:val="20"/>
                <w:szCs w:val="20"/>
                <w:u w:val="single"/>
                <w:lang w:val="de-DE"/>
              </w:rPr>
              <w:t xml:space="preserve">ARS-Daten, Folien </w:t>
            </w:r>
            <w:hyperlink r:id="rId17" w:history="1">
              <w:r>
                <w:rPr>
                  <w:rStyle w:val="Hyperlink"/>
                  <w:sz w:val="20"/>
                  <w:szCs w:val="20"/>
                  <w:lang w:val="de-DE"/>
                </w:rPr>
                <w:t>hier</w:t>
              </w:r>
            </w:hyperlink>
            <w:r>
              <w:rPr>
                <w:sz w:val="20"/>
                <w:szCs w:val="20"/>
                <w:u w:val="single"/>
                <w:lang w:val="de-DE"/>
              </w:rPr>
              <w:t xml:space="preserve">, ab Folie 3 </w:t>
            </w:r>
          </w:p>
          <w:p>
            <w:pPr>
              <w:pStyle w:val="Liste2"/>
              <w:numPr>
                <w:ilvl w:val="0"/>
                <w:numId w:val="16"/>
              </w:numPr>
              <w:ind w:left="470" w:hanging="357"/>
              <w:rPr>
                <w:sz w:val="20"/>
                <w:szCs w:val="20"/>
                <w:lang w:val="de-DE"/>
              </w:rPr>
            </w:pPr>
            <w:r>
              <w:rPr>
                <w:sz w:val="20"/>
                <w:szCs w:val="20"/>
                <w:lang w:val="de-DE"/>
              </w:rPr>
              <w:t xml:space="preserve">Auch hier ist ein deutlicher Rückgang zum Jahreswechsel zu beobachten; Weniger Testungen und niedrigerer Positiven-Anteil; </w:t>
            </w:r>
          </w:p>
          <w:p>
            <w:pPr>
              <w:pStyle w:val="Liste2"/>
              <w:numPr>
                <w:ilvl w:val="0"/>
                <w:numId w:val="16"/>
              </w:numPr>
              <w:ind w:left="470" w:hanging="357"/>
              <w:rPr>
                <w:sz w:val="20"/>
                <w:szCs w:val="20"/>
                <w:lang w:val="de-DE"/>
              </w:rPr>
            </w:pPr>
            <w:r>
              <w:rPr>
                <w:sz w:val="20"/>
                <w:szCs w:val="20"/>
                <w:lang w:val="de-DE"/>
              </w:rPr>
              <w:t xml:space="preserve">Es wird deutliche weniger in Arztpraxen getestet; Testungen in Krankenhäusern stabil; </w:t>
            </w:r>
          </w:p>
          <w:p>
            <w:pPr>
              <w:pStyle w:val="Liste2"/>
              <w:numPr>
                <w:ilvl w:val="0"/>
                <w:numId w:val="16"/>
              </w:numPr>
              <w:ind w:left="470" w:hanging="357"/>
              <w:rPr>
                <w:sz w:val="20"/>
                <w:szCs w:val="20"/>
                <w:lang w:val="de-DE"/>
              </w:rPr>
            </w:pPr>
            <w:r>
              <w:rPr>
                <w:sz w:val="20"/>
                <w:szCs w:val="20"/>
                <w:lang w:val="de-DE"/>
              </w:rPr>
              <w:t xml:space="preserve">Altersgruppen: stabile Testungen bei Ü80; bei allen anderen: Rückgang. </w:t>
            </w:r>
          </w:p>
          <w:p>
            <w:pPr>
              <w:pStyle w:val="Liste2"/>
              <w:numPr>
                <w:ilvl w:val="0"/>
                <w:numId w:val="16"/>
              </w:numPr>
              <w:ind w:left="470" w:hanging="357"/>
              <w:rPr>
                <w:sz w:val="20"/>
                <w:szCs w:val="20"/>
                <w:lang w:val="de-DE"/>
              </w:rPr>
            </w:pPr>
            <w:r>
              <w:rPr>
                <w:sz w:val="20"/>
                <w:szCs w:val="20"/>
                <w:lang w:val="de-DE"/>
              </w:rPr>
              <w:t xml:space="preserve">Vergleich über gesamte Pandemie: 4 Mio. Testungen im Feb 2020, jetzt noch 1 Mio. durchgeführt. </w:t>
            </w:r>
          </w:p>
          <w:p>
            <w:pPr>
              <w:pStyle w:val="Liste2"/>
              <w:numPr>
                <w:ilvl w:val="0"/>
                <w:numId w:val="16"/>
              </w:numPr>
              <w:ind w:left="470" w:hanging="357"/>
              <w:rPr>
                <w:sz w:val="20"/>
                <w:szCs w:val="20"/>
                <w:lang w:val="de-DE"/>
              </w:rPr>
            </w:pPr>
            <w:r>
              <w:rPr>
                <w:sz w:val="20"/>
                <w:szCs w:val="20"/>
                <w:lang w:val="de-DE"/>
              </w:rPr>
              <w:t xml:space="preserve">Weiterhin sind viele (kleine) Ausbrüche zu beobachten; </w:t>
            </w:r>
          </w:p>
          <w:p>
            <w:pPr>
              <w:pStyle w:val="Liste2"/>
              <w:numPr>
                <w:ilvl w:val="0"/>
                <w:numId w:val="0"/>
              </w:numPr>
              <w:ind w:left="833" w:hanging="360"/>
              <w:rPr>
                <w:sz w:val="20"/>
                <w:szCs w:val="20"/>
                <w:lang w:val="de-DE"/>
              </w:rPr>
            </w:pPr>
          </w:p>
          <w:p>
            <w:pPr>
              <w:pStyle w:val="Liste2"/>
              <w:numPr>
                <w:ilvl w:val="0"/>
                <w:numId w:val="0"/>
              </w:numPr>
              <w:ind w:left="113"/>
              <w:rPr>
                <w:sz w:val="20"/>
                <w:szCs w:val="20"/>
                <w:lang w:val="de-DE"/>
              </w:rPr>
            </w:pPr>
            <w:r>
              <w:rPr>
                <w:sz w:val="20"/>
                <w:szCs w:val="20"/>
                <w:lang w:val="de-DE"/>
              </w:rPr>
              <w:t xml:space="preserve">Frage: Anzahl der Ausbrüche in Alten und Pflegeheimen niedriger im Vergleich zu Ausbrüchen in Krankenhäusern; bisher verliefen diese Kurven relativ stabil parallel. Kann die Reduzierung der Anzahl der BewohnerInnen der Heime ein Grund hierfür sein? – Wird durch FG37 nochmal recherchiert; </w:t>
            </w:r>
          </w:p>
          <w:p>
            <w:pPr>
              <w:pStyle w:val="Liste2"/>
              <w:numPr>
                <w:ilvl w:val="0"/>
                <w:numId w:val="0"/>
              </w:numPr>
              <w:rPr>
                <w:lang w:val="de-DE"/>
              </w:rPr>
            </w:pPr>
          </w:p>
          <w:p>
            <w:pPr>
              <w:pStyle w:val="Liste2"/>
              <w:numPr>
                <w:ilvl w:val="0"/>
                <w:numId w:val="0"/>
              </w:numPr>
              <w:rPr>
                <w:sz w:val="20"/>
                <w:szCs w:val="20"/>
                <w:u w:val="single"/>
                <w:lang w:val="de-DE"/>
              </w:rPr>
            </w:pPr>
            <w:r>
              <w:rPr>
                <w:sz w:val="20"/>
                <w:szCs w:val="20"/>
                <w:u w:val="single"/>
                <w:lang w:val="de-DE"/>
              </w:rPr>
              <w:t xml:space="preserve">Molekulare Surveillance, Folien </w:t>
            </w:r>
            <w:hyperlink r:id="rId18" w:history="1">
              <w:r>
                <w:rPr>
                  <w:rStyle w:val="Hyperlink"/>
                  <w:sz w:val="20"/>
                  <w:szCs w:val="20"/>
                  <w:lang w:val="de-DE"/>
                </w:rPr>
                <w:t>hier</w:t>
              </w:r>
            </w:hyperlink>
            <w:r>
              <w:rPr>
                <w:sz w:val="20"/>
                <w:szCs w:val="20"/>
                <w:u w:val="single"/>
                <w:lang w:val="de-DE"/>
              </w:rPr>
              <w:t xml:space="preserve"> </w:t>
            </w:r>
          </w:p>
          <w:p>
            <w:pPr>
              <w:pStyle w:val="Liste2"/>
              <w:numPr>
                <w:ilvl w:val="0"/>
                <w:numId w:val="17"/>
              </w:numPr>
              <w:ind w:left="470" w:hanging="357"/>
              <w:rPr>
                <w:sz w:val="20"/>
                <w:szCs w:val="20"/>
                <w:lang w:val="de-DE"/>
              </w:rPr>
            </w:pPr>
            <w:r>
              <w:rPr>
                <w:sz w:val="20"/>
                <w:szCs w:val="20"/>
                <w:lang w:val="de-DE"/>
              </w:rPr>
              <w:t>Dasselbe Bild wie vor Weihnachten: Anteil BA5 schrumpft;</w:t>
            </w:r>
          </w:p>
          <w:p>
            <w:pPr>
              <w:pStyle w:val="Liste2"/>
              <w:numPr>
                <w:ilvl w:val="0"/>
                <w:numId w:val="17"/>
              </w:numPr>
              <w:ind w:left="470" w:hanging="357"/>
              <w:rPr>
                <w:sz w:val="20"/>
                <w:szCs w:val="20"/>
                <w:lang w:val="de-DE"/>
              </w:rPr>
            </w:pPr>
            <w:r>
              <w:rPr>
                <w:sz w:val="20"/>
                <w:szCs w:val="20"/>
                <w:lang w:val="de-DE"/>
              </w:rPr>
              <w:t xml:space="preserve">Anteil BA.2 nimmt stetig zu. </w:t>
            </w:r>
          </w:p>
          <w:p>
            <w:pPr>
              <w:pStyle w:val="Liste2"/>
              <w:numPr>
                <w:ilvl w:val="0"/>
                <w:numId w:val="17"/>
              </w:numPr>
              <w:ind w:left="470" w:hanging="357"/>
              <w:rPr>
                <w:sz w:val="20"/>
                <w:szCs w:val="20"/>
                <w:lang w:val="de-DE"/>
              </w:rPr>
            </w:pPr>
            <w:r>
              <w:rPr>
                <w:sz w:val="20"/>
                <w:szCs w:val="20"/>
                <w:lang w:val="de-DE"/>
              </w:rPr>
              <w:t xml:space="preserve">BA.4 tendiert gegen 0. </w:t>
            </w:r>
          </w:p>
          <w:p>
            <w:pPr>
              <w:pStyle w:val="Liste2"/>
              <w:numPr>
                <w:ilvl w:val="0"/>
                <w:numId w:val="17"/>
              </w:numPr>
              <w:ind w:left="470" w:hanging="357"/>
              <w:rPr>
                <w:sz w:val="20"/>
                <w:szCs w:val="20"/>
                <w:lang w:val="de-DE"/>
              </w:rPr>
            </w:pPr>
            <w:r>
              <w:rPr>
                <w:sz w:val="20"/>
                <w:szCs w:val="20"/>
                <w:lang w:val="de-DE"/>
              </w:rPr>
              <w:t xml:space="preserve">Über den Jahreswechsel sank die Anzahl der übermittelten Sequenzen stark; </w:t>
            </w:r>
          </w:p>
          <w:p>
            <w:pPr>
              <w:pStyle w:val="Liste2"/>
              <w:numPr>
                <w:ilvl w:val="0"/>
                <w:numId w:val="17"/>
              </w:numPr>
              <w:ind w:left="470" w:hanging="357"/>
              <w:rPr>
                <w:sz w:val="20"/>
                <w:szCs w:val="20"/>
                <w:lang w:val="de-DE"/>
              </w:rPr>
            </w:pPr>
            <w:r>
              <w:rPr>
                <w:sz w:val="20"/>
                <w:szCs w:val="20"/>
                <w:lang w:val="de-DE"/>
              </w:rPr>
              <w:t>Dominierende Omikron-Sublinien (Folie 3):</w:t>
            </w:r>
          </w:p>
          <w:p>
            <w:pPr>
              <w:pStyle w:val="Liste2"/>
              <w:numPr>
                <w:ilvl w:val="0"/>
                <w:numId w:val="17"/>
              </w:numPr>
              <w:ind w:left="470" w:hanging="357"/>
              <w:rPr>
                <w:sz w:val="20"/>
                <w:szCs w:val="20"/>
                <w:lang w:val="de-DE"/>
              </w:rPr>
            </w:pPr>
            <w:r>
              <w:rPr>
                <w:sz w:val="20"/>
                <w:szCs w:val="20"/>
                <w:lang w:val="de-DE"/>
              </w:rPr>
              <w:t xml:space="preserve">BQ1.1 am häufigsten nachgewiesen, gefolgt von BF.7; </w:t>
            </w:r>
          </w:p>
          <w:p>
            <w:pPr>
              <w:pStyle w:val="Liste2"/>
              <w:numPr>
                <w:ilvl w:val="0"/>
                <w:numId w:val="17"/>
              </w:numPr>
              <w:ind w:left="470" w:hanging="357"/>
              <w:rPr>
                <w:sz w:val="20"/>
                <w:szCs w:val="20"/>
                <w:lang w:val="de-DE"/>
              </w:rPr>
            </w:pPr>
            <w:r>
              <w:rPr>
                <w:sz w:val="20"/>
                <w:szCs w:val="20"/>
                <w:lang w:val="de-DE"/>
              </w:rPr>
              <w:t xml:space="preserve">BQ1.1 Wachstum stagniert; </w:t>
            </w:r>
          </w:p>
          <w:p>
            <w:pPr>
              <w:pStyle w:val="Liste2"/>
              <w:numPr>
                <w:ilvl w:val="0"/>
                <w:numId w:val="17"/>
              </w:numPr>
              <w:ind w:left="470" w:hanging="357"/>
              <w:rPr>
                <w:sz w:val="20"/>
                <w:szCs w:val="20"/>
                <w:lang w:val="de-DE"/>
              </w:rPr>
            </w:pPr>
            <w:r>
              <w:rPr>
                <w:sz w:val="20"/>
                <w:szCs w:val="20"/>
                <w:lang w:val="de-DE"/>
              </w:rPr>
              <w:t>Anstieg von XBB.1.5 und BA2.75-Sublinien Anstieg: u.a. CH1.1. (UK geht hier von ähnlich gutem Wachstum im Vergleich zu XBB1.5 aus)</w:t>
            </w:r>
          </w:p>
          <w:p>
            <w:pPr>
              <w:pStyle w:val="Liste2"/>
              <w:numPr>
                <w:ilvl w:val="0"/>
                <w:numId w:val="17"/>
              </w:numPr>
              <w:ind w:left="470" w:hanging="357"/>
              <w:rPr>
                <w:sz w:val="20"/>
                <w:szCs w:val="20"/>
                <w:lang w:val="de-DE"/>
              </w:rPr>
            </w:pPr>
            <w:r>
              <w:rPr>
                <w:sz w:val="20"/>
                <w:szCs w:val="20"/>
                <w:lang w:val="de-DE"/>
              </w:rPr>
              <w:t>Einordung BXX1.5 (Folie 5 und Info im Teil „Internationales“ ZIG 1)</w:t>
            </w:r>
          </w:p>
          <w:p>
            <w:pPr>
              <w:pStyle w:val="Liste2"/>
              <w:numPr>
                <w:ilvl w:val="0"/>
                <w:numId w:val="0"/>
              </w:numPr>
              <w:rPr>
                <w:lang w:val="de-DE"/>
              </w:rPr>
            </w:pPr>
          </w:p>
          <w:p>
            <w:pPr>
              <w:pStyle w:val="Liste2"/>
              <w:numPr>
                <w:ilvl w:val="0"/>
                <w:numId w:val="0"/>
              </w:numPr>
              <w:rPr>
                <w:sz w:val="20"/>
                <w:szCs w:val="20"/>
                <w:u w:val="single"/>
                <w:lang w:val="de-DE"/>
              </w:rPr>
            </w:pPr>
            <w:proofErr w:type="spellStart"/>
            <w:r>
              <w:rPr>
                <w:sz w:val="20"/>
                <w:szCs w:val="20"/>
                <w:u w:val="single"/>
                <w:lang w:val="de-DE"/>
              </w:rPr>
              <w:t>Syndromische</w:t>
            </w:r>
            <w:proofErr w:type="spellEnd"/>
            <w:r>
              <w:rPr>
                <w:sz w:val="20"/>
                <w:szCs w:val="20"/>
                <w:u w:val="single"/>
                <w:lang w:val="de-DE"/>
              </w:rPr>
              <w:t xml:space="preserve"> und </w:t>
            </w:r>
            <w:proofErr w:type="spellStart"/>
            <w:r>
              <w:rPr>
                <w:sz w:val="20"/>
                <w:szCs w:val="20"/>
                <w:u w:val="single"/>
                <w:lang w:val="de-DE"/>
              </w:rPr>
              <w:t>virol</w:t>
            </w:r>
            <w:proofErr w:type="spellEnd"/>
            <w:r>
              <w:rPr>
                <w:sz w:val="20"/>
                <w:szCs w:val="20"/>
                <w:u w:val="single"/>
                <w:lang w:val="de-DE"/>
              </w:rPr>
              <w:t xml:space="preserve">. Surveillance, Folien </w:t>
            </w:r>
            <w:hyperlink r:id="rId19" w:history="1">
              <w:r>
                <w:rPr>
                  <w:rStyle w:val="Hyperlink"/>
                  <w:sz w:val="20"/>
                  <w:szCs w:val="20"/>
                  <w:lang w:val="de-DE"/>
                </w:rPr>
                <w:t>hier</w:t>
              </w:r>
            </w:hyperlink>
            <w:r>
              <w:rPr>
                <w:rStyle w:val="TagMiZchn"/>
                <w:sz w:val="20"/>
                <w:szCs w:val="20"/>
                <w:u w:val="single"/>
                <w:lang w:val="de-DE"/>
              </w:rPr>
              <w:t xml:space="preserve"> </w:t>
            </w:r>
          </w:p>
          <w:p>
            <w:pPr>
              <w:pStyle w:val="Liste2"/>
              <w:numPr>
                <w:ilvl w:val="0"/>
                <w:numId w:val="18"/>
              </w:numPr>
              <w:ind w:left="470" w:hanging="357"/>
              <w:rPr>
                <w:sz w:val="20"/>
                <w:szCs w:val="20"/>
                <w:lang w:val="de-DE"/>
              </w:rPr>
            </w:pPr>
            <w:r>
              <w:rPr>
                <w:sz w:val="20"/>
                <w:szCs w:val="20"/>
                <w:lang w:val="de-DE"/>
              </w:rPr>
              <w:t xml:space="preserve">GrippeWeb: Seit KW50 starker und deutlicher Rückgang der ARE (KW02: 4.500/100T </w:t>
            </w:r>
            <w:proofErr w:type="spellStart"/>
            <w:r>
              <w:rPr>
                <w:sz w:val="20"/>
                <w:szCs w:val="20"/>
                <w:lang w:val="de-DE"/>
              </w:rPr>
              <w:t>Einw</w:t>
            </w:r>
            <w:proofErr w:type="spellEnd"/>
            <w:r>
              <w:rPr>
                <w:sz w:val="20"/>
                <w:szCs w:val="20"/>
                <w:lang w:val="de-DE"/>
              </w:rPr>
              <w:t xml:space="preserve">.); Zahlen deutlich über den Werten 2017/2018; 3.8 </w:t>
            </w:r>
            <w:proofErr w:type="spellStart"/>
            <w:r>
              <w:rPr>
                <w:sz w:val="20"/>
                <w:szCs w:val="20"/>
                <w:lang w:val="de-DE"/>
              </w:rPr>
              <w:t>Mio</w:t>
            </w:r>
            <w:proofErr w:type="spellEnd"/>
            <w:r>
              <w:rPr>
                <w:sz w:val="20"/>
                <w:szCs w:val="20"/>
                <w:lang w:val="de-DE"/>
              </w:rPr>
              <w:t xml:space="preserve"> ARE ohne Arztbesuche in KW02;</w:t>
            </w:r>
          </w:p>
          <w:p>
            <w:pPr>
              <w:pStyle w:val="Liste2"/>
              <w:numPr>
                <w:ilvl w:val="0"/>
                <w:numId w:val="18"/>
              </w:numPr>
              <w:ind w:left="470" w:hanging="357"/>
              <w:rPr>
                <w:sz w:val="20"/>
                <w:szCs w:val="20"/>
                <w:lang w:val="de-DE"/>
              </w:rPr>
            </w:pPr>
            <w:r>
              <w:rPr>
                <w:sz w:val="20"/>
                <w:szCs w:val="20"/>
                <w:lang w:val="de-DE"/>
              </w:rPr>
              <w:t xml:space="preserve">Anstieg bei Kindern im Vergleich zu KW01, aber nicht unerwartet (in KW01 waren in vielen BL noch Ferien); </w:t>
            </w:r>
          </w:p>
          <w:p>
            <w:pPr>
              <w:pStyle w:val="Liste2"/>
              <w:numPr>
                <w:ilvl w:val="0"/>
                <w:numId w:val="18"/>
              </w:numPr>
              <w:ind w:left="470" w:hanging="357"/>
              <w:rPr>
                <w:sz w:val="20"/>
                <w:szCs w:val="20"/>
                <w:lang w:val="de-DE"/>
              </w:rPr>
            </w:pPr>
            <w:r>
              <w:rPr>
                <w:sz w:val="20"/>
                <w:szCs w:val="20"/>
                <w:lang w:val="de-DE"/>
              </w:rPr>
              <w:t xml:space="preserve">Arztbesuche aufgrund von ARE: Inzidenz im Vergleich zur KW01 rückläufig (1.300/100T </w:t>
            </w:r>
            <w:proofErr w:type="spellStart"/>
            <w:r>
              <w:rPr>
                <w:sz w:val="20"/>
                <w:szCs w:val="20"/>
                <w:lang w:val="de-DE"/>
              </w:rPr>
              <w:t>Einw</w:t>
            </w:r>
            <w:proofErr w:type="spellEnd"/>
            <w:r>
              <w:rPr>
                <w:sz w:val="20"/>
                <w:szCs w:val="20"/>
                <w:lang w:val="de-DE"/>
              </w:rPr>
              <w:t xml:space="preserve">.), 1.1 </w:t>
            </w:r>
            <w:proofErr w:type="spellStart"/>
            <w:r>
              <w:rPr>
                <w:sz w:val="20"/>
                <w:szCs w:val="20"/>
                <w:lang w:val="de-DE"/>
              </w:rPr>
              <w:t>Mio</w:t>
            </w:r>
            <w:proofErr w:type="spellEnd"/>
            <w:r>
              <w:rPr>
                <w:sz w:val="20"/>
                <w:szCs w:val="20"/>
                <w:lang w:val="de-DE"/>
              </w:rPr>
              <w:t xml:space="preserve"> insgesamt. Reflektorischer Anstieg in KW01(wer über die Feiertage nicht zum Arzt ging, holt es nach). </w:t>
            </w:r>
          </w:p>
          <w:p>
            <w:pPr>
              <w:pStyle w:val="Liste2"/>
              <w:numPr>
                <w:ilvl w:val="0"/>
                <w:numId w:val="18"/>
              </w:numPr>
              <w:ind w:left="470" w:hanging="357"/>
              <w:rPr>
                <w:sz w:val="20"/>
                <w:szCs w:val="20"/>
                <w:lang w:val="de-DE"/>
              </w:rPr>
            </w:pPr>
            <w:r>
              <w:rPr>
                <w:sz w:val="20"/>
                <w:szCs w:val="20"/>
                <w:lang w:val="de-DE"/>
              </w:rPr>
              <w:t>Arztbesuche mit ARE und COVID-Diagnose: auch hier Entwarnung, Rückgang in allen Altersgruppen;</w:t>
            </w:r>
          </w:p>
          <w:p>
            <w:pPr>
              <w:pStyle w:val="Liste2"/>
              <w:numPr>
                <w:ilvl w:val="0"/>
                <w:numId w:val="18"/>
              </w:numPr>
              <w:ind w:left="470" w:hanging="357"/>
              <w:rPr>
                <w:sz w:val="20"/>
                <w:szCs w:val="20"/>
                <w:lang w:val="de-DE"/>
              </w:rPr>
            </w:pPr>
            <w:r>
              <w:rPr>
                <w:sz w:val="20"/>
                <w:szCs w:val="20"/>
                <w:lang w:val="de-DE"/>
              </w:rPr>
              <w:t xml:space="preserve">Krankenhaus-Daten: deutlicher Rückgang der SARI-Inzidenz in KW02. Peak in KW 50; SARI-ITS ebenfalls Rückgang zu sehen; in etwa auf Niveau der Vorjahre; </w:t>
            </w:r>
          </w:p>
          <w:p>
            <w:pPr>
              <w:pStyle w:val="Liste2"/>
              <w:numPr>
                <w:ilvl w:val="0"/>
                <w:numId w:val="18"/>
              </w:numPr>
              <w:ind w:left="470" w:hanging="357"/>
              <w:rPr>
                <w:sz w:val="20"/>
                <w:szCs w:val="20"/>
                <w:lang w:val="de-DE"/>
              </w:rPr>
            </w:pPr>
            <w:proofErr w:type="spellStart"/>
            <w:r>
              <w:rPr>
                <w:sz w:val="20"/>
                <w:szCs w:val="20"/>
                <w:lang w:val="de-DE"/>
              </w:rPr>
              <w:t>Krankheitsspez</w:t>
            </w:r>
            <w:proofErr w:type="spellEnd"/>
            <w:r>
              <w:rPr>
                <w:sz w:val="20"/>
                <w:szCs w:val="20"/>
                <w:lang w:val="de-DE"/>
              </w:rPr>
              <w:t>. Diagnose: Rückgang SARI insgesamt und auch Influenza bei allen hospitalisierten und ITS-Fällen. RSV recht stabil; COVID stabil;</w:t>
            </w:r>
          </w:p>
          <w:p>
            <w:pPr>
              <w:pStyle w:val="Liste2"/>
              <w:numPr>
                <w:ilvl w:val="0"/>
                <w:numId w:val="18"/>
              </w:numPr>
              <w:ind w:left="470" w:hanging="357"/>
              <w:rPr>
                <w:sz w:val="20"/>
                <w:szCs w:val="20"/>
                <w:lang w:val="de-DE"/>
              </w:rPr>
            </w:pPr>
            <w:r>
              <w:rPr>
                <w:sz w:val="20"/>
                <w:szCs w:val="20"/>
                <w:lang w:val="de-DE"/>
              </w:rPr>
              <w:t xml:space="preserve">Anteil COVID an SARI Fällen haben lange das Krankenhausgeschehen dominiert, wurden aber durch RSV und Influenza abgelöst (siehe auch DIVI-Daten); </w:t>
            </w:r>
          </w:p>
          <w:p>
            <w:pPr>
              <w:pStyle w:val="Liste2"/>
              <w:numPr>
                <w:ilvl w:val="0"/>
                <w:numId w:val="18"/>
              </w:numPr>
              <w:ind w:left="470" w:hanging="357"/>
              <w:rPr>
                <w:sz w:val="20"/>
                <w:szCs w:val="20"/>
                <w:lang w:val="de-DE"/>
              </w:rPr>
            </w:pPr>
            <w:r>
              <w:rPr>
                <w:sz w:val="20"/>
                <w:szCs w:val="20"/>
                <w:lang w:val="de-DE"/>
              </w:rPr>
              <w:t xml:space="preserve">Influenza-Aktivität sinkt, bei 5-14-Jährigen noch am höchsten </w:t>
            </w:r>
          </w:p>
          <w:p>
            <w:pPr>
              <w:pStyle w:val="Liste2"/>
              <w:numPr>
                <w:ilvl w:val="0"/>
                <w:numId w:val="18"/>
              </w:numPr>
              <w:ind w:left="470" w:hanging="357"/>
              <w:rPr>
                <w:sz w:val="20"/>
                <w:szCs w:val="20"/>
                <w:lang w:val="de-DE"/>
              </w:rPr>
            </w:pPr>
            <w:r>
              <w:rPr>
                <w:sz w:val="20"/>
                <w:szCs w:val="20"/>
                <w:lang w:val="de-DE"/>
              </w:rPr>
              <w:t xml:space="preserve">0-1-Jährige nach wie vor stark von RSV betroffen; </w:t>
            </w:r>
          </w:p>
          <w:p>
            <w:pPr>
              <w:pStyle w:val="Liste2"/>
              <w:numPr>
                <w:ilvl w:val="0"/>
                <w:numId w:val="18"/>
              </w:numPr>
              <w:ind w:left="470" w:hanging="357"/>
              <w:rPr>
                <w:sz w:val="20"/>
                <w:szCs w:val="20"/>
                <w:lang w:val="de-DE"/>
              </w:rPr>
            </w:pPr>
            <w:r>
              <w:rPr>
                <w:sz w:val="20"/>
                <w:szCs w:val="20"/>
                <w:lang w:val="de-DE"/>
              </w:rPr>
              <w:t xml:space="preserve">Das Niveau aller Hospitalisierten SARI Fälle vergleichbar zu Vorjahren; </w:t>
            </w:r>
          </w:p>
          <w:p>
            <w:pPr>
              <w:pStyle w:val="Liste2"/>
              <w:numPr>
                <w:ilvl w:val="0"/>
                <w:numId w:val="0"/>
              </w:numPr>
              <w:ind w:left="470"/>
              <w:rPr>
                <w:sz w:val="20"/>
                <w:szCs w:val="20"/>
                <w:lang w:val="de-DE"/>
              </w:rPr>
            </w:pPr>
          </w:p>
          <w:p>
            <w:pPr>
              <w:pStyle w:val="Liste2"/>
              <w:numPr>
                <w:ilvl w:val="0"/>
                <w:numId w:val="0"/>
              </w:numPr>
              <w:ind w:left="470"/>
              <w:rPr>
                <w:sz w:val="20"/>
                <w:szCs w:val="20"/>
                <w:lang w:val="de-DE"/>
              </w:rPr>
            </w:pPr>
          </w:p>
          <w:p>
            <w:pPr>
              <w:pStyle w:val="Liste2"/>
              <w:numPr>
                <w:ilvl w:val="0"/>
                <w:numId w:val="0"/>
              </w:numPr>
              <w:rPr>
                <w:sz w:val="20"/>
                <w:szCs w:val="20"/>
                <w:u w:val="single"/>
                <w:lang w:val="de-DE"/>
              </w:rPr>
            </w:pPr>
            <w:proofErr w:type="spellStart"/>
            <w:r>
              <w:rPr>
                <w:sz w:val="20"/>
                <w:szCs w:val="20"/>
                <w:u w:val="single"/>
                <w:lang w:val="de-DE"/>
              </w:rPr>
              <w:lastRenderedPageBreak/>
              <w:t>Virolog</w:t>
            </w:r>
            <w:proofErr w:type="spellEnd"/>
            <w:r>
              <w:rPr>
                <w:sz w:val="20"/>
                <w:szCs w:val="20"/>
                <w:u w:val="single"/>
                <w:lang w:val="de-DE"/>
              </w:rPr>
              <w:t>. Surveillance (ab Folie 14):</w:t>
            </w:r>
          </w:p>
          <w:p>
            <w:pPr>
              <w:pStyle w:val="Liste2"/>
              <w:numPr>
                <w:ilvl w:val="0"/>
                <w:numId w:val="20"/>
              </w:numPr>
              <w:ind w:left="470" w:hanging="357"/>
              <w:rPr>
                <w:sz w:val="20"/>
                <w:szCs w:val="20"/>
                <w:lang w:val="de-DE"/>
              </w:rPr>
            </w:pPr>
            <w:r>
              <w:rPr>
                <w:sz w:val="20"/>
                <w:szCs w:val="20"/>
                <w:lang w:val="de-DE"/>
              </w:rPr>
              <w:t xml:space="preserve">Rückgang SARS-CoV-2 auf 4%; OC43 stärker vertreten (9%); </w:t>
            </w:r>
          </w:p>
          <w:p>
            <w:pPr>
              <w:pStyle w:val="Liste2"/>
              <w:numPr>
                <w:ilvl w:val="0"/>
                <w:numId w:val="20"/>
              </w:numPr>
              <w:ind w:left="470" w:hanging="357"/>
              <w:rPr>
                <w:sz w:val="20"/>
                <w:szCs w:val="20"/>
                <w:lang w:val="de-DE"/>
              </w:rPr>
            </w:pPr>
            <w:r>
              <w:rPr>
                <w:sz w:val="20"/>
                <w:szCs w:val="20"/>
                <w:lang w:val="de-DE"/>
              </w:rPr>
              <w:t xml:space="preserve">Influenza, H3N2: Hatte den Jahreswechsel dominiert; dann rapider Rückgang. H3N2 nun gleichauf mit H1N1 (4%); 1 Fall von B-Viktoria. </w:t>
            </w:r>
          </w:p>
          <w:p>
            <w:pPr>
              <w:pStyle w:val="Liste2"/>
              <w:numPr>
                <w:ilvl w:val="0"/>
                <w:numId w:val="20"/>
              </w:numPr>
              <w:ind w:left="470" w:hanging="357"/>
              <w:rPr>
                <w:sz w:val="20"/>
                <w:szCs w:val="20"/>
                <w:lang w:val="de-DE"/>
              </w:rPr>
            </w:pPr>
            <w:r>
              <w:rPr>
                <w:sz w:val="20"/>
                <w:szCs w:val="20"/>
                <w:lang w:val="de-DE"/>
              </w:rPr>
              <w:t xml:space="preserve">Andere respiratorische Viren: RSV am stärksten im Sentinel vertreten (16%), </w:t>
            </w:r>
            <w:proofErr w:type="spellStart"/>
            <w:r>
              <w:rPr>
                <w:sz w:val="20"/>
                <w:szCs w:val="20"/>
                <w:lang w:val="de-DE"/>
              </w:rPr>
              <w:t>hMPV</w:t>
            </w:r>
            <w:proofErr w:type="spellEnd"/>
            <w:r>
              <w:rPr>
                <w:sz w:val="20"/>
                <w:szCs w:val="20"/>
                <w:lang w:val="de-DE"/>
              </w:rPr>
              <w:t>: leichter Anstieg;</w:t>
            </w:r>
          </w:p>
          <w:p>
            <w:pPr>
              <w:pStyle w:val="Liste2"/>
              <w:numPr>
                <w:ilvl w:val="0"/>
                <w:numId w:val="20"/>
              </w:numPr>
              <w:ind w:left="470" w:hanging="357"/>
              <w:rPr>
                <w:sz w:val="20"/>
                <w:szCs w:val="20"/>
                <w:lang w:val="de-DE"/>
              </w:rPr>
            </w:pPr>
            <w:r>
              <w:rPr>
                <w:sz w:val="20"/>
                <w:szCs w:val="20"/>
                <w:lang w:val="de-DE"/>
              </w:rPr>
              <w:t xml:space="preserve">Verteilung Altersgruppen: deutlicher Rückgang bei Influenza vor allem bei 5-15-Jährigen. In allen Altersgruppen Rückgang; </w:t>
            </w:r>
          </w:p>
          <w:p>
            <w:pPr>
              <w:pStyle w:val="Liste2"/>
              <w:numPr>
                <w:ilvl w:val="0"/>
                <w:numId w:val="0"/>
              </w:numPr>
              <w:rPr>
                <w:lang w:val="de-DE"/>
              </w:rPr>
            </w:pPr>
          </w:p>
          <w:p>
            <w:pPr>
              <w:pStyle w:val="Liste2"/>
              <w:numPr>
                <w:ilvl w:val="0"/>
                <w:numId w:val="0"/>
              </w:numPr>
              <w:rPr>
                <w:rStyle w:val="TagMiZchn"/>
                <w:b w:val="0"/>
                <w:bCs/>
                <w:sz w:val="20"/>
                <w:szCs w:val="20"/>
                <w:u w:val="single"/>
                <w:lang w:val="de-DE"/>
              </w:rPr>
            </w:pPr>
            <w:r>
              <w:rPr>
                <w:sz w:val="20"/>
                <w:szCs w:val="20"/>
                <w:u w:val="single"/>
                <w:lang w:val="de-DE"/>
              </w:rPr>
              <w:t xml:space="preserve">Zahlen zum DIVI-Intensivregister, Folien </w:t>
            </w:r>
            <w:hyperlink r:id="rId20" w:history="1">
              <w:r>
                <w:rPr>
                  <w:rStyle w:val="Hyperlink"/>
                  <w:sz w:val="20"/>
                  <w:szCs w:val="20"/>
                  <w:lang w:val="de-DE"/>
                </w:rPr>
                <w:t>hier</w:t>
              </w:r>
            </w:hyperlink>
          </w:p>
          <w:p>
            <w:pPr>
              <w:pStyle w:val="Liste2"/>
              <w:numPr>
                <w:ilvl w:val="0"/>
                <w:numId w:val="19"/>
              </w:numPr>
              <w:ind w:left="470" w:hanging="357"/>
              <w:rPr>
                <w:sz w:val="20"/>
                <w:szCs w:val="20"/>
                <w:lang w:val="de-DE"/>
              </w:rPr>
            </w:pPr>
            <w:r>
              <w:rPr>
                <w:sz w:val="20"/>
                <w:szCs w:val="20"/>
                <w:lang w:val="de-DE"/>
              </w:rPr>
              <w:t>Trend der Meldedaten bestätigen sich auch in DIVI;</w:t>
            </w:r>
          </w:p>
          <w:p>
            <w:pPr>
              <w:pStyle w:val="Liste2"/>
              <w:numPr>
                <w:ilvl w:val="0"/>
                <w:numId w:val="19"/>
              </w:numPr>
              <w:ind w:left="470" w:hanging="357"/>
              <w:rPr>
                <w:sz w:val="20"/>
                <w:szCs w:val="20"/>
                <w:lang w:val="de-DE"/>
              </w:rPr>
            </w:pPr>
            <w:r>
              <w:rPr>
                <w:sz w:val="20"/>
                <w:szCs w:val="20"/>
                <w:lang w:val="de-DE"/>
              </w:rPr>
              <w:t>Stand 04.01.23: 859 COVID-PatientInnen auf den ITS;</w:t>
            </w:r>
          </w:p>
          <w:p>
            <w:pPr>
              <w:pStyle w:val="Liste2"/>
              <w:numPr>
                <w:ilvl w:val="0"/>
                <w:numId w:val="19"/>
              </w:numPr>
              <w:ind w:left="470" w:hanging="357"/>
              <w:rPr>
                <w:sz w:val="20"/>
                <w:szCs w:val="20"/>
                <w:lang w:val="de-DE"/>
              </w:rPr>
            </w:pPr>
            <w:r>
              <w:rPr>
                <w:sz w:val="20"/>
                <w:szCs w:val="20"/>
                <w:lang w:val="de-DE"/>
              </w:rPr>
              <w:t>Neuaufnahmen rückläufig mit 619 in den letzten 7 Tage;</w:t>
            </w:r>
          </w:p>
          <w:p>
            <w:pPr>
              <w:pStyle w:val="Liste2"/>
              <w:numPr>
                <w:ilvl w:val="0"/>
                <w:numId w:val="19"/>
              </w:numPr>
              <w:ind w:left="470" w:hanging="357"/>
              <w:rPr>
                <w:sz w:val="20"/>
                <w:szCs w:val="20"/>
                <w:lang w:val="de-DE"/>
              </w:rPr>
            </w:pPr>
            <w:r>
              <w:rPr>
                <w:sz w:val="20"/>
                <w:szCs w:val="20"/>
                <w:lang w:val="de-DE"/>
              </w:rPr>
              <w:t>Todesfallzahlen-Rückgang;</w:t>
            </w:r>
          </w:p>
          <w:p>
            <w:pPr>
              <w:pStyle w:val="Liste2"/>
              <w:numPr>
                <w:ilvl w:val="0"/>
                <w:numId w:val="19"/>
              </w:numPr>
              <w:ind w:left="470" w:hanging="357"/>
              <w:rPr>
                <w:sz w:val="20"/>
                <w:szCs w:val="20"/>
                <w:lang w:val="de-DE"/>
              </w:rPr>
            </w:pPr>
            <w:r>
              <w:rPr>
                <w:sz w:val="20"/>
                <w:szCs w:val="20"/>
                <w:lang w:val="de-DE"/>
              </w:rPr>
              <w:t>COVID19 treibt nicht mehr das Geschehen; moderates Level</w:t>
            </w:r>
          </w:p>
          <w:p>
            <w:pPr>
              <w:pStyle w:val="Liste2"/>
              <w:numPr>
                <w:ilvl w:val="0"/>
                <w:numId w:val="19"/>
              </w:numPr>
              <w:ind w:left="470" w:hanging="357"/>
              <w:rPr>
                <w:sz w:val="20"/>
                <w:szCs w:val="20"/>
                <w:lang w:val="de-DE"/>
              </w:rPr>
            </w:pPr>
            <w:r>
              <w:rPr>
                <w:sz w:val="20"/>
                <w:szCs w:val="20"/>
                <w:lang w:val="de-DE"/>
              </w:rPr>
              <w:t>Weniger als 5% der betreibbaren Betten sind durch COVID-19 PatientInnen belegt;</w:t>
            </w:r>
          </w:p>
          <w:p>
            <w:pPr>
              <w:pStyle w:val="Liste2"/>
              <w:numPr>
                <w:ilvl w:val="0"/>
                <w:numId w:val="19"/>
              </w:numPr>
              <w:ind w:left="470" w:hanging="357"/>
              <w:rPr>
                <w:sz w:val="20"/>
                <w:szCs w:val="20"/>
                <w:lang w:val="de-DE"/>
              </w:rPr>
            </w:pPr>
            <w:r>
              <w:rPr>
                <w:sz w:val="20"/>
                <w:szCs w:val="20"/>
                <w:lang w:val="de-DE"/>
              </w:rPr>
              <w:t xml:space="preserve">Altersentwicklung: Ü60 prägen weiterhin Belegung; Anstieg Anteil 60-69 im Vergleich zu Ü70. </w:t>
            </w:r>
          </w:p>
          <w:p>
            <w:pPr>
              <w:pStyle w:val="Liste2"/>
              <w:numPr>
                <w:ilvl w:val="0"/>
                <w:numId w:val="19"/>
              </w:numPr>
              <w:ind w:left="470" w:hanging="357"/>
              <w:rPr>
                <w:sz w:val="20"/>
                <w:szCs w:val="20"/>
                <w:lang w:val="de-DE"/>
              </w:rPr>
            </w:pPr>
            <w:r>
              <w:rPr>
                <w:sz w:val="20"/>
                <w:szCs w:val="20"/>
                <w:lang w:val="de-DE"/>
              </w:rPr>
              <w:t xml:space="preserve">Nicht COVID-19-Erwachsenen, die invasiv beatmet werden: Influenza und RSV scheinen hier eine große Rolle zu spielen. Ein Peak beobachtet, wie er in 2 Jahren nicht gemessen wurde: 7.000 invasiv beatmete PatientInnen, leicht rückläufig; </w:t>
            </w:r>
          </w:p>
          <w:p>
            <w:pPr>
              <w:pStyle w:val="Liste2"/>
              <w:numPr>
                <w:ilvl w:val="0"/>
                <w:numId w:val="19"/>
              </w:numPr>
              <w:ind w:left="470" w:hanging="357"/>
              <w:rPr>
                <w:sz w:val="20"/>
                <w:szCs w:val="20"/>
                <w:lang w:val="de-DE"/>
              </w:rPr>
            </w:pPr>
            <w:r>
              <w:rPr>
                <w:sz w:val="20"/>
                <w:szCs w:val="20"/>
                <w:lang w:val="de-DE"/>
              </w:rPr>
              <w:t xml:space="preserve">Leichte Entspannung bei freien Betten, aber Rekordtief in den letzten </w:t>
            </w:r>
            <w:r>
              <w:rPr>
                <w:sz w:val="20"/>
                <w:szCs w:val="20"/>
                <w:lang w:val="de-DE"/>
              </w:rPr>
              <w:br/>
              <w:t xml:space="preserve">2 Jahren erreicht. </w:t>
            </w:r>
          </w:p>
          <w:p>
            <w:pPr>
              <w:pStyle w:val="Liste2"/>
              <w:numPr>
                <w:ilvl w:val="0"/>
                <w:numId w:val="19"/>
              </w:numPr>
              <w:ind w:left="470" w:hanging="357"/>
              <w:rPr>
                <w:sz w:val="20"/>
                <w:szCs w:val="20"/>
                <w:lang w:val="de-DE"/>
              </w:rPr>
            </w:pPr>
            <w:r>
              <w:rPr>
                <w:sz w:val="20"/>
                <w:szCs w:val="20"/>
                <w:lang w:val="de-DE"/>
              </w:rPr>
              <w:t>Betriebssituation: Personalmangel stetig hoch mit leichter Entspannung.</w:t>
            </w:r>
          </w:p>
          <w:p>
            <w:pPr>
              <w:pStyle w:val="Liste2"/>
              <w:numPr>
                <w:ilvl w:val="0"/>
                <w:numId w:val="19"/>
              </w:numPr>
              <w:ind w:left="470" w:hanging="357"/>
              <w:rPr>
                <w:sz w:val="20"/>
                <w:szCs w:val="20"/>
                <w:lang w:val="de-DE"/>
              </w:rPr>
            </w:pPr>
            <w:r>
              <w:rPr>
                <w:sz w:val="20"/>
                <w:szCs w:val="20"/>
                <w:lang w:val="de-DE"/>
              </w:rPr>
              <w:t xml:space="preserve">Pädiatrische ITS: RSV und Influenza treiben das Geschehen: Rekordhoch vor ein paar Wochen erreicht. Momentan rückläufiges Geschehen, moderate Belegung; freie Betten und Beatmungskapazitäten ansteigend. </w:t>
            </w:r>
          </w:p>
          <w:p>
            <w:pPr>
              <w:pStyle w:val="Liste2"/>
              <w:numPr>
                <w:ilvl w:val="0"/>
                <w:numId w:val="0"/>
              </w:numPr>
              <w:ind w:left="833" w:hanging="360"/>
              <w:rPr>
                <w:sz w:val="20"/>
                <w:szCs w:val="20"/>
                <w:lang w:val="de-DE"/>
              </w:rPr>
            </w:pPr>
          </w:p>
          <w:p>
            <w:pPr>
              <w:pStyle w:val="Liste2"/>
              <w:numPr>
                <w:ilvl w:val="0"/>
                <w:numId w:val="0"/>
              </w:numPr>
              <w:rPr>
                <w:sz w:val="20"/>
                <w:szCs w:val="20"/>
                <w:u w:val="single"/>
                <w:lang w:val="de-DE"/>
              </w:rPr>
            </w:pPr>
            <w:r>
              <w:rPr>
                <w:sz w:val="20"/>
                <w:szCs w:val="20"/>
                <w:u w:val="single"/>
                <w:lang w:val="de-DE"/>
              </w:rPr>
              <w:t xml:space="preserve">Modellierungen </w:t>
            </w:r>
          </w:p>
          <w:p>
            <w:pPr>
              <w:pStyle w:val="Liste2"/>
              <w:numPr>
                <w:ilvl w:val="0"/>
                <w:numId w:val="0"/>
              </w:numPr>
              <w:rPr>
                <w:sz w:val="20"/>
                <w:szCs w:val="20"/>
                <w:lang w:val="de-DE"/>
              </w:rPr>
            </w:pPr>
            <w:r>
              <w:rPr>
                <w:sz w:val="20"/>
                <w:szCs w:val="20"/>
                <w:lang w:val="de-DE"/>
              </w:rPr>
              <w:t>(nicht berichtet)</w:t>
            </w:r>
          </w:p>
          <w:p>
            <w:pPr>
              <w:pStyle w:val="Liste2"/>
              <w:numPr>
                <w:ilvl w:val="0"/>
                <w:numId w:val="0"/>
              </w:numPr>
              <w:ind w:left="833"/>
              <w:rPr>
                <w:lang w:val="de-DE"/>
              </w:rPr>
            </w:pPr>
          </w:p>
          <w:p>
            <w:pPr>
              <w:pStyle w:val="Liste2"/>
              <w:numPr>
                <w:ilvl w:val="0"/>
                <w:numId w:val="0"/>
              </w:numPr>
              <w:rPr>
                <w:sz w:val="20"/>
                <w:szCs w:val="20"/>
                <w:u w:val="single"/>
                <w:lang w:val="de-DE"/>
              </w:rPr>
            </w:pPr>
            <w:r>
              <w:rPr>
                <w:sz w:val="20"/>
                <w:szCs w:val="20"/>
                <w:u w:val="single"/>
                <w:lang w:val="de-DE"/>
              </w:rPr>
              <w:t xml:space="preserve">Influenza und bakterielle Superinfektionen, Folien </w:t>
            </w:r>
            <w:hyperlink r:id="rId21" w:history="1">
              <w:r>
                <w:rPr>
                  <w:rStyle w:val="Hyperlink"/>
                  <w:sz w:val="20"/>
                  <w:szCs w:val="20"/>
                  <w:lang w:val="de-DE"/>
                </w:rPr>
                <w:t>hier</w:t>
              </w:r>
            </w:hyperlink>
          </w:p>
          <w:p>
            <w:pPr>
              <w:pStyle w:val="Liste2"/>
              <w:numPr>
                <w:ilvl w:val="0"/>
                <w:numId w:val="22"/>
              </w:numPr>
              <w:ind w:left="470" w:hanging="357"/>
              <w:rPr>
                <w:sz w:val="20"/>
                <w:szCs w:val="20"/>
                <w:lang w:val="de-DE"/>
              </w:rPr>
            </w:pPr>
            <w:r>
              <w:rPr>
                <w:sz w:val="20"/>
                <w:szCs w:val="20"/>
                <w:lang w:val="de-DE"/>
              </w:rPr>
              <w:t xml:space="preserve">Ein deutlicher Anstieg bakterieller Superinfektionen wurde aus Nachbarländern berichtet; </w:t>
            </w:r>
          </w:p>
          <w:p>
            <w:pPr>
              <w:pStyle w:val="Liste2"/>
              <w:numPr>
                <w:ilvl w:val="0"/>
                <w:numId w:val="22"/>
              </w:numPr>
              <w:ind w:left="470" w:hanging="357"/>
              <w:rPr>
                <w:sz w:val="20"/>
                <w:szCs w:val="20"/>
                <w:lang w:val="de-DE"/>
              </w:rPr>
            </w:pPr>
            <w:proofErr w:type="spellStart"/>
            <w:r>
              <w:rPr>
                <w:sz w:val="20"/>
                <w:szCs w:val="20"/>
                <w:lang w:val="de-DE"/>
              </w:rPr>
              <w:t>Bakteriämien</w:t>
            </w:r>
            <w:proofErr w:type="spellEnd"/>
            <w:r>
              <w:rPr>
                <w:sz w:val="20"/>
                <w:szCs w:val="20"/>
                <w:lang w:val="de-DE"/>
              </w:rPr>
              <w:t xml:space="preserve"> in Zusammenhang mit starken Viruswellen sind ein bekanntes Phänomen.;</w:t>
            </w:r>
          </w:p>
          <w:p>
            <w:pPr>
              <w:pStyle w:val="Liste2"/>
              <w:numPr>
                <w:ilvl w:val="0"/>
                <w:numId w:val="22"/>
              </w:numPr>
              <w:ind w:left="470" w:hanging="357"/>
              <w:rPr>
                <w:sz w:val="20"/>
                <w:szCs w:val="20"/>
                <w:lang w:val="de-DE"/>
              </w:rPr>
            </w:pPr>
            <w:r>
              <w:rPr>
                <w:sz w:val="20"/>
                <w:szCs w:val="20"/>
                <w:lang w:val="de-DE"/>
              </w:rPr>
              <w:t>ARS-Daten zu übertragbaren bakteriellen Erregern; invasive Isolate: hier ist ein Anstieg im 4. Q 2022 zu beobachten, der bisher nicht höher als Peaks in den vorpandemischen Saisons ist;</w:t>
            </w:r>
          </w:p>
          <w:p>
            <w:pPr>
              <w:pStyle w:val="Liste2"/>
              <w:numPr>
                <w:ilvl w:val="0"/>
                <w:numId w:val="22"/>
              </w:numPr>
              <w:ind w:left="470" w:hanging="357"/>
              <w:rPr>
                <w:sz w:val="20"/>
                <w:szCs w:val="20"/>
                <w:lang w:val="de-DE"/>
              </w:rPr>
            </w:pPr>
            <w:r>
              <w:rPr>
                <w:sz w:val="20"/>
                <w:szCs w:val="20"/>
                <w:lang w:val="de-DE"/>
              </w:rPr>
              <w:t xml:space="preserve">Ausnahmen: </w:t>
            </w:r>
            <w:proofErr w:type="spellStart"/>
            <w:r>
              <w:rPr>
                <w:sz w:val="20"/>
                <w:szCs w:val="20"/>
                <w:lang w:val="de-DE"/>
              </w:rPr>
              <w:t>Hib</w:t>
            </w:r>
            <w:proofErr w:type="spellEnd"/>
            <w:r>
              <w:rPr>
                <w:sz w:val="20"/>
                <w:szCs w:val="20"/>
                <w:lang w:val="de-DE"/>
              </w:rPr>
              <w:t xml:space="preserve"> und Group A </w:t>
            </w:r>
            <w:proofErr w:type="spellStart"/>
            <w:r>
              <w:rPr>
                <w:sz w:val="20"/>
                <w:szCs w:val="20"/>
                <w:lang w:val="de-DE"/>
              </w:rPr>
              <w:t>Strep</w:t>
            </w:r>
            <w:proofErr w:type="spellEnd"/>
            <w:r>
              <w:rPr>
                <w:sz w:val="20"/>
                <w:szCs w:val="20"/>
                <w:lang w:val="de-DE"/>
              </w:rPr>
              <w:t xml:space="preserve">: Zahlen liegen über den Peaks der Vorsaison. </w:t>
            </w:r>
          </w:p>
          <w:p>
            <w:pPr>
              <w:pStyle w:val="Liste2"/>
              <w:numPr>
                <w:ilvl w:val="0"/>
                <w:numId w:val="22"/>
              </w:numPr>
              <w:ind w:left="470" w:hanging="357"/>
              <w:rPr>
                <w:sz w:val="20"/>
                <w:szCs w:val="20"/>
                <w:lang w:val="de-DE"/>
              </w:rPr>
            </w:pPr>
            <w:r>
              <w:rPr>
                <w:sz w:val="20"/>
                <w:szCs w:val="20"/>
                <w:lang w:val="de-DE"/>
              </w:rPr>
              <w:t xml:space="preserve">Group A </w:t>
            </w:r>
            <w:proofErr w:type="spellStart"/>
            <w:r>
              <w:rPr>
                <w:sz w:val="20"/>
                <w:szCs w:val="20"/>
                <w:lang w:val="de-DE"/>
              </w:rPr>
              <w:t>Strep</w:t>
            </w:r>
            <w:proofErr w:type="spellEnd"/>
            <w:r>
              <w:rPr>
                <w:sz w:val="20"/>
                <w:szCs w:val="20"/>
                <w:lang w:val="de-DE"/>
              </w:rPr>
              <w:t xml:space="preserve">. nach Altersgruppen pro Quartal 2017- 2022: Anstieg in mehreren Altersgruppen und deutlich höher als Peak der Vorjahre: (65-74-Jährige, auch mittlere Altersgruppen und Kinder 5-14); </w:t>
            </w:r>
          </w:p>
          <w:p>
            <w:pPr>
              <w:pStyle w:val="Liste2"/>
              <w:numPr>
                <w:ilvl w:val="0"/>
                <w:numId w:val="22"/>
              </w:numPr>
              <w:ind w:left="470" w:hanging="357"/>
              <w:rPr>
                <w:sz w:val="20"/>
                <w:szCs w:val="20"/>
                <w:lang w:val="de-DE"/>
              </w:rPr>
            </w:pPr>
            <w:r>
              <w:rPr>
                <w:sz w:val="20"/>
                <w:szCs w:val="20"/>
                <w:lang w:val="de-DE"/>
              </w:rPr>
              <w:t xml:space="preserve">ARS-Daten repräsentieren ca. 1/3 der Gesamtfallzahlen, d.h. es kann von einer hohen Fallzahl ausgegangen werden; Ob Peak bereits erreicht ist, ist nicht klar. </w:t>
            </w:r>
          </w:p>
          <w:p>
            <w:pPr>
              <w:pStyle w:val="Liste2"/>
              <w:numPr>
                <w:ilvl w:val="0"/>
                <w:numId w:val="22"/>
              </w:numPr>
              <w:ind w:left="470" w:hanging="357"/>
              <w:rPr>
                <w:sz w:val="20"/>
                <w:szCs w:val="20"/>
                <w:lang w:val="de-DE"/>
              </w:rPr>
            </w:pPr>
            <w:r>
              <w:rPr>
                <w:sz w:val="20"/>
                <w:szCs w:val="20"/>
                <w:lang w:val="de-DE"/>
              </w:rPr>
              <w:t>Anstiege steiler und früher im Vergleich zu Vorjahren.</w:t>
            </w:r>
          </w:p>
          <w:p>
            <w:pPr>
              <w:pStyle w:val="Liste2"/>
              <w:numPr>
                <w:ilvl w:val="0"/>
                <w:numId w:val="22"/>
              </w:numPr>
              <w:ind w:left="470" w:hanging="357"/>
              <w:rPr>
                <w:sz w:val="20"/>
                <w:szCs w:val="20"/>
                <w:lang w:val="de-DE"/>
              </w:rPr>
            </w:pPr>
            <w:r>
              <w:rPr>
                <w:sz w:val="20"/>
                <w:szCs w:val="20"/>
                <w:lang w:val="de-DE"/>
              </w:rPr>
              <w:t xml:space="preserve">In Gesamtschau mit starker Influenza-Welle: Sollte hier reagiert werden? (Info an </w:t>
            </w:r>
            <w:proofErr w:type="spellStart"/>
            <w:proofErr w:type="gramStart"/>
            <w:r>
              <w:rPr>
                <w:sz w:val="20"/>
                <w:szCs w:val="20"/>
                <w:lang w:val="de-DE"/>
              </w:rPr>
              <w:t>Ärzteschaft?Bevölkerung</w:t>
            </w:r>
            <w:proofErr w:type="spellEnd"/>
            <w:proofErr w:type="gramEnd"/>
            <w:r>
              <w:rPr>
                <w:sz w:val="20"/>
                <w:szCs w:val="20"/>
                <w:lang w:val="de-DE"/>
              </w:rPr>
              <w:t xml:space="preserve">?). </w:t>
            </w:r>
          </w:p>
          <w:p>
            <w:pPr>
              <w:pStyle w:val="Liste2"/>
              <w:numPr>
                <w:ilvl w:val="0"/>
                <w:numId w:val="0"/>
              </w:numPr>
              <w:ind w:left="470"/>
              <w:rPr>
                <w:sz w:val="20"/>
                <w:szCs w:val="20"/>
                <w:lang w:val="de-DE"/>
              </w:rPr>
            </w:pPr>
          </w:p>
          <w:p>
            <w:pPr>
              <w:pStyle w:val="Liste2"/>
              <w:numPr>
                <w:ilvl w:val="0"/>
                <w:numId w:val="0"/>
              </w:numPr>
              <w:ind w:left="470"/>
              <w:rPr>
                <w:sz w:val="20"/>
                <w:szCs w:val="20"/>
                <w:lang w:val="de-DE"/>
              </w:rPr>
            </w:pPr>
          </w:p>
          <w:p>
            <w:pPr>
              <w:pStyle w:val="Liste2"/>
              <w:numPr>
                <w:ilvl w:val="0"/>
                <w:numId w:val="0"/>
              </w:numPr>
              <w:ind w:left="470"/>
              <w:rPr>
                <w:sz w:val="20"/>
                <w:szCs w:val="20"/>
                <w:lang w:val="de-DE"/>
              </w:rPr>
            </w:pPr>
          </w:p>
          <w:p>
            <w:pPr>
              <w:pStyle w:val="Liste2"/>
              <w:numPr>
                <w:ilvl w:val="0"/>
                <w:numId w:val="0"/>
              </w:numPr>
              <w:ind w:left="470"/>
              <w:rPr>
                <w:sz w:val="20"/>
                <w:szCs w:val="20"/>
                <w:lang w:val="de-DE"/>
              </w:rPr>
            </w:pPr>
          </w:p>
          <w:p>
            <w:pPr>
              <w:pStyle w:val="Liste2"/>
              <w:numPr>
                <w:ilvl w:val="0"/>
                <w:numId w:val="0"/>
              </w:numPr>
              <w:rPr>
                <w:sz w:val="20"/>
                <w:szCs w:val="20"/>
                <w:lang w:val="de-DE"/>
              </w:rPr>
            </w:pPr>
            <w:r>
              <w:rPr>
                <w:sz w:val="20"/>
                <w:szCs w:val="20"/>
                <w:lang w:val="de-DE"/>
              </w:rPr>
              <w:lastRenderedPageBreak/>
              <w:t>Diskussion:</w:t>
            </w:r>
          </w:p>
          <w:p>
            <w:pPr>
              <w:pStyle w:val="1"/>
              <w:numPr>
                <w:ilvl w:val="0"/>
                <w:numId w:val="21"/>
              </w:numPr>
              <w:ind w:left="470" w:hanging="357"/>
              <w:rPr>
                <w:b w:val="0"/>
                <w:sz w:val="20"/>
                <w:szCs w:val="20"/>
              </w:rPr>
            </w:pPr>
            <w:r>
              <w:rPr>
                <w:b w:val="0"/>
                <w:sz w:val="20"/>
                <w:szCs w:val="20"/>
              </w:rPr>
              <w:t xml:space="preserve">Kann davon ausgegangen werden, dass Peak bei Bakterien im Einklang mit Influenza-Peak gerade erreicht wird? Es besteht ein klarer pathogenetischer Zusammenhang zwischen viralen und bakt. Infektionen; wobei Schleimhautschädigungen wohl Haupteinflussfaktor darstellen; Ein Abklingen der bakteriellen Infektionen wird zeitlich leicht verzögert zu Influenza erwartet. </w:t>
            </w:r>
          </w:p>
          <w:p>
            <w:pPr>
              <w:pStyle w:val="1"/>
              <w:numPr>
                <w:ilvl w:val="0"/>
                <w:numId w:val="21"/>
              </w:numPr>
              <w:ind w:left="470" w:hanging="357"/>
              <w:rPr>
                <w:b w:val="0"/>
                <w:sz w:val="20"/>
                <w:szCs w:val="20"/>
              </w:rPr>
            </w:pPr>
            <w:r>
              <w:rPr>
                <w:b w:val="0"/>
                <w:sz w:val="20"/>
                <w:szCs w:val="20"/>
              </w:rPr>
              <w:t xml:space="preserve">Präventive Maßnahmen wurden wiederholt im ARE Wochenbericht erwähnt; weitere Aktionen momentan wären zu spät; </w:t>
            </w:r>
          </w:p>
          <w:p>
            <w:pPr>
              <w:pStyle w:val="1"/>
              <w:numPr>
                <w:ilvl w:val="0"/>
                <w:numId w:val="21"/>
              </w:numPr>
              <w:ind w:left="470" w:hanging="357"/>
              <w:rPr>
                <w:b w:val="0"/>
                <w:sz w:val="22"/>
                <w:szCs w:val="22"/>
              </w:rPr>
            </w:pPr>
            <w:r>
              <w:rPr>
                <w:b w:val="0"/>
                <w:sz w:val="20"/>
                <w:szCs w:val="20"/>
              </w:rPr>
              <w:t>Bakterielle Superinfektionen, früheres Handeln durch Ärzteschaft notwendig? Info DGPI: weicht erst von Antibiotika Leitlinien-Therapie ab nach Warnung durch RKI;</w:t>
            </w:r>
            <w:r>
              <w:rPr>
                <w:b w:val="0"/>
                <w:sz w:val="22"/>
                <w:szCs w:val="22"/>
              </w:rPr>
              <w:t xml:space="preserve"> </w:t>
            </w: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FG17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tc>
      </w:tr>
      <w:tr>
        <w:tc>
          <w:tcPr>
            <w:tcW w:w="684" w:type="dxa"/>
          </w:tcPr>
          <w:p>
            <w:pPr>
              <w:rPr>
                <w:b/>
              </w:rPr>
            </w:pPr>
            <w:r>
              <w:rPr>
                <w:b/>
              </w:rPr>
              <w:lastRenderedPageBreak/>
              <w:t>2</w:t>
            </w:r>
          </w:p>
        </w:tc>
        <w:tc>
          <w:tcPr>
            <w:tcW w:w="6824" w:type="dxa"/>
          </w:tcPr>
          <w:p>
            <w:pPr>
              <w:pStyle w:val="1"/>
            </w:pPr>
            <w:r>
              <w:t>Wichtige Punkte für den Wochenbericht</w:t>
            </w:r>
          </w:p>
          <w:p>
            <w:pPr>
              <w:pStyle w:val="1"/>
              <w:numPr>
                <w:ilvl w:val="0"/>
                <w:numId w:val="23"/>
              </w:numPr>
              <w:ind w:left="470" w:hanging="357"/>
              <w:rPr>
                <w:b w:val="0"/>
                <w:sz w:val="20"/>
                <w:szCs w:val="20"/>
              </w:rPr>
            </w:pPr>
            <w:r>
              <w:rPr>
                <w:b w:val="0"/>
                <w:sz w:val="20"/>
                <w:szCs w:val="20"/>
              </w:rPr>
              <w:t xml:space="preserve">Rückläufige Entwicklung setzt sich weiter fort; </w:t>
            </w:r>
          </w:p>
          <w:p>
            <w:pPr>
              <w:pStyle w:val="1"/>
              <w:numPr>
                <w:ilvl w:val="0"/>
                <w:numId w:val="23"/>
              </w:numPr>
              <w:ind w:left="470" w:hanging="357"/>
              <w:rPr>
                <w:b w:val="0"/>
                <w:sz w:val="20"/>
                <w:szCs w:val="20"/>
              </w:rPr>
            </w:pPr>
            <w:r>
              <w:rPr>
                <w:b w:val="0"/>
                <w:sz w:val="20"/>
                <w:szCs w:val="20"/>
              </w:rPr>
              <w:t xml:space="preserve">Influenza-Welle am Abklingen (Peak früher erreicht, deutlicher Abfall); </w:t>
            </w:r>
          </w:p>
          <w:p>
            <w:pPr>
              <w:pStyle w:val="1"/>
              <w:numPr>
                <w:ilvl w:val="0"/>
                <w:numId w:val="23"/>
              </w:numPr>
              <w:ind w:left="470" w:hanging="357"/>
              <w:rPr>
                <w:b w:val="0"/>
                <w:sz w:val="20"/>
                <w:szCs w:val="20"/>
              </w:rPr>
            </w:pPr>
            <w:r>
              <w:rPr>
                <w:b w:val="0"/>
                <w:sz w:val="20"/>
                <w:szCs w:val="20"/>
              </w:rPr>
              <w:t xml:space="preserve">RSV und Influenza bestimmen maßgeblich Geschehen; </w:t>
            </w:r>
          </w:p>
          <w:p>
            <w:pPr>
              <w:pStyle w:val="1"/>
              <w:numPr>
                <w:ilvl w:val="0"/>
                <w:numId w:val="23"/>
              </w:numPr>
              <w:ind w:left="470" w:hanging="357"/>
              <w:rPr>
                <w:b w:val="0"/>
                <w:sz w:val="20"/>
                <w:szCs w:val="20"/>
              </w:rPr>
            </w:pPr>
            <w:r>
              <w:rPr>
                <w:b w:val="0"/>
                <w:sz w:val="20"/>
                <w:szCs w:val="20"/>
              </w:rPr>
              <w:t xml:space="preserve">Angespannte Situation auf ITS und in Notaufnahmen: stark vom Personalmangel getrieben. –eventuell vorsichtig darauf hinweisen. </w:t>
            </w:r>
          </w:p>
          <w:p>
            <w:pPr>
              <w:pStyle w:val="1"/>
              <w:numPr>
                <w:ilvl w:val="0"/>
                <w:numId w:val="23"/>
              </w:numPr>
              <w:ind w:left="470" w:hanging="357"/>
              <w:rPr>
                <w:b w:val="0"/>
                <w:sz w:val="20"/>
                <w:szCs w:val="20"/>
              </w:rPr>
            </w:pPr>
            <w:r>
              <w:rPr>
                <w:b w:val="0"/>
                <w:sz w:val="20"/>
                <w:szCs w:val="20"/>
              </w:rPr>
              <w:t xml:space="preserve">Bakterielle Superinfektionen nach Influenza: erwähnen, dass diese Krankheitsschwere mit beeinflussend. </w:t>
            </w:r>
          </w:p>
        </w:tc>
        <w:tc>
          <w:tcPr>
            <w:tcW w:w="1463" w:type="dxa"/>
          </w:tcPr>
          <w:p>
            <w:pPr>
              <w:rPr>
                <w:sz w:val="22"/>
                <w:szCs w:val="22"/>
              </w:rPr>
            </w:pPr>
            <w:r>
              <w:rPr>
                <w:sz w:val="22"/>
                <w:szCs w:val="22"/>
              </w:rPr>
              <w:t>Alle</w:t>
            </w:r>
          </w:p>
        </w:tc>
      </w:tr>
      <w:tr>
        <w:tc>
          <w:tcPr>
            <w:tcW w:w="684" w:type="dxa"/>
          </w:tcPr>
          <w:p>
            <w:pPr>
              <w:rPr>
                <w:b/>
              </w:rPr>
            </w:pPr>
            <w:r>
              <w:rPr>
                <w:b/>
              </w:rPr>
              <w:t>3</w:t>
            </w:r>
          </w:p>
        </w:tc>
        <w:tc>
          <w:tcPr>
            <w:tcW w:w="6824" w:type="dxa"/>
          </w:tcPr>
          <w:p>
            <w:pPr>
              <w:spacing w:line="276" w:lineRule="auto"/>
              <w:rPr>
                <w:b/>
                <w:sz w:val="28"/>
              </w:rPr>
            </w:pPr>
            <w:r>
              <w:rPr>
                <w:rStyle w:val="1Zchn"/>
              </w:rPr>
              <w:t>Update Impfen</w:t>
            </w:r>
            <w:r>
              <w:rPr>
                <w:b/>
                <w:sz w:val="28"/>
              </w:rPr>
              <w:t xml:space="preserve"> </w:t>
            </w:r>
          </w:p>
          <w:p>
            <w:pPr>
              <w:pStyle w:val="Listenabsatz"/>
              <w:numPr>
                <w:ilvl w:val="0"/>
                <w:numId w:val="26"/>
              </w:numPr>
              <w:spacing w:line="276" w:lineRule="auto"/>
              <w:rPr>
                <w:rStyle w:val="TagFrZchn"/>
                <w:b w:val="0"/>
                <w:i w:val="0"/>
                <w:color w:val="000000" w:themeColor="text1"/>
                <w:sz w:val="20"/>
                <w:szCs w:val="20"/>
              </w:rPr>
            </w:pPr>
            <w:r>
              <w:rPr>
                <w:rStyle w:val="TagFrZchn"/>
                <w:b w:val="0"/>
                <w:i w:val="0"/>
                <w:color w:val="000000" w:themeColor="text1"/>
                <w:sz w:val="20"/>
                <w:szCs w:val="20"/>
              </w:rPr>
              <w:t>Steuerungskreis COVID-19-Impfkampagne: BMG, BZgA, RKI, und Agenturen. Sitzungsfrequenz auf 1 Mal pro Monat reduziert;</w:t>
            </w:r>
          </w:p>
          <w:p>
            <w:pPr>
              <w:pStyle w:val="Listenabsatz"/>
              <w:numPr>
                <w:ilvl w:val="0"/>
                <w:numId w:val="26"/>
              </w:numPr>
              <w:spacing w:line="276" w:lineRule="auto"/>
              <w:rPr>
                <w:rStyle w:val="TagFrZchn"/>
                <w:b w:val="0"/>
                <w:i w:val="0"/>
                <w:color w:val="000000" w:themeColor="text1"/>
                <w:sz w:val="20"/>
                <w:szCs w:val="20"/>
              </w:rPr>
            </w:pPr>
            <w:r>
              <w:rPr>
                <w:rStyle w:val="TagFrZchn"/>
                <w:b w:val="0"/>
                <w:i w:val="0"/>
                <w:color w:val="000000" w:themeColor="text1"/>
                <w:sz w:val="20"/>
                <w:szCs w:val="20"/>
              </w:rPr>
              <w:t xml:space="preserve">Minister wünscht Extra-Treffen zu </w:t>
            </w:r>
            <w:proofErr w:type="spellStart"/>
            <w:r>
              <w:rPr>
                <w:rStyle w:val="TagFrZchn"/>
                <w:b w:val="0"/>
                <w:i w:val="0"/>
                <w:color w:val="000000" w:themeColor="text1"/>
                <w:sz w:val="20"/>
                <w:szCs w:val="20"/>
              </w:rPr>
              <w:t>LongCOVD</w:t>
            </w:r>
            <w:proofErr w:type="spellEnd"/>
            <w:r>
              <w:rPr>
                <w:rStyle w:val="TagFrZchn"/>
                <w:b w:val="0"/>
                <w:i w:val="0"/>
                <w:color w:val="000000" w:themeColor="text1"/>
                <w:sz w:val="20"/>
                <w:szCs w:val="20"/>
              </w:rPr>
              <w:t xml:space="preserve">; Informationen dazu werden durch FG33 </w:t>
            </w:r>
            <w:proofErr w:type="gramStart"/>
            <w:r>
              <w:rPr>
                <w:rStyle w:val="TagFrZchn"/>
                <w:b w:val="0"/>
                <w:i w:val="0"/>
                <w:color w:val="000000" w:themeColor="text1"/>
                <w:sz w:val="20"/>
                <w:szCs w:val="20"/>
              </w:rPr>
              <w:t>an betreffende</w:t>
            </w:r>
            <w:proofErr w:type="gramEnd"/>
            <w:r>
              <w:rPr>
                <w:rStyle w:val="TagFrZchn"/>
                <w:b w:val="0"/>
                <w:i w:val="0"/>
                <w:color w:val="000000" w:themeColor="text1"/>
                <w:sz w:val="20"/>
                <w:szCs w:val="20"/>
              </w:rPr>
              <w:t xml:space="preserve"> OEs weitergeleitet;</w:t>
            </w:r>
          </w:p>
          <w:p>
            <w:pPr>
              <w:pStyle w:val="Listenabsatz"/>
              <w:numPr>
                <w:ilvl w:val="0"/>
                <w:numId w:val="26"/>
              </w:numPr>
              <w:spacing w:line="276" w:lineRule="auto"/>
              <w:rPr>
                <w:rStyle w:val="TagFrZchn"/>
                <w:b w:val="0"/>
                <w:i w:val="0"/>
                <w:color w:val="000000" w:themeColor="text1"/>
                <w:sz w:val="20"/>
                <w:szCs w:val="20"/>
              </w:rPr>
            </w:pPr>
            <w:r>
              <w:rPr>
                <w:rStyle w:val="TagFrZchn"/>
                <w:b w:val="0"/>
                <w:i w:val="0"/>
                <w:color w:val="000000" w:themeColor="text1"/>
                <w:sz w:val="20"/>
                <w:szCs w:val="20"/>
              </w:rPr>
              <w:t xml:space="preserve">Impfquoten-Monitoring: Austausch RKI, PEI und BMG; DIM läuft im April aus, es gibt momentan keine gute Übergangslösung. Surveys können wir nicht bedienen. Zu Möglichkeiten für Zwischenlösungen gingen mehrere Berichte ans BMG; </w:t>
            </w:r>
          </w:p>
          <w:p>
            <w:pPr>
              <w:pStyle w:val="Listenabsatz"/>
              <w:numPr>
                <w:ilvl w:val="0"/>
                <w:numId w:val="26"/>
              </w:numPr>
              <w:spacing w:line="276" w:lineRule="auto"/>
              <w:rPr>
                <w:rStyle w:val="TagFrZchn"/>
                <w:b w:val="0"/>
                <w:i w:val="0"/>
                <w:color w:val="000000" w:themeColor="text1"/>
                <w:sz w:val="20"/>
                <w:szCs w:val="20"/>
              </w:rPr>
            </w:pPr>
            <w:r>
              <w:rPr>
                <w:rStyle w:val="TagFrZchn"/>
                <w:b w:val="0"/>
                <w:i w:val="0"/>
                <w:color w:val="000000" w:themeColor="text1"/>
                <w:sz w:val="20"/>
                <w:szCs w:val="20"/>
              </w:rPr>
              <w:t xml:space="preserve">Ab 07.04: schnellere Meldeformate durch KV-en? Aber auch diese sind nicht vollständig und zeitnah. Monatsberichte und Impfdashboard werden zum Mai eingestellt. Bewertung von Impfnebenwirkungen wird nicht mehr möglich sein. – Dies muss sehr gut kommunikativ begleitet werden, damit es nicht auf RKI zurückfällt.  </w:t>
            </w:r>
          </w:p>
          <w:p>
            <w:pPr>
              <w:pStyle w:val="Listenabsatz"/>
              <w:numPr>
                <w:ilvl w:val="0"/>
                <w:numId w:val="26"/>
              </w:numPr>
              <w:spacing w:line="276" w:lineRule="auto"/>
              <w:rPr>
                <w:rStyle w:val="TagFrZchn"/>
                <w:b w:val="0"/>
                <w:i w:val="0"/>
                <w:color w:val="000000" w:themeColor="text1"/>
                <w:sz w:val="20"/>
                <w:szCs w:val="20"/>
              </w:rPr>
            </w:pPr>
            <w:r>
              <w:rPr>
                <w:rStyle w:val="TagFrZchn"/>
                <w:b w:val="0"/>
                <w:i w:val="0"/>
                <w:color w:val="000000" w:themeColor="text1"/>
                <w:sz w:val="20"/>
                <w:szCs w:val="20"/>
              </w:rPr>
              <w:t>Infos Abt. 2: Impfmonitoring aus Bestandteil des Panels möglich; hierzu Konzept in Ausarbeitung;</w:t>
            </w:r>
          </w:p>
          <w:p>
            <w:pPr>
              <w:spacing w:line="276" w:lineRule="auto"/>
              <w:ind w:left="113"/>
              <w:rPr>
                <w:rStyle w:val="TagFrZchn"/>
                <w:b w:val="0"/>
                <w:i w:val="0"/>
                <w:color w:val="000000" w:themeColor="text1"/>
                <w:sz w:val="20"/>
                <w:szCs w:val="20"/>
              </w:rPr>
            </w:pPr>
          </w:p>
          <w:p>
            <w:pPr>
              <w:pStyle w:val="Listenabsatz"/>
              <w:numPr>
                <w:ilvl w:val="0"/>
                <w:numId w:val="26"/>
              </w:numPr>
              <w:spacing w:line="276" w:lineRule="auto"/>
              <w:rPr>
                <w:rStyle w:val="TagFrZchn"/>
                <w:b w:val="0"/>
                <w:i w:val="0"/>
                <w:color w:val="000000" w:themeColor="text1"/>
                <w:sz w:val="20"/>
                <w:szCs w:val="20"/>
              </w:rPr>
            </w:pPr>
            <w:r>
              <w:rPr>
                <w:rStyle w:val="TagFrZchn"/>
                <w:b w:val="0"/>
                <w:i w:val="0"/>
                <w:color w:val="000000" w:themeColor="text1"/>
                <w:sz w:val="20"/>
                <w:szCs w:val="20"/>
              </w:rPr>
              <w:t xml:space="preserve">To Do: Vorlage zur Kommunikation DIM bis morgen Vormittag (FG33, Abt. 2) </w:t>
            </w:r>
          </w:p>
          <w:p>
            <w:pPr>
              <w:pStyle w:val="2"/>
            </w:pPr>
            <w:r>
              <w:t>STIKO</w:t>
            </w:r>
          </w:p>
          <w:p>
            <w:pPr>
              <w:spacing w:line="276" w:lineRule="auto"/>
              <w:rPr>
                <w:sz w:val="20"/>
                <w:szCs w:val="20"/>
              </w:rPr>
            </w:pPr>
            <w:r>
              <w:rPr>
                <w:sz w:val="20"/>
                <w:szCs w:val="20"/>
              </w:rPr>
              <w:t>Nicht extra berichtet</w:t>
            </w:r>
          </w:p>
          <w:p>
            <w:pPr>
              <w:spacing w:line="276" w:lineRule="auto"/>
              <w:rPr>
                <w:rStyle w:val="1Zchn"/>
                <w:sz w:val="20"/>
                <w:szCs w:val="20"/>
              </w:rPr>
            </w:pPr>
          </w:p>
        </w:tc>
        <w:tc>
          <w:tcPr>
            <w:tcW w:w="1463" w:type="dxa"/>
          </w:tcPr>
          <w:p>
            <w:pPr>
              <w:rPr>
                <w:sz w:val="22"/>
                <w:szCs w:val="22"/>
              </w:rPr>
            </w:pPr>
            <w:r>
              <w:rPr>
                <w:sz w:val="22"/>
                <w:szCs w:val="22"/>
              </w:rPr>
              <w:t>FG 33</w:t>
            </w:r>
          </w:p>
        </w:tc>
      </w:tr>
      <w:tr>
        <w:tc>
          <w:tcPr>
            <w:tcW w:w="684" w:type="dxa"/>
          </w:tcPr>
          <w:p>
            <w:pPr>
              <w:rPr>
                <w:b/>
              </w:rPr>
            </w:pPr>
            <w:r>
              <w:rPr>
                <w:b/>
              </w:rPr>
              <w:t>4</w:t>
            </w:r>
          </w:p>
        </w:tc>
        <w:tc>
          <w:tcPr>
            <w:tcW w:w="6824" w:type="dxa"/>
          </w:tcPr>
          <w:p>
            <w:pPr>
              <w:spacing w:line="276" w:lineRule="auto"/>
              <w:rPr>
                <w:rStyle w:val="TagFrZchn"/>
              </w:rPr>
            </w:pPr>
            <w:r>
              <w:rPr>
                <w:rStyle w:val="1Zchn"/>
              </w:rPr>
              <w:t>Internationales</w:t>
            </w:r>
            <w:r>
              <w:rPr>
                <w:b/>
                <w:color w:val="FF0000"/>
              </w:rPr>
              <w:t xml:space="preserve"> </w:t>
            </w:r>
          </w:p>
          <w:p>
            <w:pPr>
              <w:pStyle w:val="Liste1"/>
              <w:rPr>
                <w:sz w:val="20"/>
                <w:szCs w:val="20"/>
              </w:rPr>
            </w:pPr>
            <w:r>
              <w:rPr>
                <w:sz w:val="20"/>
                <w:szCs w:val="20"/>
              </w:rPr>
              <w:t>(nicht berichtet)</w:t>
            </w:r>
          </w:p>
        </w:tc>
        <w:tc>
          <w:tcPr>
            <w:tcW w:w="1463" w:type="dxa"/>
          </w:tcPr>
          <w:p>
            <w:pPr>
              <w:rPr>
                <w:sz w:val="22"/>
                <w:szCs w:val="22"/>
              </w:rPr>
            </w:pPr>
          </w:p>
          <w:p>
            <w:pPr>
              <w:rPr>
                <w:sz w:val="22"/>
                <w:szCs w:val="22"/>
              </w:rPr>
            </w:pPr>
            <w:r>
              <w:rPr>
                <w:sz w:val="22"/>
                <w:szCs w:val="22"/>
              </w:rPr>
              <w:t>ZIG</w:t>
            </w:r>
          </w:p>
        </w:tc>
      </w:tr>
      <w:tr>
        <w:tc>
          <w:tcPr>
            <w:tcW w:w="684" w:type="dxa"/>
          </w:tcPr>
          <w:p>
            <w:pPr>
              <w:rPr>
                <w:b/>
              </w:rPr>
            </w:pPr>
            <w:r>
              <w:rPr>
                <w:b/>
              </w:rPr>
              <w:lastRenderedPageBreak/>
              <w:t>5</w:t>
            </w:r>
          </w:p>
        </w:tc>
        <w:tc>
          <w:tcPr>
            <w:tcW w:w="6824" w:type="dxa"/>
          </w:tcPr>
          <w:p>
            <w:pPr>
              <w:spacing w:line="276" w:lineRule="auto"/>
              <w:rPr>
                <w:rStyle w:val="1Zchn"/>
              </w:rPr>
            </w:pPr>
            <w:r>
              <w:rPr>
                <w:rStyle w:val="1Zchn"/>
              </w:rPr>
              <w:t>Update digitale Projekte</w:t>
            </w:r>
          </w:p>
          <w:p>
            <w:pPr>
              <w:pStyle w:val="Listenabsatz"/>
              <w:numPr>
                <w:ilvl w:val="0"/>
                <w:numId w:val="27"/>
              </w:numPr>
              <w:spacing w:line="276" w:lineRule="auto"/>
              <w:ind w:left="470" w:hanging="357"/>
              <w:rPr>
                <w:sz w:val="20"/>
                <w:szCs w:val="20"/>
              </w:rPr>
            </w:pPr>
            <w:r>
              <w:rPr>
                <w:sz w:val="20"/>
                <w:szCs w:val="20"/>
              </w:rPr>
              <w:t xml:space="preserve">DEA ausgelaufen; Ersatz: European Locator Form (DPLF) durch FG31, IT5 und andere OEs übernommen. </w:t>
            </w:r>
          </w:p>
          <w:p>
            <w:pPr>
              <w:pStyle w:val="Listenabsatz"/>
              <w:numPr>
                <w:ilvl w:val="0"/>
                <w:numId w:val="27"/>
              </w:numPr>
              <w:spacing w:line="276" w:lineRule="auto"/>
              <w:ind w:left="470" w:hanging="357"/>
              <w:rPr>
                <w:color w:val="000000" w:themeColor="text1"/>
                <w:sz w:val="20"/>
                <w:szCs w:val="20"/>
              </w:rPr>
            </w:pPr>
            <w:r>
              <w:rPr>
                <w:color w:val="000000" w:themeColor="text1"/>
                <w:sz w:val="20"/>
                <w:szCs w:val="20"/>
              </w:rPr>
              <w:t xml:space="preserve">CWA läuft Ende Mai aus; App-basierte Kommunikation soll in Zukunft wichtig bleiben; </w:t>
            </w:r>
          </w:p>
          <w:p>
            <w:pPr>
              <w:pStyle w:val="Listenabsatz"/>
              <w:numPr>
                <w:ilvl w:val="0"/>
                <w:numId w:val="27"/>
              </w:numPr>
              <w:spacing w:line="276" w:lineRule="auto"/>
              <w:ind w:left="470" w:hanging="357"/>
              <w:rPr>
                <w:color w:val="000000" w:themeColor="text1"/>
                <w:sz w:val="20"/>
                <w:szCs w:val="20"/>
              </w:rPr>
            </w:pPr>
            <w:r>
              <w:rPr>
                <w:color w:val="000000" w:themeColor="text1"/>
                <w:sz w:val="20"/>
                <w:szCs w:val="20"/>
              </w:rPr>
              <w:t xml:space="preserve">Übertragung CWA-Zertifikate in </w:t>
            </w:r>
            <w:proofErr w:type="spellStart"/>
            <w:r>
              <w:rPr>
                <w:color w:val="000000" w:themeColor="text1"/>
                <w:sz w:val="20"/>
                <w:szCs w:val="20"/>
              </w:rPr>
              <w:t>CovPass</w:t>
            </w:r>
            <w:proofErr w:type="spellEnd"/>
            <w:r>
              <w:rPr>
                <w:color w:val="000000" w:themeColor="text1"/>
                <w:sz w:val="20"/>
                <w:szCs w:val="20"/>
              </w:rPr>
              <w:t xml:space="preserve">-App läuft in Zusammenarbeit mit Industriepartnern. </w:t>
            </w:r>
          </w:p>
          <w:p>
            <w:pPr>
              <w:pStyle w:val="Listenabsatz"/>
              <w:numPr>
                <w:ilvl w:val="0"/>
                <w:numId w:val="27"/>
              </w:numPr>
              <w:spacing w:line="276" w:lineRule="auto"/>
              <w:ind w:left="470" w:hanging="357"/>
              <w:rPr>
                <w:color w:val="C2D69B" w:themeColor="accent3" w:themeTint="99"/>
                <w:sz w:val="22"/>
                <w:szCs w:val="22"/>
              </w:rPr>
            </w:pPr>
            <w:r>
              <w:rPr>
                <w:color w:val="000000" w:themeColor="text1"/>
                <w:sz w:val="20"/>
                <w:szCs w:val="20"/>
              </w:rPr>
              <w:t xml:space="preserve">„End </w:t>
            </w:r>
            <w:proofErr w:type="spellStart"/>
            <w:r>
              <w:rPr>
                <w:color w:val="000000" w:themeColor="text1"/>
                <w:sz w:val="20"/>
                <w:szCs w:val="20"/>
              </w:rPr>
              <w:t>of</w:t>
            </w:r>
            <w:proofErr w:type="spellEnd"/>
            <w:r>
              <w:rPr>
                <w:color w:val="000000" w:themeColor="text1"/>
                <w:sz w:val="20"/>
                <w:szCs w:val="20"/>
              </w:rPr>
              <w:t xml:space="preserve"> </w:t>
            </w:r>
            <w:proofErr w:type="spellStart"/>
            <w:r>
              <w:rPr>
                <w:color w:val="000000" w:themeColor="text1"/>
                <w:sz w:val="20"/>
                <w:szCs w:val="20"/>
              </w:rPr>
              <w:t>life</w:t>
            </w:r>
            <w:proofErr w:type="spellEnd"/>
            <w:r>
              <w:rPr>
                <w:color w:val="000000" w:themeColor="text1"/>
                <w:sz w:val="20"/>
                <w:szCs w:val="20"/>
              </w:rPr>
              <w:t>“ Pflege bei CWA: in Bearbeitung am BMG</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6</w:t>
            </w:r>
          </w:p>
        </w:tc>
        <w:tc>
          <w:tcPr>
            <w:tcW w:w="6824" w:type="dxa"/>
          </w:tcPr>
          <w:p>
            <w:pPr>
              <w:spacing w:line="276" w:lineRule="auto"/>
              <w:rPr>
                <w:rStyle w:val="1Zchn"/>
              </w:rPr>
            </w:pPr>
            <w:r>
              <w:rPr>
                <w:rStyle w:val="1Zchn"/>
              </w:rPr>
              <w:t>Daten aus der Gesundheitsberichterstattung</w:t>
            </w:r>
          </w:p>
          <w:p>
            <w:pPr>
              <w:rPr>
                <w:rFonts w:cstheme="majorHAnsi"/>
                <w:b/>
                <w:sz w:val="20"/>
                <w:szCs w:val="20"/>
              </w:rPr>
            </w:pPr>
            <w:r>
              <w:rPr>
                <w:rFonts w:cstheme="majorHAnsi"/>
                <w:b/>
                <w:sz w:val="20"/>
                <w:szCs w:val="20"/>
              </w:rPr>
              <w:t>Daten aus der Gesundheitsberichterstattung</w:t>
            </w:r>
          </w:p>
          <w:p>
            <w:pPr>
              <w:spacing w:line="276" w:lineRule="auto"/>
              <w:rPr>
                <w:rStyle w:val="1Zchn"/>
                <w:rFonts w:cstheme="majorHAnsi"/>
                <w:b w:val="0"/>
                <w:sz w:val="20"/>
                <w:szCs w:val="20"/>
              </w:rPr>
            </w:pPr>
            <w:r>
              <w:rPr>
                <w:rFonts w:cstheme="majorHAnsi"/>
                <w:b/>
                <w:sz w:val="20"/>
                <w:szCs w:val="20"/>
              </w:rPr>
              <w:t>NCD-Themen in Bezug auf die Pandemie: „Entwicklung der psychischen Gesundheit der erwachsenen Allgemeinbevölkerung - Update der hochfrequenten Mental Health Surveillance auf der Grundlage von RKI Surveydaten“</w:t>
            </w:r>
          </w:p>
          <w:p>
            <w:pPr>
              <w:pStyle w:val="Listenabsatz"/>
              <w:numPr>
                <w:ilvl w:val="0"/>
                <w:numId w:val="8"/>
              </w:numPr>
              <w:spacing w:line="276" w:lineRule="auto"/>
              <w:rPr>
                <w:rStyle w:val="1Zchn"/>
                <w:rFonts w:cstheme="majorHAnsi"/>
                <w:b w:val="0"/>
                <w:sz w:val="20"/>
                <w:szCs w:val="20"/>
              </w:rPr>
            </w:pPr>
            <w:r>
              <w:rPr>
                <w:rStyle w:val="1Zchn"/>
                <w:rFonts w:cstheme="majorHAnsi"/>
                <w:b w:val="0"/>
                <w:sz w:val="20"/>
                <w:szCs w:val="20"/>
              </w:rPr>
              <w:t xml:space="preserve">Daten bis Mitte Okt 2022. Folien </w:t>
            </w:r>
            <w:hyperlink r:id="rId22" w:history="1">
              <w:r>
                <w:rPr>
                  <w:rStyle w:val="Hyperlink"/>
                  <w:rFonts w:cstheme="majorHAnsi"/>
                  <w:sz w:val="20"/>
                  <w:szCs w:val="20"/>
                </w:rPr>
                <w:t>hier</w:t>
              </w:r>
            </w:hyperlink>
          </w:p>
          <w:p>
            <w:pPr>
              <w:pStyle w:val="Listenabsatz"/>
              <w:numPr>
                <w:ilvl w:val="0"/>
                <w:numId w:val="8"/>
              </w:numPr>
              <w:spacing w:line="276" w:lineRule="auto"/>
              <w:rPr>
                <w:rStyle w:val="1Zchn"/>
                <w:rFonts w:cstheme="majorHAnsi"/>
                <w:b w:val="0"/>
                <w:sz w:val="20"/>
                <w:szCs w:val="20"/>
              </w:rPr>
            </w:pPr>
            <w:r>
              <w:rPr>
                <w:rStyle w:val="1Zchn"/>
                <w:rFonts w:cstheme="majorHAnsi"/>
                <w:b w:val="0"/>
                <w:sz w:val="20"/>
                <w:szCs w:val="20"/>
              </w:rPr>
              <w:t>Datengrundlage: Telefoninterviews mit monatlich ca. 1.000-3.000 Teilnehmenden im Rahmen der Studien GEDA und COVIMO</w:t>
            </w:r>
          </w:p>
          <w:p>
            <w:pPr>
              <w:pStyle w:val="Listenabsatz"/>
              <w:numPr>
                <w:ilvl w:val="0"/>
                <w:numId w:val="8"/>
              </w:numPr>
              <w:spacing w:line="276" w:lineRule="auto"/>
              <w:rPr>
                <w:rStyle w:val="1Zchn"/>
                <w:rFonts w:cstheme="majorHAnsi"/>
                <w:b w:val="0"/>
                <w:sz w:val="20"/>
                <w:szCs w:val="20"/>
              </w:rPr>
            </w:pPr>
            <w:r>
              <w:rPr>
                <w:rStyle w:val="1Zchn"/>
                <w:rFonts w:cstheme="majorHAnsi"/>
                <w:b w:val="0"/>
                <w:sz w:val="20"/>
                <w:szCs w:val="20"/>
              </w:rPr>
              <w:t>3 Indikatoren zum psych. Gesundheitszustand: depressive Symptome, Angstsymptome, subjektive psychische Gesundheit; 2 Indikatoren zu sozialen Determinanten psychischer Gesundheit: Einsamkeit und soziale Unterstützung</w:t>
            </w:r>
          </w:p>
          <w:p>
            <w:pPr>
              <w:pStyle w:val="Listenabsatz"/>
              <w:numPr>
                <w:ilvl w:val="0"/>
                <w:numId w:val="8"/>
              </w:numPr>
              <w:spacing w:line="276" w:lineRule="auto"/>
              <w:rPr>
                <w:rStyle w:val="1Zchn"/>
                <w:rFonts w:cstheme="majorHAnsi"/>
                <w:b w:val="0"/>
                <w:sz w:val="20"/>
                <w:szCs w:val="20"/>
              </w:rPr>
            </w:pPr>
            <w:r>
              <w:rPr>
                <w:rStyle w:val="1Zchn"/>
                <w:rFonts w:cstheme="majorHAnsi"/>
                <w:b w:val="0"/>
                <w:sz w:val="20"/>
                <w:szCs w:val="20"/>
              </w:rPr>
              <w:t xml:space="preserve">Berechnung gleitender 3-Monats-Schätzer </w:t>
            </w:r>
          </w:p>
          <w:p>
            <w:pPr>
              <w:pStyle w:val="Listenabsatz"/>
              <w:numPr>
                <w:ilvl w:val="0"/>
                <w:numId w:val="8"/>
              </w:numPr>
              <w:spacing w:line="276" w:lineRule="auto"/>
              <w:rPr>
                <w:rStyle w:val="1Zchn"/>
                <w:rFonts w:cstheme="majorHAnsi"/>
                <w:b w:val="0"/>
                <w:sz w:val="20"/>
                <w:szCs w:val="20"/>
              </w:rPr>
            </w:pPr>
            <w:r>
              <w:rPr>
                <w:rStyle w:val="1Zchn"/>
                <w:rFonts w:cstheme="majorHAnsi"/>
                <w:b w:val="0"/>
                <w:sz w:val="20"/>
                <w:szCs w:val="20"/>
              </w:rPr>
              <w:t>Auswertungen gewichtet nach Alter, Geschlecht, Bildung und Region</w:t>
            </w:r>
          </w:p>
          <w:p>
            <w:pPr>
              <w:pStyle w:val="Listenabsatz"/>
              <w:numPr>
                <w:ilvl w:val="0"/>
                <w:numId w:val="8"/>
              </w:numPr>
              <w:spacing w:line="276" w:lineRule="auto"/>
              <w:rPr>
                <w:rStyle w:val="1Zchn"/>
                <w:rFonts w:cstheme="majorHAnsi"/>
                <w:b w:val="0"/>
                <w:sz w:val="20"/>
                <w:szCs w:val="20"/>
              </w:rPr>
            </w:pPr>
            <w:r>
              <w:rPr>
                <w:rStyle w:val="1Zchn"/>
                <w:rFonts w:cstheme="majorHAnsi"/>
                <w:b w:val="0"/>
                <w:sz w:val="20"/>
                <w:szCs w:val="20"/>
              </w:rPr>
              <w:t>Vorhersage der Werte standardisiert nach Alter, Geschlecht und Bildung (basierend auf Mikrozensus 2018)</w:t>
            </w:r>
          </w:p>
          <w:p>
            <w:pPr>
              <w:pStyle w:val="Listenabsatz"/>
              <w:numPr>
                <w:ilvl w:val="0"/>
                <w:numId w:val="8"/>
              </w:numPr>
              <w:spacing w:line="276" w:lineRule="auto"/>
              <w:rPr>
                <w:rStyle w:val="1Zchn"/>
                <w:b w:val="0"/>
                <w:sz w:val="20"/>
                <w:szCs w:val="20"/>
              </w:rPr>
            </w:pPr>
            <w:r>
              <w:rPr>
                <w:rStyle w:val="1Zchn"/>
                <w:b w:val="0"/>
                <w:sz w:val="20"/>
                <w:szCs w:val="20"/>
              </w:rPr>
              <w:t>Depressive Symptome seit April 2019 beobachtet; nach Rückgang zu Pandemiebeginn und im ersten Pandemiesommer sind mehrere Anstiege zu beobachten (Herbst 2020 bis Frühjahr 2021, Anfang 2022, Sommer 2022 bis Ende der Zeitreihe); letzte Schätzung zentriert auf August/September 2022: 20 % der erwachsenen Bevölkerung von einer auffälligen Belastung durch depressive Symptome betroffen, was Verdopplung seit 2019 darstellt</w:t>
            </w:r>
          </w:p>
          <w:p>
            <w:pPr>
              <w:pStyle w:val="Listenabsatz"/>
              <w:numPr>
                <w:ilvl w:val="0"/>
                <w:numId w:val="8"/>
              </w:numPr>
              <w:spacing w:line="276" w:lineRule="auto"/>
              <w:rPr>
                <w:rStyle w:val="1Zchn"/>
                <w:b w:val="0"/>
                <w:sz w:val="20"/>
                <w:szCs w:val="20"/>
              </w:rPr>
            </w:pPr>
            <w:r>
              <w:rPr>
                <w:rStyle w:val="1Zchn"/>
                <w:b w:val="0"/>
                <w:sz w:val="20"/>
                <w:szCs w:val="20"/>
              </w:rPr>
              <w:t>Angstsymptome seit März 2021 beobachtet: ebenfalls Zunahme</w:t>
            </w:r>
          </w:p>
          <w:p>
            <w:pPr>
              <w:pStyle w:val="Listenabsatz"/>
              <w:numPr>
                <w:ilvl w:val="0"/>
                <w:numId w:val="8"/>
              </w:numPr>
              <w:spacing w:line="276" w:lineRule="auto"/>
              <w:rPr>
                <w:rStyle w:val="1Zchn"/>
                <w:b w:val="0"/>
                <w:sz w:val="20"/>
                <w:szCs w:val="20"/>
              </w:rPr>
            </w:pPr>
            <w:r>
              <w:rPr>
                <w:rStyle w:val="1Zchn"/>
                <w:b w:val="0"/>
                <w:sz w:val="20"/>
                <w:szCs w:val="20"/>
              </w:rPr>
              <w:t>Selbsteinschätzung psychischer Gesundheit seit März 2021 beobachtet: zeigt negative Entwicklung</w:t>
            </w:r>
          </w:p>
          <w:p>
            <w:pPr>
              <w:pStyle w:val="Listenabsatz"/>
              <w:numPr>
                <w:ilvl w:val="0"/>
                <w:numId w:val="8"/>
              </w:numPr>
              <w:spacing w:line="276" w:lineRule="auto"/>
              <w:rPr>
                <w:rStyle w:val="1Zchn"/>
                <w:b w:val="0"/>
                <w:sz w:val="20"/>
                <w:szCs w:val="20"/>
              </w:rPr>
            </w:pPr>
            <w:r>
              <w:rPr>
                <w:rStyle w:val="1Zchn"/>
                <w:b w:val="0"/>
                <w:sz w:val="20"/>
                <w:szCs w:val="20"/>
              </w:rPr>
              <w:t>Soziale Determinanten: beginnende negative Entwicklung nach bislang eher positiven Entwicklungen nicht auszuschließen</w:t>
            </w:r>
          </w:p>
          <w:p>
            <w:pPr>
              <w:pStyle w:val="Listenabsatz"/>
              <w:numPr>
                <w:ilvl w:val="0"/>
                <w:numId w:val="8"/>
              </w:numPr>
              <w:spacing w:line="276" w:lineRule="auto"/>
              <w:rPr>
                <w:rStyle w:val="1Zchn"/>
                <w:b w:val="0"/>
                <w:sz w:val="20"/>
                <w:szCs w:val="20"/>
              </w:rPr>
            </w:pPr>
            <w:r>
              <w:rPr>
                <w:rStyle w:val="1Zchn"/>
                <w:b w:val="0"/>
                <w:sz w:val="20"/>
                <w:szCs w:val="20"/>
              </w:rPr>
              <w:t xml:space="preserve">Stratifizierung nach Geschlecht, Alter, Bildung: keine Gruppe, die von Verschlechterungen im psychischen Gesundheitszustand ausgenommen ist; </w:t>
            </w:r>
          </w:p>
          <w:p>
            <w:pPr>
              <w:pStyle w:val="Listenabsatz"/>
              <w:numPr>
                <w:ilvl w:val="0"/>
                <w:numId w:val="8"/>
              </w:numPr>
              <w:spacing w:line="276" w:lineRule="auto"/>
              <w:rPr>
                <w:rStyle w:val="1Zchn"/>
                <w:b w:val="0"/>
                <w:sz w:val="20"/>
                <w:szCs w:val="20"/>
              </w:rPr>
            </w:pPr>
            <w:r>
              <w:rPr>
                <w:rStyle w:val="1Zchn"/>
                <w:b w:val="0"/>
                <w:sz w:val="20"/>
                <w:szCs w:val="20"/>
              </w:rPr>
              <w:t>Negative Trends in jüngsten Schätzungen teilweise stärker bei jüngeren (18-29, 30-44 Jahre) und ältesten (65+ Jahre) Erwachsenen sowie Personen mit niedrigem oder mittlerem Bildungsniveau</w:t>
            </w:r>
          </w:p>
        </w:tc>
        <w:tc>
          <w:tcPr>
            <w:tcW w:w="1463" w:type="dxa"/>
          </w:tcPr>
          <w:p>
            <w:pPr>
              <w:rPr>
                <w:sz w:val="22"/>
                <w:szCs w:val="22"/>
              </w:rPr>
            </w:pPr>
            <w:r>
              <w:rPr>
                <w:sz w:val="22"/>
                <w:szCs w:val="22"/>
              </w:rPr>
              <w:t>FG26</w:t>
            </w:r>
          </w:p>
        </w:tc>
      </w:tr>
      <w:tr>
        <w:tc>
          <w:tcPr>
            <w:tcW w:w="684" w:type="dxa"/>
          </w:tcPr>
          <w:p>
            <w:pPr>
              <w:rPr>
                <w:b/>
              </w:rPr>
            </w:pPr>
            <w:r>
              <w:rPr>
                <w:b/>
              </w:rPr>
              <w:t>7</w:t>
            </w:r>
          </w:p>
        </w:tc>
        <w:tc>
          <w:tcPr>
            <w:tcW w:w="6824" w:type="dxa"/>
          </w:tcPr>
          <w:p>
            <w:pPr>
              <w:pStyle w:val="1"/>
            </w:pPr>
            <w:r>
              <w:t>Aktuelle Risikobewertung</w:t>
            </w:r>
          </w:p>
          <w:p>
            <w:pPr>
              <w:pStyle w:val="Liste2"/>
              <w:ind w:left="470" w:hanging="357"/>
              <w:rPr>
                <w:sz w:val="20"/>
                <w:szCs w:val="20"/>
                <w:lang w:val="de-DE"/>
              </w:rPr>
            </w:pPr>
            <w:r>
              <w:rPr>
                <w:sz w:val="20"/>
                <w:szCs w:val="20"/>
                <w:lang w:val="de-DE"/>
              </w:rPr>
              <w:t>Aktualität prüfen; Stand online aktuell vom 26.6.2022</w:t>
            </w:r>
          </w:p>
          <w:p>
            <w:pPr>
              <w:pStyle w:val="Liste2"/>
              <w:ind w:left="470" w:hanging="357"/>
              <w:rPr>
                <w:sz w:val="20"/>
                <w:szCs w:val="20"/>
                <w:lang w:val="de-DE"/>
              </w:rPr>
            </w:pPr>
            <w:r>
              <w:rPr>
                <w:sz w:val="20"/>
                <w:szCs w:val="20"/>
                <w:lang w:val="de-DE"/>
              </w:rPr>
              <w:t>durch eine allgemeinere Risikobewertung durch ARE ersetzten?</w:t>
            </w:r>
          </w:p>
          <w:p>
            <w:pPr>
              <w:pStyle w:val="Liste2"/>
              <w:ind w:left="470" w:hanging="357"/>
              <w:rPr>
                <w:sz w:val="20"/>
                <w:szCs w:val="20"/>
                <w:lang w:val="de-DE"/>
              </w:rPr>
            </w:pPr>
            <w:r>
              <w:rPr>
                <w:sz w:val="20"/>
                <w:szCs w:val="20"/>
                <w:lang w:val="de-DE"/>
              </w:rPr>
              <w:t>AHAL: noch propagieren? Quarantäne streichen; Isolation noch beibehalten;</w:t>
            </w:r>
          </w:p>
          <w:p>
            <w:pPr>
              <w:pStyle w:val="Liste2"/>
              <w:ind w:left="470" w:hanging="357"/>
              <w:rPr>
                <w:lang w:val="de-DE"/>
              </w:rPr>
            </w:pPr>
            <w:r>
              <w:rPr>
                <w:sz w:val="20"/>
                <w:szCs w:val="20"/>
                <w:lang w:val="de-DE"/>
              </w:rPr>
              <w:t>Dokument wird zirkuliert (FG31), Abstimmung und Kommentierung bis Ende der Woche, Anfang nächster Woche Versand an BMG;</w:t>
            </w:r>
            <w:r>
              <w:rPr>
                <w:lang w:val="de-DE"/>
              </w:rPr>
              <w:t xml:space="preserve"> </w:t>
            </w:r>
          </w:p>
        </w:tc>
        <w:tc>
          <w:tcPr>
            <w:tcW w:w="1463" w:type="dxa"/>
          </w:tcPr>
          <w:p>
            <w:pPr>
              <w:rPr>
                <w:sz w:val="22"/>
                <w:szCs w:val="22"/>
              </w:rPr>
            </w:pPr>
          </w:p>
          <w:p>
            <w:pPr>
              <w:rPr>
                <w:sz w:val="22"/>
                <w:szCs w:val="22"/>
              </w:rPr>
            </w:pPr>
            <w:r>
              <w:rPr>
                <w:sz w:val="22"/>
                <w:szCs w:val="22"/>
              </w:rPr>
              <w:t>Alle</w:t>
            </w:r>
            <w:r>
              <w:rPr>
                <w:sz w:val="22"/>
                <w:szCs w:val="22"/>
              </w:rPr>
              <w:br/>
            </w:r>
          </w:p>
          <w:p>
            <w:pPr>
              <w:rPr>
                <w:sz w:val="22"/>
                <w:szCs w:val="22"/>
              </w:rPr>
            </w:pPr>
          </w:p>
        </w:tc>
      </w:tr>
      <w:tr>
        <w:tc>
          <w:tcPr>
            <w:tcW w:w="684" w:type="dxa"/>
          </w:tcPr>
          <w:p>
            <w:pPr>
              <w:rPr>
                <w:b/>
              </w:rPr>
            </w:pPr>
            <w:r>
              <w:rPr>
                <w:b/>
              </w:rPr>
              <w:lastRenderedPageBreak/>
              <w:t>8</w:t>
            </w:r>
          </w:p>
        </w:tc>
        <w:tc>
          <w:tcPr>
            <w:tcW w:w="6824" w:type="dxa"/>
          </w:tcPr>
          <w:p>
            <w:pPr>
              <w:pStyle w:val="1"/>
            </w:pPr>
            <w:r>
              <w:t xml:space="preserve">Expertenbeirat </w:t>
            </w:r>
            <w:r>
              <w:rPr>
                <w:i/>
                <w:color w:val="95B3D7" w:themeColor="accent1" w:themeTint="99"/>
                <w:sz w:val="20"/>
              </w:rPr>
              <w:t>(montags Vorbereitung, mittwochs Nachbereitung)</w:t>
            </w:r>
          </w:p>
          <w:p>
            <w:pPr>
              <w:pStyle w:val="Liste1"/>
              <w:rPr>
                <w:sz w:val="20"/>
                <w:szCs w:val="20"/>
              </w:rPr>
            </w:pPr>
            <w:r>
              <w:rPr>
                <w:sz w:val="20"/>
                <w:szCs w:val="20"/>
              </w:rPr>
              <w:t xml:space="preserve"> Kein Update</w:t>
            </w:r>
          </w:p>
        </w:tc>
        <w:tc>
          <w:tcPr>
            <w:tcW w:w="1463" w:type="dxa"/>
          </w:tcPr>
          <w:p>
            <w:pPr>
              <w:rPr>
                <w:sz w:val="22"/>
                <w:szCs w:val="22"/>
              </w:rPr>
            </w:pPr>
            <w:r>
              <w:rPr>
                <w:sz w:val="22"/>
                <w:szCs w:val="22"/>
              </w:rPr>
              <w:t>Wieler</w:t>
            </w:r>
          </w:p>
          <w:p>
            <w:pPr>
              <w:rPr>
                <w:sz w:val="22"/>
                <w:szCs w:val="22"/>
              </w:rPr>
            </w:pPr>
          </w:p>
          <w:p>
            <w:pPr>
              <w:rPr>
                <w:sz w:val="22"/>
                <w:szCs w:val="22"/>
              </w:rPr>
            </w:pPr>
          </w:p>
          <w:p>
            <w:pPr>
              <w:rPr>
                <w:sz w:val="22"/>
                <w:szCs w:val="22"/>
              </w:rPr>
            </w:pPr>
          </w:p>
          <w:p>
            <w:pPr>
              <w:rPr>
                <w:sz w:val="22"/>
                <w:szCs w:val="22"/>
              </w:rPr>
            </w:pPr>
          </w:p>
          <w:p>
            <w:pPr>
              <w:rPr>
                <w:sz w:val="22"/>
                <w:szCs w:val="22"/>
              </w:rPr>
            </w:pPr>
          </w:p>
        </w:tc>
      </w:tr>
      <w:tr>
        <w:trPr>
          <w:trHeight w:val="518"/>
        </w:trPr>
        <w:tc>
          <w:tcPr>
            <w:tcW w:w="684" w:type="dxa"/>
          </w:tcPr>
          <w:p>
            <w:pPr>
              <w:rPr>
                <w:b/>
              </w:rPr>
            </w:pPr>
            <w:r>
              <w:rPr>
                <w:b/>
              </w:rPr>
              <w:t>9</w:t>
            </w:r>
          </w:p>
        </w:tc>
        <w:tc>
          <w:tcPr>
            <w:tcW w:w="6824" w:type="dxa"/>
          </w:tcPr>
          <w:p>
            <w:pPr>
              <w:pStyle w:val="1"/>
            </w:pPr>
            <w:r>
              <w:t>Kommunikation</w:t>
            </w:r>
          </w:p>
          <w:p>
            <w:pPr>
              <w:pStyle w:val="2"/>
            </w:pPr>
            <w:r>
              <w:t>BZgA</w:t>
            </w:r>
          </w:p>
          <w:p>
            <w:pPr>
              <w:pStyle w:val="Liste1"/>
              <w:rPr>
                <w:sz w:val="20"/>
                <w:szCs w:val="20"/>
              </w:rPr>
            </w:pPr>
            <w:r>
              <w:rPr>
                <w:sz w:val="20"/>
                <w:szCs w:val="20"/>
              </w:rPr>
              <w:t>(nicht berichtet)</w:t>
            </w:r>
          </w:p>
          <w:p>
            <w:pPr>
              <w:pStyle w:val="2"/>
            </w:pPr>
            <w:r>
              <w:t>Presse</w:t>
            </w:r>
          </w:p>
          <w:p>
            <w:pPr>
              <w:pStyle w:val="Liste1"/>
              <w:numPr>
                <w:ilvl w:val="0"/>
                <w:numId w:val="0"/>
              </w:numPr>
              <w:ind w:left="473" w:hanging="360"/>
              <w:rPr>
                <w:sz w:val="20"/>
                <w:szCs w:val="20"/>
              </w:rPr>
            </w:pPr>
            <w:r>
              <w:rPr>
                <w:sz w:val="20"/>
                <w:szCs w:val="20"/>
              </w:rPr>
              <w:t>FAQs: Masken in der Allgemeinbevölkerung:</w:t>
            </w:r>
          </w:p>
          <w:p>
            <w:pPr>
              <w:pStyle w:val="Liste1"/>
              <w:numPr>
                <w:ilvl w:val="0"/>
                <w:numId w:val="0"/>
              </w:numPr>
              <w:ind w:left="473" w:hanging="360"/>
              <w:rPr>
                <w:sz w:val="20"/>
                <w:szCs w:val="20"/>
              </w:rPr>
            </w:pPr>
            <w:r>
              <w:rPr>
                <w:sz w:val="20"/>
                <w:szCs w:val="20"/>
              </w:rPr>
              <w:t xml:space="preserve">FAQ öffnen und andere ARE mit einbeziehen. </w:t>
            </w:r>
          </w:p>
          <w:p>
            <w:pPr>
              <w:pStyle w:val="Liste1"/>
              <w:numPr>
                <w:ilvl w:val="0"/>
                <w:numId w:val="0"/>
              </w:numPr>
              <w:ind w:left="473" w:hanging="360"/>
              <w:rPr>
                <w:sz w:val="20"/>
                <w:szCs w:val="20"/>
              </w:rPr>
            </w:pPr>
            <w:r>
              <w:rPr>
                <w:sz w:val="20"/>
                <w:szCs w:val="20"/>
              </w:rPr>
              <w:t>Ansatz ÖPVN: wer Symptome hat, soll MNS tragen; eigentliche Empfehlung: wer Symptome hat, soll zu Hause bleiben; wird im Text auch erwähnt, aber Realität oft eine andere;</w:t>
            </w:r>
          </w:p>
          <w:p>
            <w:pPr>
              <w:pStyle w:val="Liste1"/>
              <w:numPr>
                <w:ilvl w:val="0"/>
                <w:numId w:val="0"/>
              </w:numPr>
              <w:ind w:left="473" w:hanging="360"/>
              <w:rPr>
                <w:sz w:val="20"/>
                <w:szCs w:val="20"/>
              </w:rPr>
            </w:pPr>
            <w:r>
              <w:rPr>
                <w:sz w:val="20"/>
                <w:szCs w:val="20"/>
              </w:rPr>
              <w:t xml:space="preserve">Ohrenschleifenmaskenverbot im med. Bereich in UK (zum Selbstschutz ungeeignet – </w:t>
            </w:r>
            <w:r>
              <w:rPr>
                <w:sz w:val="20"/>
                <w:szCs w:val="20"/>
                <w:highlight w:val="yellow"/>
              </w:rPr>
              <w:t>LINK</w:t>
            </w:r>
            <w:r>
              <w:rPr>
                <w:sz w:val="20"/>
                <w:szCs w:val="20"/>
              </w:rPr>
              <w:t xml:space="preserve">); </w:t>
            </w:r>
          </w:p>
          <w:p>
            <w:pPr>
              <w:pStyle w:val="2"/>
            </w:pPr>
            <w:r>
              <w:t>P1</w:t>
            </w:r>
          </w:p>
          <w:p>
            <w:pPr>
              <w:pStyle w:val="Liste1"/>
              <w:rPr>
                <w:i/>
                <w:sz w:val="20"/>
                <w:szCs w:val="20"/>
              </w:rPr>
            </w:pPr>
            <w:r>
              <w:rPr>
                <w:sz w:val="20"/>
                <w:szCs w:val="20"/>
              </w:rPr>
              <w:t>(nicht berichtet)</w:t>
            </w:r>
          </w:p>
        </w:tc>
        <w:tc>
          <w:tcPr>
            <w:tcW w:w="1463" w:type="dxa"/>
          </w:tcPr>
          <w:p>
            <w:pPr>
              <w:rPr>
                <w:sz w:val="22"/>
                <w:szCs w:val="22"/>
              </w:rPr>
            </w:pPr>
          </w:p>
          <w:p>
            <w:pPr>
              <w:rPr>
                <w:sz w:val="22"/>
                <w:szCs w:val="22"/>
              </w:rPr>
            </w:pPr>
          </w:p>
          <w:p>
            <w:pPr>
              <w:rPr>
                <w:sz w:val="22"/>
                <w:szCs w:val="22"/>
              </w:rPr>
            </w:pPr>
            <w:r>
              <w:rPr>
                <w:sz w:val="22"/>
                <w:szCs w:val="22"/>
              </w:rPr>
              <w:t xml:space="preserve">BZgA </w:t>
            </w:r>
            <w:proofErr w:type="spellStart"/>
            <w:r>
              <w:rPr>
                <w:sz w:val="22"/>
                <w:szCs w:val="22"/>
              </w:rPr>
              <w:t>n.A</w:t>
            </w:r>
            <w:proofErr w:type="spellEnd"/>
            <w:r>
              <w:rPr>
                <w:sz w:val="22"/>
                <w:szCs w:val="22"/>
              </w:rPr>
              <w:t>.</w:t>
            </w:r>
            <w:r>
              <w:rPr>
                <w:sz w:val="22"/>
                <w:szCs w:val="22"/>
              </w:rPr>
              <w:br/>
            </w:r>
          </w:p>
          <w:p>
            <w:pPr>
              <w:rPr>
                <w:sz w:val="22"/>
                <w:szCs w:val="22"/>
              </w:rPr>
            </w:pPr>
          </w:p>
          <w:p>
            <w:pPr>
              <w:rPr>
                <w:sz w:val="22"/>
                <w:szCs w:val="22"/>
              </w:rPr>
            </w:pPr>
            <w:r>
              <w:rPr>
                <w:sz w:val="22"/>
                <w:szCs w:val="22"/>
              </w:rPr>
              <w:t>Presse/</w:t>
            </w:r>
          </w:p>
          <w:p>
            <w:pPr>
              <w:rPr>
                <w:sz w:val="22"/>
                <w:szCs w:val="22"/>
              </w:rPr>
            </w:pPr>
            <w:r>
              <w:rPr>
                <w:sz w:val="22"/>
                <w:szCs w:val="22"/>
              </w:rPr>
              <w:t>FG14</w:t>
            </w:r>
            <w:r>
              <w:rPr>
                <w:sz w:val="22"/>
                <w:szCs w:val="22"/>
              </w:rPr>
              <w:br/>
            </w:r>
          </w:p>
        </w:tc>
      </w:tr>
      <w:tr>
        <w:tc>
          <w:tcPr>
            <w:tcW w:w="684" w:type="dxa"/>
          </w:tcPr>
          <w:p>
            <w:pPr>
              <w:rPr>
                <w:b/>
              </w:rPr>
            </w:pPr>
            <w:r>
              <w:rPr>
                <w:b/>
              </w:rPr>
              <w:t>10</w:t>
            </w:r>
          </w:p>
        </w:tc>
        <w:tc>
          <w:tcPr>
            <w:tcW w:w="6824" w:type="dxa"/>
          </w:tcPr>
          <w:p>
            <w:pPr>
              <w:pStyle w:val="1"/>
            </w:pPr>
            <w:r>
              <w:t>RKI-Strategie Fragen</w:t>
            </w:r>
          </w:p>
          <w:p>
            <w:pPr>
              <w:pStyle w:val="2"/>
            </w:pPr>
            <w:r>
              <w:t>Allgemein</w:t>
            </w:r>
          </w:p>
          <w:p>
            <w:pPr>
              <w:pStyle w:val="2"/>
              <w:rPr>
                <w:i/>
              </w:rPr>
            </w:pPr>
            <w:r>
              <w:t>RKI-intern</w:t>
            </w:r>
          </w:p>
          <w:p>
            <w:pPr>
              <w:pStyle w:val="Liste1"/>
              <w:rPr>
                <w:sz w:val="20"/>
                <w:szCs w:val="20"/>
              </w:rPr>
            </w:pPr>
            <w:r>
              <w:rPr>
                <w:sz w:val="20"/>
                <w:szCs w:val="20"/>
              </w:rPr>
              <w:t>(nicht berichtet)</w:t>
            </w:r>
          </w:p>
        </w:tc>
        <w:tc>
          <w:tcPr>
            <w:tcW w:w="1463" w:type="dxa"/>
          </w:tcPr>
          <w:p>
            <w:pPr>
              <w:rPr>
                <w:sz w:val="22"/>
                <w:szCs w:val="22"/>
              </w:rPr>
            </w:pPr>
          </w:p>
          <w:p>
            <w:pPr>
              <w:rPr>
                <w:sz w:val="22"/>
                <w:szCs w:val="22"/>
                <w:lang w:val="en-GB"/>
              </w:rPr>
            </w:pPr>
            <w:r>
              <w:rPr>
                <w:sz w:val="22"/>
                <w:szCs w:val="22"/>
              </w:rPr>
              <w:t>Alle</w:t>
            </w:r>
            <w:r>
              <w:rPr>
                <w:sz w:val="22"/>
                <w:szCs w:val="22"/>
                <w:lang w:val="en-GB"/>
              </w:rPr>
              <w:br/>
            </w:r>
          </w:p>
        </w:tc>
      </w:tr>
      <w:tr>
        <w:tc>
          <w:tcPr>
            <w:tcW w:w="684" w:type="dxa"/>
          </w:tcPr>
          <w:p>
            <w:pPr>
              <w:rPr>
                <w:b/>
              </w:rPr>
            </w:pPr>
            <w:r>
              <w:rPr>
                <w:b/>
              </w:rPr>
              <w:t>11</w:t>
            </w:r>
          </w:p>
        </w:tc>
        <w:tc>
          <w:tcPr>
            <w:tcW w:w="6824" w:type="dxa"/>
          </w:tcPr>
          <w:p>
            <w:pPr>
              <w:spacing w:line="276" w:lineRule="auto"/>
              <w:rPr>
                <w:b/>
                <w:sz w:val="28"/>
              </w:rPr>
            </w:pPr>
            <w:r>
              <w:rPr>
                <w:b/>
                <w:sz w:val="28"/>
              </w:rPr>
              <w:t>Dokumente</w:t>
            </w:r>
          </w:p>
          <w:p>
            <w:pPr>
              <w:pStyle w:val="Liste1"/>
              <w:rPr>
                <w:sz w:val="20"/>
                <w:szCs w:val="20"/>
              </w:rPr>
            </w:pPr>
            <w:r>
              <w:rPr>
                <w:sz w:val="20"/>
                <w:szCs w:val="20"/>
              </w:rPr>
              <w:t>Anpassung Dokument Endisolierung Pflege- und Krankenhäuser</w:t>
            </w:r>
          </w:p>
          <w:p>
            <w:pPr>
              <w:pStyle w:val="Liste1"/>
            </w:pPr>
            <w:r>
              <w:rPr>
                <w:sz w:val="20"/>
                <w:szCs w:val="20"/>
              </w:rPr>
              <w:t>ZBS 7: in Bearbeitung unter Schutz- und Teilhabe-Aspekt</w:t>
            </w:r>
            <w:r>
              <w:t xml:space="preserve"> </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12</w:t>
            </w:r>
          </w:p>
        </w:tc>
        <w:tc>
          <w:tcPr>
            <w:tcW w:w="6824" w:type="dxa"/>
          </w:tcPr>
          <w:p>
            <w:pPr>
              <w:pStyle w:val="1"/>
            </w:pPr>
            <w:r>
              <w:t>Labordiagnostik</w:t>
            </w:r>
          </w:p>
          <w:p>
            <w:pPr>
              <w:pStyle w:val="2"/>
            </w:pPr>
            <w:r>
              <w:t>FG17</w:t>
            </w:r>
          </w:p>
          <w:p>
            <w:pPr>
              <w:pStyle w:val="Liste2"/>
              <w:numPr>
                <w:ilvl w:val="0"/>
                <w:numId w:val="0"/>
              </w:numPr>
              <w:rPr>
                <w:sz w:val="20"/>
                <w:szCs w:val="20"/>
                <w:lang w:val="de-DE"/>
              </w:rPr>
            </w:pPr>
            <w:r>
              <w:rPr>
                <w:sz w:val="20"/>
                <w:szCs w:val="20"/>
                <w:lang w:val="de-DE"/>
              </w:rPr>
              <w:t xml:space="preserve">Keine weiteren Informationen </w:t>
            </w:r>
          </w:p>
          <w:p>
            <w:pPr>
              <w:pStyle w:val="2"/>
            </w:pPr>
            <w:r>
              <w:t>ZBS1</w:t>
            </w:r>
          </w:p>
          <w:p>
            <w:pPr>
              <w:pStyle w:val="2"/>
              <w:rPr>
                <w:b w:val="0"/>
                <w:sz w:val="20"/>
                <w:szCs w:val="20"/>
              </w:rPr>
            </w:pPr>
            <w:r>
              <w:rPr>
                <w:b w:val="0"/>
                <w:sz w:val="20"/>
                <w:szCs w:val="20"/>
              </w:rPr>
              <w:t xml:space="preserve">Nicht berichtet </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r>
              <w:rPr>
                <w:sz w:val="22"/>
                <w:szCs w:val="22"/>
              </w:rPr>
              <w:t>ZBS1</w:t>
            </w:r>
          </w:p>
        </w:tc>
      </w:tr>
      <w:tr>
        <w:tc>
          <w:tcPr>
            <w:tcW w:w="684" w:type="dxa"/>
          </w:tcPr>
          <w:p>
            <w:pPr>
              <w:rPr>
                <w:b/>
              </w:rPr>
            </w:pPr>
            <w:r>
              <w:rPr>
                <w:b/>
              </w:rPr>
              <w:t>13</w:t>
            </w:r>
          </w:p>
        </w:tc>
        <w:tc>
          <w:tcPr>
            <w:tcW w:w="6824" w:type="dxa"/>
          </w:tcPr>
          <w:p>
            <w:pPr>
              <w:pStyle w:val="1"/>
            </w:pPr>
            <w:r>
              <w:t>Klinisches Management/Entlassungsmanagement</w:t>
            </w:r>
          </w:p>
          <w:p>
            <w:pPr>
              <w:pStyle w:val="Liste1"/>
              <w:rPr>
                <w:sz w:val="20"/>
                <w:szCs w:val="20"/>
              </w:rPr>
            </w:pPr>
            <w:r>
              <w:rPr>
                <w:sz w:val="20"/>
                <w:szCs w:val="20"/>
              </w:rPr>
              <w:t>(nicht berichtet)</w:t>
            </w:r>
          </w:p>
        </w:tc>
        <w:tc>
          <w:tcPr>
            <w:tcW w:w="1463" w:type="dxa"/>
          </w:tcPr>
          <w:p>
            <w:pPr>
              <w:rPr>
                <w:sz w:val="22"/>
                <w:szCs w:val="22"/>
              </w:rPr>
            </w:pPr>
          </w:p>
          <w:p>
            <w:pPr>
              <w:rPr>
                <w:sz w:val="22"/>
                <w:szCs w:val="22"/>
              </w:rPr>
            </w:pPr>
            <w:r>
              <w:rPr>
                <w:sz w:val="22"/>
                <w:szCs w:val="22"/>
              </w:rPr>
              <w:t>ZBS7</w:t>
            </w:r>
          </w:p>
        </w:tc>
      </w:tr>
      <w:tr>
        <w:tc>
          <w:tcPr>
            <w:tcW w:w="684" w:type="dxa"/>
          </w:tcPr>
          <w:p>
            <w:pPr>
              <w:rPr>
                <w:b/>
              </w:rPr>
            </w:pPr>
            <w:r>
              <w:rPr>
                <w:b/>
              </w:rPr>
              <w:t>14</w:t>
            </w:r>
          </w:p>
        </w:tc>
        <w:tc>
          <w:tcPr>
            <w:tcW w:w="6824" w:type="dxa"/>
          </w:tcPr>
          <w:p>
            <w:pPr>
              <w:pStyle w:val="1"/>
            </w:pPr>
            <w:r>
              <w:t>Maßnahmen zum Infektionsschutz</w:t>
            </w:r>
          </w:p>
          <w:p>
            <w:pPr>
              <w:pStyle w:val="Liste1"/>
              <w:rPr>
                <w:i/>
                <w:sz w:val="20"/>
                <w:szCs w:val="20"/>
              </w:rPr>
            </w:pPr>
            <w:r>
              <w:rPr>
                <w:sz w:val="20"/>
                <w:szCs w:val="20"/>
              </w:rP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15</w:t>
            </w:r>
          </w:p>
        </w:tc>
        <w:tc>
          <w:tcPr>
            <w:tcW w:w="6824" w:type="dxa"/>
          </w:tcPr>
          <w:p>
            <w:pPr>
              <w:pStyle w:val="1"/>
              <w:rPr>
                <w:sz w:val="22"/>
              </w:rPr>
            </w:pPr>
            <w:r>
              <w:t>Surveillance</w:t>
            </w:r>
          </w:p>
          <w:p>
            <w:pPr>
              <w:pStyle w:val="Liste1"/>
              <w:rPr>
                <w:sz w:val="20"/>
                <w:szCs w:val="20"/>
              </w:rPr>
            </w:pPr>
            <w:r>
              <w:rPr>
                <w:sz w:val="20"/>
                <w:szCs w:val="20"/>
              </w:rP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16</w:t>
            </w:r>
          </w:p>
        </w:tc>
        <w:tc>
          <w:tcPr>
            <w:tcW w:w="6824" w:type="dxa"/>
          </w:tcPr>
          <w:p>
            <w:pPr>
              <w:spacing w:after="120" w:line="276" w:lineRule="auto"/>
              <w:rPr>
                <w:b/>
                <w:sz w:val="28"/>
              </w:rPr>
            </w:pPr>
            <w:r>
              <w:rPr>
                <w:rStyle w:val="1Zchn"/>
              </w:rPr>
              <w:t>Transport und Grenzübergangsstellen</w:t>
            </w:r>
            <w:r>
              <w:rPr>
                <w:b/>
                <w:sz w:val="28"/>
              </w:rPr>
              <w:t xml:space="preserve"> </w:t>
            </w:r>
          </w:p>
          <w:p>
            <w:pPr>
              <w:pStyle w:val="Liste1"/>
              <w:rPr>
                <w:sz w:val="20"/>
                <w:szCs w:val="20"/>
              </w:rPr>
            </w:pPr>
            <w:r>
              <w:rPr>
                <w:sz w:val="20"/>
                <w:szCs w:val="20"/>
              </w:rPr>
              <w:t>nicht berichtet</w:t>
            </w:r>
          </w:p>
        </w:tc>
        <w:tc>
          <w:tcPr>
            <w:tcW w:w="1463" w:type="dxa"/>
          </w:tcPr>
          <w:p>
            <w:pPr>
              <w:rPr>
                <w:sz w:val="22"/>
                <w:szCs w:val="22"/>
              </w:rPr>
            </w:pPr>
          </w:p>
          <w:p>
            <w:pPr>
              <w:rPr>
                <w:sz w:val="22"/>
                <w:szCs w:val="22"/>
              </w:rPr>
            </w:pPr>
            <w:r>
              <w:rPr>
                <w:sz w:val="22"/>
                <w:szCs w:val="22"/>
              </w:rPr>
              <w:t>FG31</w:t>
            </w:r>
            <w:r>
              <w:rPr>
                <w:sz w:val="22"/>
                <w:szCs w:val="22"/>
              </w:rPr>
              <w:br/>
            </w:r>
          </w:p>
        </w:tc>
      </w:tr>
      <w:tr>
        <w:tc>
          <w:tcPr>
            <w:tcW w:w="684" w:type="dxa"/>
          </w:tcPr>
          <w:p>
            <w:pPr>
              <w:rPr>
                <w:b/>
              </w:rPr>
            </w:pPr>
            <w:r>
              <w:rPr>
                <w:b/>
              </w:rPr>
              <w:lastRenderedPageBreak/>
              <w:t>17</w:t>
            </w:r>
          </w:p>
        </w:tc>
        <w:tc>
          <w:tcPr>
            <w:tcW w:w="6824" w:type="dxa"/>
          </w:tcPr>
          <w:p>
            <w:pPr>
              <w:spacing w:line="276" w:lineRule="auto"/>
              <w:rPr>
                <w:rStyle w:val="TagFrZchn"/>
              </w:rPr>
            </w:pPr>
            <w:r>
              <w:rPr>
                <w:rStyle w:val="1Zchn"/>
              </w:rPr>
              <w:t>Information aus der Koordinierungsstelle</w:t>
            </w:r>
            <w:r>
              <w:rPr>
                <w:b/>
                <w:sz w:val="28"/>
              </w:rPr>
              <w:t xml:space="preserve"> </w:t>
            </w:r>
          </w:p>
          <w:p>
            <w:pPr>
              <w:pStyle w:val="Liste1"/>
              <w:rPr>
                <w:sz w:val="20"/>
                <w:szCs w:val="20"/>
              </w:rPr>
            </w:pPr>
            <w:r>
              <w:rPr>
                <w:sz w:val="20"/>
                <w:szCs w:val="20"/>
              </w:rPr>
              <w:t>nicht berichtet</w:t>
            </w:r>
          </w:p>
        </w:tc>
        <w:tc>
          <w:tcPr>
            <w:tcW w:w="1463" w:type="dxa"/>
          </w:tcPr>
          <w:p>
            <w:pPr>
              <w:rPr>
                <w:sz w:val="22"/>
                <w:szCs w:val="22"/>
              </w:rPr>
            </w:pPr>
          </w:p>
          <w:p>
            <w:pPr>
              <w:rPr>
                <w:sz w:val="22"/>
                <w:szCs w:val="22"/>
              </w:rPr>
            </w:pPr>
            <w:r>
              <w:rPr>
                <w:sz w:val="22"/>
                <w:szCs w:val="22"/>
              </w:rPr>
              <w:t>FG31</w:t>
            </w:r>
          </w:p>
        </w:tc>
      </w:tr>
      <w:tr>
        <w:tc>
          <w:tcPr>
            <w:tcW w:w="684" w:type="dxa"/>
          </w:tcPr>
          <w:p>
            <w:pPr>
              <w:rPr>
                <w:b/>
              </w:rPr>
            </w:pPr>
            <w:r>
              <w:rPr>
                <w:b/>
              </w:rPr>
              <w:t>18</w:t>
            </w:r>
          </w:p>
        </w:tc>
        <w:tc>
          <w:tcPr>
            <w:tcW w:w="6824" w:type="dxa"/>
          </w:tcPr>
          <w:p>
            <w:pPr>
              <w:pStyle w:val="1"/>
            </w:pPr>
            <w:r>
              <w:t>Wichtige Termine</w:t>
            </w:r>
          </w:p>
          <w:p>
            <w:pPr>
              <w:pStyle w:val="Liste1"/>
              <w:rPr>
                <w:sz w:val="20"/>
                <w:szCs w:val="20"/>
              </w:rPr>
            </w:pPr>
            <w:r>
              <w:rPr>
                <w:sz w:val="20"/>
                <w:szCs w:val="20"/>
              </w:rPr>
              <w:t>keine</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19</w:t>
            </w:r>
          </w:p>
        </w:tc>
        <w:tc>
          <w:tcPr>
            <w:tcW w:w="6824" w:type="dxa"/>
          </w:tcPr>
          <w:p>
            <w:pPr>
              <w:pStyle w:val="1"/>
            </w:pPr>
            <w:r>
              <w:t>Andere Themen</w:t>
            </w:r>
          </w:p>
          <w:p>
            <w:pPr>
              <w:pStyle w:val="Liste1"/>
              <w:rPr>
                <w:sz w:val="20"/>
                <w:szCs w:val="20"/>
              </w:rPr>
            </w:pPr>
            <w:r>
              <w:rPr>
                <w:sz w:val="20"/>
                <w:szCs w:val="20"/>
              </w:rPr>
              <w:t xml:space="preserve">Nächste Sitzung: Mittwoch, 01.02.2023, 11:00 Uhr, via </w:t>
            </w:r>
            <w:proofErr w:type="spellStart"/>
            <w:r>
              <w:rPr>
                <w:sz w:val="20"/>
                <w:szCs w:val="20"/>
              </w:rPr>
              <w:t>Webex</w:t>
            </w:r>
            <w:proofErr w:type="spellEnd"/>
          </w:p>
          <w:p>
            <w:pPr>
              <w:pStyle w:val="Liste1"/>
            </w:pPr>
            <w:r>
              <w:rPr>
                <w:sz w:val="20"/>
                <w:szCs w:val="20"/>
              </w:rPr>
              <w:t>Als Thema der nächsten Sitzung: Deeskalation der Berichterstattung</w:t>
            </w:r>
            <w:r>
              <w:t xml:space="preserve"> </w:t>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13:05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4370688" o:spid="_x0000_s2050" type="#_x0000_t136" style="position:absolute;margin-left:0;margin-top:0;width:468.1pt;height:117pt;rotation:315;z-index:-251653120;mso-position-horizontal:center;mso-position-horizontal-relative:margin;mso-position-vertical:center;mso-position-vertical-relative:margin" o:allowincell="f" fillcolor="silver" stroked="f">
          <v:fill opacity=".5"/>
          <v:textpath style="font-family:&quot;Cambria&quot;;font-size:1pt" string="ENTWUR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4370689" o:spid="_x0000_s2051" type="#_x0000_t136" style="position:absolute;margin-left:0;margin-top:0;width:468.1pt;height:117pt;rotation:315;z-index:-251651072;mso-position-horizontal:center;mso-position-horizontal-relative:margin;mso-position-vertical:center;mso-position-vertical-relative:margin" o:allowincell="f" fillcolor="silver" stroked="f">
          <v:fill opacity=".5"/>
          <v:textpath style="font-family:&quot;Cambria&quot;;font-size:1pt" string="ENTWURF"/>
          <w10:wrap anchorx="margin" anchory="margin"/>
        </v:shape>
      </w:pict>
    </w: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Protokoll der COVID-19-Lage-AG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4370687" o:spid="_x0000_s2049" type="#_x0000_t136" style="position:absolute;margin-left:0;margin-top:0;width:468.1pt;height:117pt;rotation:315;z-index:-251655168;mso-position-horizontal:center;mso-position-horizontal-relative:margin;mso-position-vertical:center;mso-position-vertical-relative:margin" o:allowincell="f" fillcolor="silver" stroked="f">
          <v:fill opacity=".5"/>
          <v:textpath style="font-family:&quot;Cambria&quot;;font-size:1pt" string="ENTWUR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18C1"/>
    <w:multiLevelType w:val="hybridMultilevel"/>
    <w:tmpl w:val="A6FC97A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7D5745"/>
    <w:multiLevelType w:val="hybridMultilevel"/>
    <w:tmpl w:val="6004173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0DC6D3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3C6C4A28">
      <w:start w:val="19"/>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45D18"/>
    <w:multiLevelType w:val="hybridMultilevel"/>
    <w:tmpl w:val="3C527318"/>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4" w15:restartNumberingAfterBreak="0">
    <w:nsid w:val="110812AE"/>
    <w:multiLevelType w:val="hybridMultilevel"/>
    <w:tmpl w:val="C262BD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1D65BD"/>
    <w:multiLevelType w:val="hybridMultilevel"/>
    <w:tmpl w:val="9694259A"/>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6" w15:restartNumberingAfterBreak="0">
    <w:nsid w:val="1AD05E4B"/>
    <w:multiLevelType w:val="hybridMultilevel"/>
    <w:tmpl w:val="3A68166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AC5A26"/>
    <w:multiLevelType w:val="hybridMultilevel"/>
    <w:tmpl w:val="9858F65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8" w15:restartNumberingAfterBreak="0">
    <w:nsid w:val="26A7109D"/>
    <w:multiLevelType w:val="hybridMultilevel"/>
    <w:tmpl w:val="1110EEFE"/>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9" w15:restartNumberingAfterBreak="0">
    <w:nsid w:val="28B279AB"/>
    <w:multiLevelType w:val="hybridMultilevel"/>
    <w:tmpl w:val="DBA8457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C528BD"/>
    <w:multiLevelType w:val="hybridMultilevel"/>
    <w:tmpl w:val="2FA405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9D63979"/>
    <w:multiLevelType w:val="hybridMultilevel"/>
    <w:tmpl w:val="4C18A8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34392C93"/>
    <w:multiLevelType w:val="hybridMultilevel"/>
    <w:tmpl w:val="9C2E040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3638466D"/>
    <w:multiLevelType w:val="hybridMultilevel"/>
    <w:tmpl w:val="858270FC"/>
    <w:lvl w:ilvl="0" w:tplc="04070003">
      <w:start w:val="1"/>
      <w:numFmt w:val="bullet"/>
      <w:lvlText w:val="o"/>
      <w:lvlJc w:val="left"/>
      <w:pPr>
        <w:ind w:left="1191" w:hanging="360"/>
      </w:pPr>
      <w:rPr>
        <w:rFonts w:ascii="Courier New" w:hAnsi="Courier New" w:cs="Courier New" w:hint="default"/>
      </w:rPr>
    </w:lvl>
    <w:lvl w:ilvl="1" w:tplc="04070003" w:tentative="1">
      <w:start w:val="1"/>
      <w:numFmt w:val="bullet"/>
      <w:lvlText w:val="o"/>
      <w:lvlJc w:val="left"/>
      <w:pPr>
        <w:ind w:left="1911" w:hanging="360"/>
      </w:pPr>
      <w:rPr>
        <w:rFonts w:ascii="Courier New" w:hAnsi="Courier New" w:cs="Courier New" w:hint="default"/>
      </w:rPr>
    </w:lvl>
    <w:lvl w:ilvl="2" w:tplc="04070005" w:tentative="1">
      <w:start w:val="1"/>
      <w:numFmt w:val="bullet"/>
      <w:lvlText w:val=""/>
      <w:lvlJc w:val="left"/>
      <w:pPr>
        <w:ind w:left="2631" w:hanging="360"/>
      </w:pPr>
      <w:rPr>
        <w:rFonts w:ascii="Wingdings" w:hAnsi="Wingdings" w:hint="default"/>
      </w:rPr>
    </w:lvl>
    <w:lvl w:ilvl="3" w:tplc="04070001" w:tentative="1">
      <w:start w:val="1"/>
      <w:numFmt w:val="bullet"/>
      <w:lvlText w:val=""/>
      <w:lvlJc w:val="left"/>
      <w:pPr>
        <w:ind w:left="3351" w:hanging="360"/>
      </w:pPr>
      <w:rPr>
        <w:rFonts w:ascii="Symbol" w:hAnsi="Symbol" w:hint="default"/>
      </w:rPr>
    </w:lvl>
    <w:lvl w:ilvl="4" w:tplc="04070003" w:tentative="1">
      <w:start w:val="1"/>
      <w:numFmt w:val="bullet"/>
      <w:lvlText w:val="o"/>
      <w:lvlJc w:val="left"/>
      <w:pPr>
        <w:ind w:left="4071" w:hanging="360"/>
      </w:pPr>
      <w:rPr>
        <w:rFonts w:ascii="Courier New" w:hAnsi="Courier New" w:cs="Courier New" w:hint="default"/>
      </w:rPr>
    </w:lvl>
    <w:lvl w:ilvl="5" w:tplc="04070005" w:tentative="1">
      <w:start w:val="1"/>
      <w:numFmt w:val="bullet"/>
      <w:lvlText w:val=""/>
      <w:lvlJc w:val="left"/>
      <w:pPr>
        <w:ind w:left="4791" w:hanging="360"/>
      </w:pPr>
      <w:rPr>
        <w:rFonts w:ascii="Wingdings" w:hAnsi="Wingdings" w:hint="default"/>
      </w:rPr>
    </w:lvl>
    <w:lvl w:ilvl="6" w:tplc="04070001" w:tentative="1">
      <w:start w:val="1"/>
      <w:numFmt w:val="bullet"/>
      <w:lvlText w:val=""/>
      <w:lvlJc w:val="left"/>
      <w:pPr>
        <w:ind w:left="5511" w:hanging="360"/>
      </w:pPr>
      <w:rPr>
        <w:rFonts w:ascii="Symbol" w:hAnsi="Symbol" w:hint="default"/>
      </w:rPr>
    </w:lvl>
    <w:lvl w:ilvl="7" w:tplc="04070003" w:tentative="1">
      <w:start w:val="1"/>
      <w:numFmt w:val="bullet"/>
      <w:lvlText w:val="o"/>
      <w:lvlJc w:val="left"/>
      <w:pPr>
        <w:ind w:left="6231" w:hanging="360"/>
      </w:pPr>
      <w:rPr>
        <w:rFonts w:ascii="Courier New" w:hAnsi="Courier New" w:cs="Courier New" w:hint="default"/>
      </w:rPr>
    </w:lvl>
    <w:lvl w:ilvl="8" w:tplc="04070005" w:tentative="1">
      <w:start w:val="1"/>
      <w:numFmt w:val="bullet"/>
      <w:lvlText w:val=""/>
      <w:lvlJc w:val="left"/>
      <w:pPr>
        <w:ind w:left="6951" w:hanging="360"/>
      </w:pPr>
      <w:rPr>
        <w:rFonts w:ascii="Wingdings" w:hAnsi="Wingdings" w:hint="default"/>
      </w:rPr>
    </w:lvl>
  </w:abstractNum>
  <w:abstractNum w:abstractNumId="15" w15:restartNumberingAfterBreak="0">
    <w:nsid w:val="38832C6D"/>
    <w:multiLevelType w:val="hybridMultilevel"/>
    <w:tmpl w:val="FDCE640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7A4CD3"/>
    <w:multiLevelType w:val="hybridMultilevel"/>
    <w:tmpl w:val="E79877E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1C7545"/>
    <w:multiLevelType w:val="hybridMultilevel"/>
    <w:tmpl w:val="47142B7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AB08AF"/>
    <w:multiLevelType w:val="hybridMultilevel"/>
    <w:tmpl w:val="A0926B72"/>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FED56CE"/>
    <w:multiLevelType w:val="hybridMultilevel"/>
    <w:tmpl w:val="1738176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1541CDD"/>
    <w:multiLevelType w:val="hybridMultilevel"/>
    <w:tmpl w:val="F3A6F29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36F5DF9"/>
    <w:multiLevelType w:val="hybridMultilevel"/>
    <w:tmpl w:val="492A5EF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21613D2"/>
    <w:multiLevelType w:val="hybridMultilevel"/>
    <w:tmpl w:val="538A2F2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5020CD0"/>
    <w:multiLevelType w:val="hybridMultilevel"/>
    <w:tmpl w:val="95BCEC7C"/>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15:restartNumberingAfterBreak="0">
    <w:nsid w:val="76A27046"/>
    <w:multiLevelType w:val="hybridMultilevel"/>
    <w:tmpl w:val="EEE6A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2"/>
  </w:num>
  <w:num w:numId="4">
    <w:abstractNumId w:val="20"/>
  </w:num>
  <w:num w:numId="5">
    <w:abstractNumId w:val="12"/>
  </w:num>
  <w:num w:numId="6">
    <w:abstractNumId w:val="7"/>
  </w:num>
  <w:num w:numId="7">
    <w:abstractNumId w:val="19"/>
  </w:num>
  <w:num w:numId="8">
    <w:abstractNumId w:val="26"/>
  </w:num>
  <w:num w:numId="9">
    <w:abstractNumId w:val="13"/>
  </w:num>
  <w:num w:numId="10">
    <w:abstractNumId w:val="11"/>
  </w:num>
  <w:num w:numId="11">
    <w:abstractNumId w:val="23"/>
  </w:num>
  <w:num w:numId="12">
    <w:abstractNumId w:val="25"/>
  </w:num>
  <w:num w:numId="13">
    <w:abstractNumId w:val="14"/>
  </w:num>
  <w:num w:numId="14">
    <w:abstractNumId w:val="10"/>
  </w:num>
  <w:num w:numId="15">
    <w:abstractNumId w:val="6"/>
  </w:num>
  <w:num w:numId="16">
    <w:abstractNumId w:val="8"/>
  </w:num>
  <w:num w:numId="17">
    <w:abstractNumId w:val="3"/>
  </w:num>
  <w:num w:numId="18">
    <w:abstractNumId w:val="21"/>
  </w:num>
  <w:num w:numId="19">
    <w:abstractNumId w:val="22"/>
  </w:num>
  <w:num w:numId="20">
    <w:abstractNumId w:val="18"/>
  </w:num>
  <w:num w:numId="21">
    <w:abstractNumId w:val="1"/>
  </w:num>
  <w:num w:numId="22">
    <w:abstractNumId w:val="5"/>
  </w:num>
  <w:num w:numId="23">
    <w:abstractNumId w:val="0"/>
  </w:num>
  <w:num w:numId="24">
    <w:abstractNumId w:val="24"/>
  </w:num>
  <w:num w:numId="25">
    <w:abstractNumId w:val="17"/>
  </w:num>
  <w:num w:numId="26">
    <w:abstractNumId w:val="9"/>
  </w:num>
  <w:num w:numId="27">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09277799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WaltherL\AppData\Local\Microsoft\Windows\INetCache\Content.Outlook\H194EK3Y\2023-01_18_LageAG-VOC.pptx" TargetMode="External"/><Relationship Id="rId3" Type="http://schemas.openxmlformats.org/officeDocument/2006/relationships/styles" Target="styles.xml"/><Relationship Id="rId21" Type="http://schemas.openxmlformats.org/officeDocument/2006/relationships/hyperlink" Target="file:///C:\Users\WaltherL\AppData\Local\Microsoft\Windows\INetCache\Content.Outlook\H194EK3Y\Krisenstab_GAS_Spneumoniae_Influenza_2023-01-18.ppt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C:\Users\WaltherL\AppData\Local\Microsoft\Windows\INetCache\Content.Outlook\H194EK3Y\230118_SARS-CoV-2%20in%20ARS_Krisenstabssitzung2.ppt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WaltherL\AppData\Local\Microsoft\Windows\INetCache\Content.Outlook\H194EK3Y\230118_SARS-CoV-2%20in%20ARS_Krisenstabssitzung2.pptx" TargetMode="External"/><Relationship Id="rId20" Type="http://schemas.openxmlformats.org/officeDocument/2006/relationships/hyperlink" Target="file:///C:\Users\WaltherL\AppData\Local\Microsoft\Windows\INetCache\Content.Outlook\H194EK3Y\2022-01-18_Intensivregister_SPoCK.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C:\Users\WaltherL\AppData\Local\Microsoft\Windows\INetCache\Content.Outlook\H194EK3Y\LageNational_2023-01-18.pptx"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file:///C:\Users\WaltherL\AppData\Local\Microsoft\Windows\INetCache\Content.Outlook\H194EK3Y\syndrom-ARE-SARI-COVID_bis_KW02_2023_f&#252;r-Krisenstab.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WaltherL\AppData\Local\Microsoft\Windows\INetCache\Content.Outlook\H194EK3Y\COVID-19_internat.%20Lage_2023-01-18.pptx" TargetMode="External"/><Relationship Id="rId22" Type="http://schemas.openxmlformats.org/officeDocument/2006/relationships/hyperlink" Target="file:///C:\Users\WaltherL\AppData\Local\Microsoft\Windows\INetCache\Content.Outlook\H194EK3Y\20230118_ABT2_Psychische_Gesundheit_Lage_AG.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8B86C-5B4E-4E41-9A83-DC4F1A2A8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2249</Words>
  <Characters>14169</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Jung-Sendzik, Tanja</cp:lastModifiedBy>
  <cp:revision>9</cp:revision>
  <cp:lastPrinted>2020-05-06T16:43:00Z</cp:lastPrinted>
  <dcterms:created xsi:type="dcterms:W3CDTF">2023-01-19T08:25:00Z</dcterms:created>
  <dcterms:modified xsi:type="dcterms:W3CDTF">2023-01-20T17:59:00Z</dcterms:modified>
</cp:coreProperties>
</file>