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Lage-AG-Sitzung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01.02.2023,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 xml:space="preserve">Moderation: </w:t>
      </w:r>
      <w:proofErr w:type="spellStart"/>
      <w:r>
        <w:rPr>
          <w:b/>
          <w:sz w:val="22"/>
        </w:rPr>
        <w:t>Osamah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Hamouda</w:t>
      </w:r>
      <w:proofErr w:type="spellEnd"/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Esther-Maria </w:t>
      </w:r>
      <w:proofErr w:type="spellStart"/>
      <w:r>
        <w:rPr>
          <w:sz w:val="22"/>
          <w:szCs w:val="22"/>
        </w:rPr>
        <w:t>Antão</w:t>
      </w:r>
      <w:proofErr w:type="spellEnd"/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Sangeeta Banerji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Ralf </w:t>
      </w:r>
      <w:proofErr w:type="spellStart"/>
      <w:r>
        <w:rPr>
          <w:sz w:val="22"/>
          <w:szCs w:val="22"/>
        </w:rPr>
        <w:t>Dürrwald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proofErr w:type="spellStart"/>
      <w:r>
        <w:rPr>
          <w:rStyle w:val="highlight"/>
          <w:sz w:val="22"/>
          <w:szCs w:val="22"/>
        </w:rPr>
        <w:t>Scheida</w:t>
      </w:r>
      <w:proofErr w:type="spellEnd"/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 24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Petra v. Berenberg-Gossler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Claudia </w:t>
      </w:r>
      <w:proofErr w:type="spellStart"/>
      <w:r>
        <w:rPr>
          <w:sz w:val="22"/>
          <w:szCs w:val="22"/>
        </w:rPr>
        <w:t>Siffczyk</w:t>
      </w:r>
      <w:proofErr w:type="spellEnd"/>
    </w:p>
    <w:p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Alexandra Hofmann</w:t>
      </w:r>
    </w:p>
    <w:p>
      <w:pPr>
        <w:pStyle w:val="Listenabsatz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Amrei Wolter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Jonathan Fischer-Fels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Tim Eckmanns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Michaela </w:t>
      </w:r>
      <w:proofErr w:type="spellStart"/>
      <w:r>
        <w:rPr>
          <w:sz w:val="22"/>
          <w:szCs w:val="22"/>
        </w:rPr>
        <w:t>Niebank</w:t>
      </w:r>
      <w:proofErr w:type="spellEnd"/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Martina Fischer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Ronja Wenchel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rStyle w:val="highlight"/>
          <w:sz w:val="22"/>
          <w:szCs w:val="22"/>
        </w:rPr>
        <w:t>Carlos Correa-Martinez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Andrea </w:t>
      </w:r>
      <w:proofErr w:type="spellStart"/>
      <w:r>
        <w:rPr>
          <w:color w:val="000000" w:themeColor="text1"/>
          <w:sz w:val="22"/>
          <w:szCs w:val="22"/>
        </w:rPr>
        <w:t>Rückle</w:t>
      </w:r>
      <w:proofErr w:type="spellEnd"/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MiZchn"/>
                <w:bCs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rStyle w:val="TagMiZchn"/>
                <w:bCs/>
              </w:rPr>
              <w:t xml:space="preserve"> </w:t>
            </w:r>
          </w:p>
          <w:p>
            <w:pPr>
              <w:spacing w:line="276" w:lineRule="auto"/>
            </w:pPr>
            <w:r>
              <w:t>(nicht berichtet)</w:t>
            </w:r>
          </w:p>
          <w:p>
            <w:pPr>
              <w:pStyle w:val="Liste2"/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4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</w:pPr>
            <w:proofErr w:type="spellStart"/>
            <w:r>
              <w:t>Datenstand</w:t>
            </w:r>
            <w:proofErr w:type="spellEnd"/>
            <w:r>
              <w:t>: WHO, 31.01.2023</w:t>
            </w:r>
          </w:p>
          <w:p>
            <w:pPr>
              <w:pStyle w:val="Liste2"/>
            </w:pPr>
            <w:proofErr w:type="spellStart"/>
            <w:r>
              <w:t>Weltweit</w:t>
            </w:r>
            <w:proofErr w:type="spellEnd"/>
            <w:r>
              <w:t xml:space="preserve">: </w:t>
            </w:r>
          </w:p>
          <w:p>
            <w:pPr>
              <w:pStyle w:val="Liste2"/>
              <w:rPr>
                <w:lang w:val="en-US"/>
              </w:rPr>
            </w:pPr>
            <w:r>
              <w:rPr>
                <w:lang w:val="en-US"/>
              </w:rPr>
              <w:t xml:space="preserve">WHO </w:t>
            </w:r>
            <w:proofErr w:type="spellStart"/>
            <w:r>
              <w:rPr>
                <w:lang w:val="en-US"/>
              </w:rPr>
              <w:t>stuft</w:t>
            </w:r>
            <w:proofErr w:type="spellEnd"/>
            <w:r>
              <w:rPr>
                <w:lang w:val="en-US"/>
              </w:rPr>
              <w:t xml:space="preserve"> COVID-19 </w:t>
            </w:r>
            <w:proofErr w:type="spellStart"/>
            <w:r>
              <w:rPr>
                <w:lang w:val="en-US"/>
              </w:rPr>
              <w:t>weiterhin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als</w:t>
            </w:r>
            <w:proofErr w:type="spellEnd"/>
            <w:r>
              <w:rPr>
                <w:lang w:val="en-US"/>
              </w:rPr>
              <w:t xml:space="preserve"> PHEIC (public health emergency of international concern) </w:t>
            </w:r>
            <w:proofErr w:type="spellStart"/>
            <w:r>
              <w:rPr>
                <w:lang w:val="en-US"/>
              </w:rPr>
              <w:t>ein</w:t>
            </w:r>
            <w:proofErr w:type="spellEnd"/>
            <w:r>
              <w:rPr>
                <w:lang w:val="en-US"/>
              </w:rPr>
              <w:t xml:space="preserve">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Weltweit Rückgang sowohl der Fallzahlen als auch der Todesfälle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Steigende Todesfälle in Ozeanien sind auf Nachmeldungen aus Australien zurückzuführen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Europa: steigende Fallzahlen in Russland und Österreich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China: sinkende Fall- und Todeszahlen auf Festland, Macau und Hong Kong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Laut Pressemittelung von China CDC vom 30.01.2023 haben sich 80% der Bevölkerung Beijings bereits infiziert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USA: im Mai werden die nationale Notlage und der Notstand für die öffentliche Gesundheit beendet</w:t>
            </w:r>
          </w:p>
          <w:p>
            <w:pPr>
              <w:pStyle w:val="Liste2"/>
              <w:numPr>
                <w:ilvl w:val="0"/>
                <w:numId w:val="0"/>
              </w:numPr>
              <w:ind w:left="833"/>
              <w:rPr>
                <w:lang w:val="de-DE"/>
              </w:rPr>
            </w:pP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</w:pPr>
            <w:proofErr w:type="spellStart"/>
            <w:r>
              <w:t>Fallzahlen</w:t>
            </w:r>
            <w:proofErr w:type="spellEnd"/>
            <w:r>
              <w:t xml:space="preserve">, </w:t>
            </w:r>
            <w:proofErr w:type="spellStart"/>
            <w:r>
              <w:t>Todesfälle</w:t>
            </w:r>
            <w:proofErr w:type="spellEnd"/>
            <w:r>
              <w:t xml:space="preserve">, Trend,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5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rPr>
                <w:lang w:val="de-DE"/>
              </w:rPr>
            </w:pP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</w:t>
            </w:r>
            <w:proofErr w:type="spellStart"/>
            <w:r>
              <w:rPr>
                <w:lang w:val="de-DE"/>
              </w:rPr>
              <w:t>SurvNet</w:t>
            </w:r>
            <w:proofErr w:type="spellEnd"/>
            <w:r>
              <w:rPr>
                <w:lang w:val="de-DE"/>
              </w:rPr>
              <w:t xml:space="preserve"> übermittelt: 37.779.833 (+21.060), davon 165.711 (+148) Todesfälle </w:t>
            </w:r>
          </w:p>
          <w:p>
            <w:pPr>
              <w:pStyle w:val="Liste2"/>
            </w:pPr>
            <w:r>
              <w:t xml:space="preserve">7-Tage-Inzidenz:  88,3/100.000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64.869.621 (77,9%), mit vollständiger Impfung 63.555.355 (76,4%)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Größtenteils Plateau, nur vereinzelt eine ansteigende Tendenz zu verzeichnen, z.B. Saarland</w:t>
            </w:r>
          </w:p>
          <w:p>
            <w:pPr>
              <w:pStyle w:val="Liste3"/>
            </w:pPr>
            <w:r>
              <w:t>LK Düren als einziges eine 7d-Inzidenz &gt;250</w:t>
            </w:r>
          </w:p>
          <w:p>
            <w:pPr>
              <w:pStyle w:val="Liste3"/>
            </w:pPr>
            <w:r>
              <w:t>Altersverteilung: leichte Anstiege bei Kindern und Mittelalten (5-65-Jährigen)</w:t>
            </w:r>
          </w:p>
          <w:p>
            <w:pPr>
              <w:pStyle w:val="Liste3"/>
            </w:pPr>
            <w:r>
              <w:t>Höhepunkt der Todesfälle: KW 52/2022</w:t>
            </w:r>
          </w:p>
          <w:p>
            <w:pPr>
              <w:pStyle w:val="Liste3"/>
            </w:pPr>
            <w:r>
              <w:t>Aktuell Rückgang der Todesfälle und der Übersterblichkeit (die aber nicht auf COVID-19 zurückgeführt wird)</w:t>
            </w:r>
          </w:p>
          <w:p>
            <w:pPr>
              <w:pStyle w:val="Liste2"/>
              <w:rPr>
                <w:rStyle w:val="TagMiZchn"/>
                <w:b w:val="0"/>
                <w:bCs/>
                <w:lang w:val="de-DE"/>
              </w:rPr>
            </w:pPr>
            <w:r>
              <w:rPr>
                <w:rStyle w:val="3Zchn"/>
                <w:b w:val="0"/>
                <w:lang w:val="de-DE"/>
              </w:rPr>
              <w:t>Testkapazität und Testungen</w:t>
            </w:r>
            <w:r>
              <w:rPr>
                <w:lang w:val="de-DE"/>
              </w:rPr>
              <w:t xml:space="preserve"> Folien </w:t>
            </w:r>
            <w:hyperlink r:id="rId16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 xml:space="preserve">Kleiner Anstieg der </w:t>
            </w:r>
            <w:proofErr w:type="spellStart"/>
            <w:r>
              <w:rPr>
                <w:lang w:val="de-DE"/>
              </w:rPr>
              <w:t>Positivenrate</w:t>
            </w:r>
            <w:proofErr w:type="spellEnd"/>
            <w:r>
              <w:rPr>
                <w:lang w:val="de-DE"/>
              </w:rPr>
              <w:t xml:space="preserve"> von 17,19 auf 19,33</w:t>
            </w:r>
          </w:p>
          <w:p>
            <w:pPr>
              <w:pStyle w:val="Liste2"/>
            </w:pPr>
            <w:r>
              <w:t>ARS-</w:t>
            </w:r>
            <w:proofErr w:type="spellStart"/>
            <w:r>
              <w:t>Daten</w:t>
            </w:r>
            <w:proofErr w:type="spellEnd"/>
            <w:r>
              <w:t xml:space="preserve">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7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Kaum Anstieg in den Bundesländern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Anstieg im ambulanten Bereich (Arztpraxen)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Positivenrate</w:t>
            </w:r>
            <w:proofErr w:type="spellEnd"/>
            <w:r>
              <w:rPr>
                <w:lang w:val="de-DE"/>
              </w:rPr>
              <w:t xml:space="preserve"> steigt bei Kindern und Mittelalten an, geht bei Ü80 zurück 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 xml:space="preserve">ARS invasive bakterielle Erreger (aus Blutkultur &amp; Punktat): Group A </w:t>
            </w:r>
            <w:proofErr w:type="spellStart"/>
            <w:r>
              <w:rPr>
                <w:lang w:val="de-DE"/>
              </w:rPr>
              <w:t>Streptococci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Haemophila</w:t>
            </w:r>
            <w:proofErr w:type="spellEnd"/>
            <w:r>
              <w:rPr>
                <w:lang w:val="de-DE"/>
              </w:rPr>
              <w:t xml:space="preserve"> influenzae, Streptococcus </w:t>
            </w:r>
            <w:proofErr w:type="spellStart"/>
            <w:r>
              <w:rPr>
                <w:lang w:val="de-DE"/>
              </w:rPr>
              <w:t>pneumoniae</w:t>
            </w:r>
            <w:proofErr w:type="spellEnd"/>
            <w:r>
              <w:rPr>
                <w:lang w:val="de-DE"/>
              </w:rPr>
              <w:t xml:space="preserve">, Neisseria </w:t>
            </w:r>
            <w:proofErr w:type="spellStart"/>
            <w:r>
              <w:rPr>
                <w:lang w:val="de-DE"/>
              </w:rPr>
              <w:t>meningitis</w:t>
            </w:r>
            <w:proofErr w:type="spellEnd"/>
            <w:r>
              <w:rPr>
                <w:lang w:val="de-DE"/>
              </w:rPr>
              <w:t xml:space="preserve">: Peak stimmt mit Influenza Peak überein. </w:t>
            </w:r>
          </w:p>
          <w:p>
            <w:pPr>
              <w:pStyle w:val="Liste2"/>
            </w:pPr>
            <w:r>
              <w:lastRenderedPageBreak/>
              <w:t>VOC-</w:t>
            </w:r>
            <w:proofErr w:type="spellStart"/>
            <w:r>
              <w:t>Bericht</w:t>
            </w:r>
            <w:proofErr w:type="spellEnd"/>
            <w:r>
              <w:t xml:space="preserve"> </w:t>
            </w: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8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9"/>
              </w:numPr>
            </w:pPr>
            <w:r>
              <w:t xml:space="preserve">VOC </w:t>
            </w:r>
            <w:proofErr w:type="spellStart"/>
            <w:r>
              <w:t>Anteile</w:t>
            </w:r>
            <w:proofErr w:type="spellEnd"/>
            <w:r>
              <w:t xml:space="preserve">: BA.2 19,5%, BA.4: 0,1%, BA.5: 70.1%, XBB.1.5: 5,6%, XAY: 0,2% (XAY in </w:t>
            </w:r>
            <w:proofErr w:type="spellStart"/>
            <w:r>
              <w:t>Dänemark</w:t>
            </w:r>
            <w:proofErr w:type="spellEnd"/>
            <w:r>
              <w:t>: 2%)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XBB.1.5 wird von der WHO als nicht gefährlicher als andere Omikron Varianten eingestuft (Confidence Level = moderate)</w:t>
            </w:r>
          </w:p>
          <w:p>
            <w:pPr>
              <w:pStyle w:val="Liste2"/>
            </w:pPr>
            <w:proofErr w:type="spellStart"/>
            <w:r>
              <w:t>Molekulare</w:t>
            </w:r>
            <w:proofErr w:type="spellEnd"/>
            <w:r>
              <w:t xml:space="preserve"> Surveillance</w:t>
            </w:r>
          </w:p>
          <w:p>
            <w:pPr>
              <w:pStyle w:val="Liste2"/>
            </w:pP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berichtet</w:t>
            </w:r>
            <w:proofErr w:type="spellEnd"/>
          </w:p>
          <w:p>
            <w:pPr>
              <w:pStyle w:val="Liste2"/>
            </w:pPr>
            <w:proofErr w:type="spellStart"/>
            <w:r>
              <w:t>Syndromische</w:t>
            </w:r>
            <w:proofErr w:type="spellEnd"/>
            <w:r>
              <w:t xml:space="preserve"> Surveillance</w:t>
            </w:r>
            <w:r>
              <w:rPr>
                <w:rStyle w:val="TagMiZchn"/>
              </w:rPr>
              <w:t xml:space="preserve"> </w:t>
            </w:r>
            <w:proofErr w:type="spellStart"/>
            <w:r>
              <w:rPr>
                <w:rStyle w:val="TagMiZchn"/>
                <w:b w:val="0"/>
                <w:i w:val="0"/>
                <w:color w:val="auto"/>
              </w:rPr>
              <w:t>Folien</w:t>
            </w:r>
            <w:proofErr w:type="spellEnd"/>
            <w:r>
              <w:rPr>
                <w:rStyle w:val="TagMiZchn"/>
                <w:b w:val="0"/>
                <w:i w:val="0"/>
                <w:color w:val="auto"/>
              </w:rPr>
              <w:t xml:space="preserve"> </w:t>
            </w:r>
            <w:hyperlink r:id="rId19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Grippeweb KW 4: ARE ansteigend in allen AG (außer 0-4)</w:t>
            </w:r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Es handelt sich um leichte ARE (Schlussfolgerung aus anderen Parametern)</w:t>
            </w:r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Arztbesuche: Rückgang bei Erwachsenen, Anstieg bei Kindern</w:t>
            </w:r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ARE mit COVID: Anstieg auf sehr niedrigem Niveau</w:t>
            </w:r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 xml:space="preserve">Stationär: Lage entspannt sich, Grippewelle zu Ende </w:t>
            </w:r>
          </w:p>
          <w:p>
            <w:pPr>
              <w:pStyle w:val="Liste2"/>
              <w:rPr>
                <w:rStyle w:val="TagMiZchn"/>
                <w:b w:val="0"/>
                <w:lang w:val="de-DE"/>
              </w:rPr>
            </w:pPr>
            <w:r>
              <w:rPr>
                <w:lang w:val="de-DE"/>
              </w:rPr>
              <w:t xml:space="preserve">Virologische Surveillance, NRZ Influenza-Daten Folien </w:t>
            </w:r>
            <w:hyperlink r:id="rId20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 xml:space="preserve">SARS-CoV-2 mit 10% am häufigsten unter den Coronaviren, 15% </w:t>
            </w:r>
            <w:proofErr w:type="spellStart"/>
            <w:r>
              <w:rPr>
                <w:lang w:val="de-DE"/>
              </w:rPr>
              <w:t>Rhinoviren</w:t>
            </w:r>
            <w:proofErr w:type="spellEnd"/>
            <w:r>
              <w:rPr>
                <w:lang w:val="de-DE"/>
              </w:rPr>
              <w:t>, bei Influenza vorwiegend B/Victoria, bei RSV leichter Rückgang</w:t>
            </w:r>
          </w:p>
          <w:p>
            <w:pPr>
              <w:pStyle w:val="Liste2"/>
              <w:rPr>
                <w:bCs/>
                <w:i/>
                <w:color w:val="D99594" w:themeColor="accent2" w:themeTint="99"/>
                <w:lang w:val="de-DE"/>
              </w:rPr>
            </w:pPr>
            <w:r>
              <w:rPr>
                <w:lang w:val="de-DE"/>
              </w:rPr>
              <w:t xml:space="preserve">Zahlen zum DIVI-Intensivregister Folien </w:t>
            </w:r>
            <w:hyperlink r:id="rId21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numPr>
                <w:ilvl w:val="0"/>
                <w:numId w:val="11"/>
              </w:numPr>
              <w:rPr>
                <w:bCs/>
                <w:i/>
                <w:color w:val="D99594" w:themeColor="accent2" w:themeTint="99"/>
                <w:lang w:val="de-DE"/>
              </w:rPr>
            </w:pPr>
            <w:r>
              <w:rPr>
                <w:lang w:val="de-DE"/>
              </w:rPr>
              <w:t>Stagnation bei ITS Neuaufnahmen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bCs/>
                <w:i/>
                <w:color w:val="D99594" w:themeColor="accent2" w:themeTint="99"/>
                <w:lang w:val="de-DE"/>
              </w:rPr>
            </w:pPr>
            <w:r>
              <w:rPr>
                <w:lang w:val="de-DE"/>
              </w:rPr>
              <w:t>Plateaubildung in allen BL außer Thüringen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bCs/>
                <w:i/>
                <w:color w:val="D99594" w:themeColor="accent2" w:themeTint="99"/>
                <w:lang w:val="de-DE"/>
              </w:rPr>
            </w:pPr>
            <w:r>
              <w:rPr>
                <w:lang w:val="de-DE"/>
              </w:rPr>
              <w:t xml:space="preserve">Altersklassen: Anteil &lt;39 Jahre sehr gering (schon seit 7/2022), 90% ü60 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Style w:val="TagMiZchn"/>
                <w:b w:val="0"/>
                <w:bCs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t>Invasive Beatmungsfälle sind vorwiegend nicht-COVID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Style w:val="TagMiZchn"/>
                <w:b w:val="0"/>
                <w:bCs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t>Betriebssituation: Übergang in den regulären Betrieb, Entspannung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rStyle w:val="TagMiZchn"/>
                <w:b w:val="0"/>
                <w:bCs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bCs/>
                <w:i w:val="0"/>
                <w:color w:val="auto"/>
                <w:lang w:val="de-DE"/>
              </w:rPr>
              <w:t>Fazit: COVID-19 spielt keine Rolle mehr auf ITS</w:t>
            </w:r>
          </w:p>
          <w:p>
            <w:pPr>
              <w:pStyle w:val="Liste2"/>
            </w:pPr>
            <w:proofErr w:type="spellStart"/>
            <w:r>
              <w:t>Modellierungen</w:t>
            </w:r>
            <w:proofErr w:type="spellEnd"/>
            <w:r>
              <w:t xml:space="preserve"> </w:t>
            </w:r>
          </w:p>
          <w:p>
            <w:pPr>
              <w:pStyle w:val="Liste2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Correa-Martinez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Diercke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Hamouda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Eckmanns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Kröger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Buda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Dürrwald</w:t>
            </w:r>
            <w:proofErr w:type="spellEnd"/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Fischer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Punkte für den Wochenbericht</w:t>
            </w:r>
          </w:p>
          <w:p>
            <w:pPr>
              <w:pStyle w:val="1"/>
              <w:numPr>
                <w:ilvl w:val="0"/>
                <w:numId w:val="13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Auf die neue Version der Risikobewertung hinweisen (mit BMG Pressestelle abstimmen) </w:t>
            </w:r>
          </w:p>
          <w:p>
            <w:pPr>
              <w:pStyle w:val="1"/>
              <w:numPr>
                <w:ilvl w:val="0"/>
                <w:numId w:val="13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Wochenbericht sollte im Einklang stehen mit der aktuellen Risikobewertung</w:t>
            </w:r>
          </w:p>
          <w:p>
            <w:pPr>
              <w:pStyle w:val="1"/>
              <w:numPr>
                <w:ilvl w:val="0"/>
                <w:numId w:val="13"/>
              </w:numPr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</w:rPr>
              <w:t>GrippeWeb</w:t>
            </w:r>
            <w:proofErr w:type="spellEnd"/>
            <w:r>
              <w:rPr>
                <w:b w:val="0"/>
                <w:sz w:val="22"/>
                <w:szCs w:val="22"/>
              </w:rPr>
              <w:t xml:space="preserve"> zeigt eine Zunahme der ARE, wobei es sich um leichte Erkrankungen handelt, alle anderen Indikatoren zeigen einen Rückgang</w:t>
            </w:r>
          </w:p>
          <w:p>
            <w:pPr>
              <w:pStyle w:val="1"/>
              <w:numPr>
                <w:ilvl w:val="0"/>
                <w:numId w:val="13"/>
              </w:numPr>
            </w:pPr>
            <w:r>
              <w:rPr>
                <w:b w:val="0"/>
                <w:sz w:val="22"/>
                <w:szCs w:val="22"/>
              </w:rPr>
              <w:t>15% Zunahme der Inzidenz gegenüber der Vorwoche bei den 5-65-Jährigen nicht überbetonen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2"/>
            </w:pPr>
            <w:r>
              <w:t>STIKO</w:t>
            </w:r>
          </w:p>
          <w:p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 xml:space="preserve">Stellungnahme zu proteinbasiertem Impfstoff: </w:t>
            </w:r>
            <w:proofErr w:type="spellStart"/>
            <w:r>
              <w:rPr>
                <w:highlight w:val="yellow"/>
              </w:rPr>
              <w:t>Vidprevtyn</w:t>
            </w:r>
            <w:proofErr w:type="spellEnd"/>
            <w:r>
              <w:rPr>
                <w:highlight w:val="yellow"/>
              </w:rPr>
              <w:t>®</w:t>
            </w:r>
          </w:p>
          <w:p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  <w:r>
              <w:rPr>
                <w:rStyle w:val="1Zchn"/>
                <w:b w:val="0"/>
                <w:sz w:val="22"/>
                <w:szCs w:val="22"/>
                <w:highlight w:val="yellow"/>
              </w:rPr>
              <w:t>Impfempfehlung für Schwangere</w:t>
            </w:r>
            <w:r>
              <w:rPr>
                <w:rStyle w:val="1Zchn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FG 33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Fischer-Fels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3"/>
              <w:numPr>
                <w:ilvl w:val="0"/>
                <w:numId w:val="0"/>
              </w:numPr>
            </w:pPr>
          </w:p>
          <w:p>
            <w:pPr>
              <w:pStyle w:val="Liste3"/>
              <w:numPr>
                <w:ilvl w:val="0"/>
                <w:numId w:val="0"/>
              </w:num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spacing w:line="276" w:lineRule="auto"/>
              <w:rPr>
                <w:b/>
                <w:i/>
                <w:color w:val="C2D69B" w:themeColor="accent3" w:themeTint="99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1Zchn"/>
              </w:rPr>
            </w:pPr>
            <w:r>
              <w:rPr>
                <w:rStyle w:val="1Zchn"/>
              </w:rPr>
              <w:t>Daten aus der Gesundheitsberichterstattung</w:t>
            </w:r>
          </w:p>
          <w:p>
            <w:pPr>
              <w:pStyle w:val="Listenabsatz"/>
              <w:numPr>
                <w:ilvl w:val="0"/>
                <w:numId w:val="8"/>
              </w:numPr>
              <w:spacing w:line="276" w:lineRule="auto"/>
              <w:rPr>
                <w:rStyle w:val="1Zchn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 xml:space="preserve">Diskussion der Änderungsvorschläge zur Risikobewertung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Es wurden die Änderungsvorschläge des BMG diskutiert und bis auf wenige Ausnahmen angenommen</w:t>
            </w:r>
            <w:r>
              <w:rPr>
                <w:lang w:val="de-DE"/>
              </w:rP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Expertenbeirat </w:t>
            </w:r>
            <w:r>
              <w:rPr>
                <w:i/>
                <w:color w:val="95B3D7" w:themeColor="accent1" w:themeTint="99"/>
                <w:sz w:val="20"/>
              </w:rPr>
              <w:t>(montags Vorbereitung, mittwochs Nachbereitung)</w:t>
            </w:r>
          </w:p>
          <w:p>
            <w:pPr>
              <w:pStyle w:val="Liste1"/>
            </w:pPr>
            <w:r>
              <w:t>Kanzleramt plant Ausweitung der Themen, z.B. Digitalisierung im Gesundheitswesen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1"/>
              <w:rPr>
                <w:sz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Wieler</w:t>
            </w: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Aktivitäten neu:</w:t>
            </w:r>
          </w:p>
          <w:p>
            <w:pPr>
              <w:pStyle w:val="Liste1"/>
            </w:pPr>
            <w:r>
              <w:t>Aktualisierung der Webseite auf Basis der aktualisierten RKI FAQ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FAQs wurden aktualisiert, auch zu Long- COVID</w:t>
            </w:r>
          </w:p>
          <w:p>
            <w:pPr>
              <w:pStyle w:val="Liste1"/>
            </w:pPr>
            <w:r>
              <w:t>Es wurde darauf hingewiesen, dass alle prüfen sollten, ob ihre Dokumente im Rahmen der Deeskalation ebenfalls aktualisiert werden sollten</w:t>
            </w:r>
          </w:p>
          <w:p>
            <w:pPr>
              <w:pStyle w:val="Liste1"/>
            </w:pPr>
            <w:r>
              <w:t xml:space="preserve">Es wurde beschlossen, dass eine schriftliche Anfrage an das BMG gestellt wird, zur Beendigung der täglichen Situationsberichte, da auch mehrere Bundesländer und Agenturen Ihre tägliche Berichterstattung eingestellt haben. 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i/>
              </w:rPr>
            </w:pPr>
            <w:proofErr w:type="spellStart"/>
            <w:r>
              <w:rPr>
                <w:i/>
              </w:rPr>
              <w:t>ToDO</w:t>
            </w:r>
            <w:proofErr w:type="spellEnd"/>
            <w:r>
              <w:rPr>
                <w:i/>
              </w:rPr>
              <w:t xml:space="preserve"> 1: Schriftliche Anfrage ans BMG zur Einstellung der täglichen Situationsberichte (Diercke, Wenchel)</w:t>
            </w:r>
            <w:r>
              <w:rPr>
                <w:i/>
              </w:rP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BZgA </w:t>
            </w:r>
            <w:proofErr w:type="spellStart"/>
            <w:r>
              <w:rPr>
                <w:sz w:val="22"/>
                <w:szCs w:val="22"/>
              </w:rPr>
              <w:t>Rückle</w:t>
            </w:r>
            <w:proofErr w:type="spellEnd"/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 (Wenchel)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nabsatz"/>
              <w:numPr>
                <w:ilvl w:val="0"/>
                <w:numId w:val="15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Bericht wissenschaftliche Publikation für den Minister; SOP und Vorlage: wurde diskutiert und vor allem die Zuarbeit aller Abteilungen hinsichtlich Vorstellung aktueller Forschungsergebnisse zu SARS-CoV-2 (Literatur) gewünscht. Zusätzlich wird eine Unterstützung durch die Bibliothek angefragt. </w:t>
            </w:r>
          </w:p>
          <w:p>
            <w:pPr>
              <w:pStyle w:val="Liste1"/>
              <w:numPr>
                <w:ilvl w:val="0"/>
                <w:numId w:val="15"/>
              </w:numPr>
            </w:pPr>
            <w:r>
              <w:t xml:space="preserve">IAR COVID-19-Krisenmanagement: Ankündigung Konzept:  Wird an den Verteiler versendet. Besprechung in der Lage-AG in 2 Wochen 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  <w:rPr>
                <w:i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Abt. 3</w:t>
            </w:r>
            <w:r>
              <w:rPr>
                <w:sz w:val="22"/>
                <w:szCs w:val="22"/>
                <w:lang w:val="en-GB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## Proben, davon:</w:t>
            </w:r>
          </w:p>
          <w:p>
            <w:pPr>
              <w:pStyle w:val="Liste2"/>
            </w:pPr>
            <w:r>
              <w:t># SARS-CoV-2</w:t>
            </w:r>
          </w:p>
          <w:p>
            <w:pPr>
              <w:pStyle w:val="Liste2"/>
            </w:pPr>
            <w:r>
              <w:t>## Rhinovirus</w:t>
            </w:r>
          </w:p>
          <w:p>
            <w:pPr>
              <w:pStyle w:val="Liste2"/>
            </w:pPr>
            <w:r>
              <w:t>## Parainfluenzavirus</w:t>
            </w:r>
          </w:p>
          <w:p>
            <w:pPr>
              <w:pStyle w:val="Liste2"/>
            </w:pPr>
            <w:r>
              <w:t xml:space="preserve">## saisonale (endemische) Coronaviren </w:t>
            </w:r>
          </w:p>
          <w:p>
            <w:pPr>
              <w:pStyle w:val="Liste2"/>
            </w:pPr>
            <w:r>
              <w:t>## Metapneumovirus</w:t>
            </w:r>
          </w:p>
          <w:p>
            <w:pPr>
              <w:pStyle w:val="Liste2"/>
            </w:pPr>
            <w:r>
              <w:t xml:space="preserve">## </w:t>
            </w:r>
            <w:proofErr w:type="spellStart"/>
            <w:r>
              <w:t>Influenzavirus</w:t>
            </w:r>
            <w:proofErr w:type="spellEnd"/>
          </w:p>
          <w:p>
            <w:pPr>
              <w:pStyle w:val="Liste2"/>
            </w:pPr>
            <w:r>
              <w:t xml:space="preserve">Rest </w:t>
            </w:r>
            <w:proofErr w:type="spellStart"/>
            <w:r>
              <w:t>negativ</w:t>
            </w:r>
            <w:proofErr w:type="spellEnd"/>
          </w:p>
          <w:p>
            <w:pPr>
              <w:pStyle w:val="2"/>
            </w:pPr>
            <w:r>
              <w:t>ZBS1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 xml:space="preserve">Anpassung der </w:t>
            </w:r>
            <w:proofErr w:type="spellStart"/>
            <w:r>
              <w:t>Entisolierungskriterien</w:t>
            </w:r>
            <w:proofErr w:type="spellEnd"/>
            <w:r>
              <w:t xml:space="preserve">: Es wurde eine Verkürzung der Isolierungszeiten für den stationären Bereich beschlossen. Vor der Veröffentlichung soll diese Änderung auf der Jour-Fixe dem BMG vorgestellt werden. </w:t>
            </w:r>
          </w:p>
          <w:p>
            <w:pPr>
              <w:pStyle w:val="3"/>
              <w:numPr>
                <w:ilvl w:val="0"/>
                <w:numId w:val="0"/>
              </w:numPr>
              <w:spacing w:before="0"/>
              <w:ind w:left="1080" w:hanging="360"/>
              <w:rPr>
                <w:b w:val="0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 (</w:t>
            </w:r>
            <w:proofErr w:type="spellStart"/>
            <w:r>
              <w:rPr>
                <w:sz w:val="22"/>
                <w:szCs w:val="22"/>
              </w:rPr>
              <w:t>Niebank</w:t>
            </w:r>
            <w:proofErr w:type="spell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nicht berichtet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Zukunft ESRI-Dashboard und Perspektiven für die COVID-19-Berichterstattung:</w:t>
            </w:r>
          </w:p>
          <w:p>
            <w:pPr>
              <w:pStyle w:val="Liste1"/>
            </w:pPr>
            <w:r>
              <w:t xml:space="preserve">Es wurde befunden, dass das COVID-19 Dashboard fachlich nicht mehr notwendig sei, da das Pandemieradar ein guter Ersatz sei. In Abstimmung mit MFI soll dazu ein Bericht für das BMG erstellt werden. </w:t>
            </w:r>
          </w:p>
          <w:p>
            <w:pPr>
              <w:pStyle w:val="Liste1"/>
            </w:pPr>
            <w:r>
              <w:lastRenderedPageBreak/>
              <w:t>Die Open-Data-Policy des RKIs und die Wichtigkeit der Daten Visualisierung wurden herausgestellt, wofür MFI über ausreichend Strukturen und Ressourcen verfüge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  <w:p>
            <w:pPr>
              <w:pStyle w:val="Liste1"/>
            </w:pPr>
            <w:r>
              <w:rPr>
                <w:i/>
              </w:rPr>
              <w:t>ToDo2: Bericht für das BMG in Abstimmung mit MFI zur Einstellung des COVID-19 Dashboards (Diercke, MFI)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nicht berichtet</w:t>
            </w:r>
            <w:bookmarkStart w:id="1" w:name="_GoBack"/>
            <w:bookmarkEnd w:id="1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der Koordinierungsstelle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  <w:r>
              <w:t xml:space="preserve">Wochenbericht in der 10. KW </w:t>
            </w:r>
            <w:r>
              <w:sym w:font="Wingdings" w:char="F0E0"/>
            </w:r>
            <w:r>
              <w:t xml:space="preserve"> Mi, 8.3. Feiertag (Daten können nicht vor dem 8.3. erhoben werden), daher Verschieben der Veröffentlichung auf 10.3.23 akzeptabel?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  <w:r>
              <w:t>Leitung: eine späte Veröffentlichung am Donnerstag ist der Veröffentlichung am Freitag vorzuziehen, aber falls technisch nicht anders möglich, wird auch eine Veröffentlichung am 10.3.23 akzeptiert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>Nächste Sitzung: Mittwoch, 15.01.2023, 11:00 Uhr, via Webex</w:t>
            </w:r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Ende: 13:06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8" o:spid="_x0000_s69634" type="#_x0000_t136" style="position:absolute;margin-left:0;margin-top:0;width:468.1pt;height:11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9" o:spid="_x0000_s69635" type="#_x0000_t136" style="position:absolute;margin-left:0;margin-top:0;width:468.1pt;height:11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7" o:spid="_x0000_s69633" type="#_x0000_t136" style="position:absolute;margin-left:0;margin-top:0;width:468.1pt;height:11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F51F0"/>
    <w:multiLevelType w:val="hybridMultilevel"/>
    <w:tmpl w:val="BC56CA24"/>
    <w:lvl w:ilvl="0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5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9C5B45"/>
    <w:multiLevelType w:val="hybridMultilevel"/>
    <w:tmpl w:val="587AA9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06FEE"/>
    <w:multiLevelType w:val="hybridMultilevel"/>
    <w:tmpl w:val="44CCC134"/>
    <w:lvl w:ilvl="0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8" w15:restartNumberingAfterBreak="0">
    <w:nsid w:val="45E646C3"/>
    <w:multiLevelType w:val="hybridMultilevel"/>
    <w:tmpl w:val="A502B266"/>
    <w:lvl w:ilvl="0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9" w15:restartNumberingAfterBreak="0">
    <w:nsid w:val="48AB08AF"/>
    <w:multiLevelType w:val="hybridMultilevel"/>
    <w:tmpl w:val="E9FCEAD4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0180D"/>
    <w:multiLevelType w:val="hybridMultilevel"/>
    <w:tmpl w:val="4A087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941A1"/>
    <w:multiLevelType w:val="hybridMultilevel"/>
    <w:tmpl w:val="8E420D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27046"/>
    <w:multiLevelType w:val="hybridMultilevel"/>
    <w:tmpl w:val="EEE6A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07902"/>
    <w:multiLevelType w:val="hybridMultilevel"/>
    <w:tmpl w:val="DC02E70E"/>
    <w:lvl w:ilvl="0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13"/>
  </w:num>
  <w:num w:numId="9">
    <w:abstractNumId w:val="14"/>
  </w:num>
  <w:num w:numId="10">
    <w:abstractNumId w:val="4"/>
  </w:num>
  <w:num w:numId="11">
    <w:abstractNumId w:val="8"/>
  </w:num>
  <w:num w:numId="12">
    <w:abstractNumId w:val="7"/>
  </w:num>
  <w:num w:numId="13">
    <w:abstractNumId w:val="12"/>
  </w:num>
  <w:num w:numId="14">
    <w:abstractNumId w:val="6"/>
  </w:num>
  <w:num w:numId="1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9636"/>
    <o:shapelayout v:ext="edit">
      <o:idmap v:ext="edit" data="68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6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2023-02_01_LageAG-VOC.pptx" TargetMode="External"/><Relationship Id="rId3" Type="http://schemas.openxmlformats.org/officeDocument/2006/relationships/styles" Target="styles.xml"/><Relationship Id="rId21" Type="http://schemas.openxmlformats.org/officeDocument/2006/relationships/hyperlink" Target="2023-02-01_Intensivregister_SPoCK.ppt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Testzahlen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Testzahlen.pptx" TargetMode="External"/><Relationship Id="rId20" Type="http://schemas.openxmlformats.org/officeDocument/2006/relationships/hyperlink" Target="syndrom-ARE-SARI-COVID_bis_KW04_2023_f&#252;r-Krisenstab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LageNational_2023-02-01.pptx" TargetMode="Externa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syndrom-ARE-SARI-COVID_bis_KW04_2023_f&#252;r-Krisenstab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3\2023-02-01_Lage-AG\COVID-19_internat.%20Lage_2023-02-01.pptx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04D26-9EF3-4430-9856-0781D41A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1180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Banerji, Sangeeta</cp:lastModifiedBy>
  <cp:revision>28</cp:revision>
  <cp:lastPrinted>2023-02-01T22:39:00Z</cp:lastPrinted>
  <dcterms:created xsi:type="dcterms:W3CDTF">2022-03-03T09:26:00Z</dcterms:created>
  <dcterms:modified xsi:type="dcterms:W3CDTF">2023-02-01T22:53:00Z</dcterms:modified>
</cp:coreProperties>
</file>