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Lage-AG-Sitzung zu COVID-19</w:t>
      </w:r>
    </w:p>
    <w:p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Ergebnisprotokoll</w:t>
      </w:r>
    </w:p>
    <w:p>
      <w:pPr>
        <w:rPr>
          <w:i/>
        </w:rPr>
      </w:pPr>
      <w:r>
        <w:rPr>
          <w:i/>
        </w:rPr>
        <w:t>Aktenzeichen: 4.06.02/0024#0014</w:t>
      </w:r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Anlass: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-1069258484"/>
          <w:placeholder>
            <w:docPart w:val="DefaultPlaceholder_1082065158"/>
          </w:placeholder>
        </w:sdtPr>
        <w:sdtContent>
          <w:sdt>
            <w:sdtPr>
              <w:rPr>
                <w:i/>
                <w:sz w:val="22"/>
              </w:rPr>
              <w:id w:val="334350100"/>
              <w:placeholder>
                <w:docPart w:val="0A67EC378ADB4363968F76466F3994ED"/>
              </w:placeholder>
            </w:sdtPr>
            <w:sdtContent>
              <w:r>
                <w:rPr>
                  <w:sz w:val="22"/>
                </w:rPr>
                <w:t>COVID-19</w:t>
              </w:r>
            </w:sdtContent>
          </w:sdt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i/>
          <w:sz w:val="22"/>
        </w:rPr>
      </w:pPr>
      <w:r>
        <w:rPr>
          <w:b/>
          <w:i/>
          <w:sz w:val="22"/>
        </w:rPr>
        <w:t>Datum:</w:t>
      </w:r>
      <w:r>
        <w:rPr>
          <w:i/>
          <w:sz w:val="22"/>
        </w:rPr>
        <w:t xml:space="preserve"> </w:t>
      </w:r>
      <w:r>
        <w:rPr>
          <w:i/>
          <w:sz w:val="22"/>
        </w:rPr>
        <w:tab/>
      </w:r>
      <w:r>
        <w:rPr>
          <w:i/>
          <w:sz w:val="22"/>
        </w:rPr>
        <w:tab/>
      </w:r>
      <w:sdt>
        <w:sdtPr>
          <w:rPr>
            <w:i/>
            <w:sz w:val="22"/>
          </w:rPr>
          <w:id w:val="1092433924"/>
          <w:placeholder>
            <w:docPart w:val="DefaultPlaceholder_1082065158"/>
          </w:placeholder>
        </w:sdtPr>
        <w:sdtContent>
          <w:r>
            <w:rPr>
              <w:i/>
              <w:sz w:val="22"/>
            </w:rPr>
            <w:t>Mittwoch, 26.04.2023, 11:00 Uhr</w:t>
          </w:r>
        </w:sdtContent>
      </w:sdt>
    </w:p>
    <w:p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solid" w:color="D9D9D9" w:themeColor="background1" w:themeShade="D9" w:fill="auto"/>
        <w:spacing w:line="276" w:lineRule="auto"/>
        <w:rPr>
          <w:sz w:val="22"/>
        </w:rPr>
      </w:pPr>
      <w:r>
        <w:rPr>
          <w:b/>
          <w:i/>
          <w:sz w:val="22"/>
        </w:rPr>
        <w:t>Sitzungsort:</w:t>
      </w:r>
      <w:r>
        <w:rPr>
          <w:b/>
          <w:i/>
          <w:sz w:val="22"/>
        </w:rPr>
        <w:tab/>
      </w:r>
      <w:r>
        <w:rPr>
          <w:b/>
          <w:i/>
          <w:sz w:val="22"/>
        </w:rPr>
        <w:tab/>
      </w:r>
      <w:sdt>
        <w:sdtPr>
          <w:rPr>
            <w:sz w:val="22"/>
          </w:rPr>
          <w:id w:val="1344203332"/>
          <w:placeholder>
            <w:docPart w:val="0F773A1FCB61483A80E8B309D8E6A01A"/>
          </w:placeholder>
        </w:sdtPr>
        <w:sdtContent>
          <w:r>
            <w:rPr>
              <w:sz w:val="22"/>
            </w:rPr>
            <w:t>Webex-Konferenz</w:t>
          </w:r>
        </w:sdtContent>
      </w:sdt>
    </w:p>
    <w:p>
      <w:pPr>
        <w:rPr>
          <w:b/>
          <w:sz w:val="22"/>
        </w:rPr>
        <w:sectPr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708" w:footer="708" w:gutter="0"/>
          <w:cols w:space="708"/>
        </w:sectPr>
      </w:pPr>
      <w:r>
        <w:rPr>
          <w:b/>
          <w:sz w:val="22"/>
        </w:rPr>
        <w:t>Moderation:  Osamah Hamouda</w:t>
      </w:r>
    </w:p>
    <w:p>
      <w:pPr>
        <w:spacing w:after="0"/>
        <w:rPr>
          <w:b/>
          <w:sz w:val="22"/>
        </w:rPr>
      </w:pPr>
      <w:bookmarkStart w:id="0" w:name="_Hlk82005470"/>
      <w:r>
        <w:rPr>
          <w:b/>
          <w:sz w:val="22"/>
        </w:rPr>
        <w:t xml:space="preserve">Teilnehmende: 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1</w:t>
      </w:r>
    </w:p>
    <w:p>
      <w:pPr>
        <w:pStyle w:val="Listenabsatz"/>
        <w:numPr>
          <w:ilvl w:val="1"/>
          <w:numId w:val="2"/>
        </w:numPr>
        <w:spacing w:after="0" w:line="233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Martin Mielke</w:t>
      </w:r>
    </w:p>
    <w:p>
      <w:pPr>
        <w:pStyle w:val="Listenabsatz"/>
        <w:numPr>
          <w:ilvl w:val="0"/>
          <w:numId w:val="2"/>
        </w:numPr>
        <w:spacing w:after="0" w:line="233" w:lineRule="auto"/>
        <w:ind w:hanging="357"/>
        <w:contextualSpacing w:val="0"/>
        <w:rPr>
          <w:sz w:val="22"/>
          <w:szCs w:val="22"/>
        </w:rPr>
      </w:pPr>
      <w:r>
        <w:rPr>
          <w:sz w:val="22"/>
          <w:szCs w:val="22"/>
        </w:rPr>
        <w:t>Abt. 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Osamah Hamouda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FG14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Melanie Brunke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FG17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Ralf Dürrwald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FG 24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Thomas Ziese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FG26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Caroline Cohrdes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FG31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Maria </w:t>
      </w:r>
      <w:proofErr w:type="gramStart"/>
      <w:r>
        <w:rPr>
          <w:sz w:val="22"/>
          <w:szCs w:val="22"/>
        </w:rPr>
        <w:t>an der Heiden</w:t>
      </w:r>
      <w:proofErr w:type="gramEnd"/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Mario Martin-Sanchez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Alexandra Hofmann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Christian Wittke (Protokoll)</w:t>
      </w:r>
    </w:p>
    <w:p>
      <w:pPr>
        <w:pStyle w:val="Listenabsatz"/>
        <w:numPr>
          <w:ilvl w:val="0"/>
          <w:numId w:val="4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FG32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Michaela Diercke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Justus Benzler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FG33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</w:rPr>
      </w:pPr>
      <w:r>
        <w:rPr>
          <w:sz w:val="22"/>
        </w:rPr>
        <w:t>Jonathan Fischer-Fels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FG36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Udo Buchholz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Silke Buda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Stefan Kröger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Kristin Tolksdorf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Romy Kerber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FG37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Werner Espelage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Sebastian Haller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ZBS7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proofErr w:type="spellStart"/>
      <w:r>
        <w:rPr>
          <w:sz w:val="22"/>
          <w:szCs w:val="22"/>
        </w:rPr>
        <w:t>Turid</w:t>
      </w:r>
      <w:proofErr w:type="spellEnd"/>
      <w:r>
        <w:rPr>
          <w:sz w:val="22"/>
          <w:szCs w:val="22"/>
        </w:rPr>
        <w:t xml:space="preserve"> Piening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Ines Lein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Presse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Marieke Degen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Ronja Wenchel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MF1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Torsten Semmler</w:t>
      </w:r>
    </w:p>
    <w:p>
      <w:pPr>
        <w:pStyle w:val="Listenabsatz"/>
        <w:numPr>
          <w:ilvl w:val="0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>MF4</w:t>
      </w:r>
    </w:p>
    <w:p>
      <w:pPr>
        <w:pStyle w:val="Listenabsatz"/>
        <w:numPr>
          <w:ilvl w:val="1"/>
          <w:numId w:val="3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Martina Fischer </w:t>
      </w:r>
    </w:p>
    <w:p>
      <w:pPr>
        <w:pStyle w:val="Listenabsatz"/>
        <w:numPr>
          <w:ilvl w:val="0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BZgA </w:t>
      </w:r>
    </w:p>
    <w:p>
      <w:pPr>
        <w:pStyle w:val="Listenabsatz"/>
        <w:numPr>
          <w:ilvl w:val="1"/>
          <w:numId w:val="2"/>
        </w:numPr>
        <w:spacing w:after="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Anne-Laure </w:t>
      </w:r>
      <w:proofErr w:type="spellStart"/>
      <w:r>
        <w:rPr>
          <w:sz w:val="22"/>
          <w:szCs w:val="22"/>
        </w:rPr>
        <w:t>Caille-Brillet</w:t>
      </w:r>
      <w:proofErr w:type="spellEnd"/>
    </w:p>
    <w:p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bookmarkEnd w:id="0"/>
    <w:p>
      <w:pPr>
        <w:spacing w:after="0"/>
        <w:rPr>
          <w:sz w:val="22"/>
        </w:rPr>
        <w:sectPr>
          <w:type w:val="continuous"/>
          <w:pgSz w:w="11900" w:h="16840"/>
          <w:pgMar w:top="1440" w:right="1800" w:bottom="1440" w:left="1800" w:header="708" w:footer="708" w:gutter="0"/>
          <w:cols w:num="2" w:space="560"/>
        </w:sectPr>
      </w:pPr>
    </w:p>
    <w:p>
      <w:pPr>
        <w:pStyle w:val="Liste2"/>
        <w:numPr>
          <w:ilvl w:val="0"/>
          <w:numId w:val="0"/>
        </w:numPr>
      </w:pPr>
    </w:p>
    <w:tbl>
      <w:tblPr>
        <w:tblStyle w:val="Tabellenraster"/>
        <w:tblW w:w="8971" w:type="dxa"/>
        <w:tblLayout w:type="fixed"/>
        <w:tblLook w:val="00A0" w:firstRow="1" w:lastRow="0" w:firstColumn="1" w:lastColumn="0" w:noHBand="0" w:noVBand="0"/>
      </w:tblPr>
      <w:tblGrid>
        <w:gridCol w:w="684"/>
        <w:gridCol w:w="6824"/>
        <w:gridCol w:w="1463"/>
      </w:tblGrid>
      <w:tr>
        <w:tc>
          <w:tcPr>
            <w:tcW w:w="68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</w:rPr>
              <w:br w:type="page"/>
              <w:t>TOP</w:t>
            </w:r>
          </w:p>
        </w:tc>
        <w:tc>
          <w:tcPr>
            <w:tcW w:w="6824" w:type="dxa"/>
          </w:tcPr>
          <w:p>
            <w:pPr>
              <w:pStyle w:val="1"/>
              <w:rPr>
                <w:sz w:val="24"/>
              </w:rPr>
            </w:pPr>
            <w:r>
              <w:rPr>
                <w:sz w:val="24"/>
              </w:rPr>
              <w:t>Beitrag/ Thema</w:t>
            </w:r>
          </w:p>
        </w:tc>
        <w:tc>
          <w:tcPr>
            <w:tcW w:w="1463" w:type="dxa"/>
          </w:tcPr>
          <w:p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eingebracht von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 xml:space="preserve">Aktuelle Lage </w:t>
            </w:r>
          </w:p>
          <w:p>
            <w:pPr>
              <w:spacing w:line="276" w:lineRule="auto"/>
              <w:rPr>
                <w:rStyle w:val="TagMiZchn"/>
                <w:bCs/>
              </w:rPr>
            </w:pPr>
            <w:r>
              <w:rPr>
                <w:rStyle w:val="2Zchn"/>
                <w:sz w:val="22"/>
                <w:szCs w:val="22"/>
              </w:rPr>
              <w:t>International</w:t>
            </w:r>
            <w:r>
              <w:rPr>
                <w:rStyle w:val="TagMiZchn"/>
                <w:bCs/>
              </w:rPr>
              <w:t xml:space="preserve"> </w:t>
            </w:r>
          </w:p>
          <w:p>
            <w:pPr>
              <w:pStyle w:val="Liste2"/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14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</w:pPr>
            <w:proofErr w:type="spellStart"/>
            <w:r>
              <w:t>Weltweit</w:t>
            </w:r>
            <w:proofErr w:type="spellEnd"/>
            <w:r>
              <w:t xml:space="preserve">: </w:t>
            </w:r>
            <w:proofErr w:type="spellStart"/>
            <w:r>
              <w:t>Fälle</w:t>
            </w:r>
            <w:proofErr w:type="spellEnd"/>
            <w:r>
              <w:t xml:space="preserve">, </w:t>
            </w:r>
            <w:proofErr w:type="spellStart"/>
            <w:r>
              <w:t>Todesfälle</w:t>
            </w:r>
            <w:proofErr w:type="spellEnd"/>
          </w:p>
          <w:p>
            <w:pPr>
              <w:pStyle w:val="Liste2"/>
            </w:pPr>
            <w:proofErr w:type="spellStart"/>
            <w:r>
              <w:t>Datenstand</w:t>
            </w:r>
            <w:proofErr w:type="spellEnd"/>
            <w:r>
              <w:t>: WHO, 19.04.2023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Zahl der gemeldeten neuen Fälle und Todesfälle rückläufig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Einweisungen in die Intensivstation rückläufig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Indien und Südostasien:</w:t>
            </w:r>
          </w:p>
          <w:p>
            <w:pPr>
              <w:pStyle w:val="Liste2"/>
              <w:numPr>
                <w:ilvl w:val="1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Nach wie vor signifikanter Anstieg der neu gemeldeten Fälle und Todesfälle</w:t>
            </w:r>
          </w:p>
          <w:p>
            <w:pPr>
              <w:pStyle w:val="Liste2"/>
            </w:pPr>
            <w:proofErr w:type="spellStart"/>
            <w:r>
              <w:t>Indien</w:t>
            </w:r>
            <w:proofErr w:type="spellEnd"/>
            <w:r>
              <w:t xml:space="preserve">: </w:t>
            </w:r>
          </w:p>
          <w:p>
            <w:pPr>
              <w:pStyle w:val="Liste3"/>
            </w:pPr>
            <w:r>
              <w:t>gehört zu den Ländern, die in letzter Zeit einen Anstieg der Fälle, Krankenhausaufenthalte und Todesfälle aufgrund von XBB.1.16 zu verzeichnen hatten</w:t>
            </w:r>
          </w:p>
          <w:p>
            <w:pPr>
              <w:pStyle w:val="Liste3"/>
            </w:pPr>
            <w:r>
              <w:t>Allerdings sind die aktuellen Zahlen deutlich niedriger als bei früheren Wellen. Dies kann nach Einschätzung der WHO teilweise auf die erhöhte Immunität der Bevölkerung zurückgeführt werden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Rekombinante XBB.1.16 Risikobewertung WHO: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XBB.1.16 als VOI ausgewiesen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Die WHO schätzt das Risiko durch die XBB.1.16-Sublinie als gering ein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Bis zum 17. April 2023 wurden 3.648 Sequenzen der Variante Omikron XBB.1.16 aus 33 Ländern gemeldet, die meisten aus Indien (2.314), USA (396) und Singapur (250)</w:t>
            </w:r>
          </w:p>
          <w:p>
            <w:pPr>
              <w:pStyle w:val="Liste2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In KW13 (27.03. - 02.04.2023) lag die globale Prävalenz von XBB.1.16 bei 4,15 % (KW9: 0,52%)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  <w:p>
            <w:pPr>
              <w:pStyle w:val="2"/>
            </w:pPr>
            <w:r>
              <w:t xml:space="preserve">National 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Fallzahlen, Todesfälle, Trend, Folien </w:t>
            </w:r>
            <w:hyperlink r:id="rId15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 xml:space="preserve">SurvNet übermittelt: SurvNet übermittelt: 38.398.881 (+2.422), davon 172.761 (+126) Todesfälle </w:t>
            </w:r>
          </w:p>
          <w:p>
            <w:pPr>
              <w:pStyle w:val="Liste2"/>
            </w:pPr>
            <w:r>
              <w:t xml:space="preserve">7-Tage-Inzidenz:  11,4/100.000 </w:t>
            </w:r>
            <w:proofErr w:type="spellStart"/>
            <w:r>
              <w:t>Einw</w:t>
            </w:r>
            <w:proofErr w:type="spellEnd"/>
            <w:r>
              <w:t>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Impfmonitoring: Geimpfte mit 1. Dosis 64.876.323 (77,9%), mit vollständiger Impfung 63.563.065(76,4%)</w:t>
            </w:r>
          </w:p>
          <w:p>
            <w:pPr>
              <w:pStyle w:val="Liste2"/>
            </w:pPr>
            <w:proofErr w:type="spellStart"/>
            <w:r>
              <w:t>Hospitalisierungsinzidenz</w:t>
            </w:r>
            <w:proofErr w:type="spellEnd"/>
            <w:r>
              <w:t xml:space="preserve"> </w:t>
            </w:r>
            <w:proofErr w:type="spellStart"/>
            <w:r>
              <w:t>weiterhin</w:t>
            </w:r>
            <w:proofErr w:type="spellEnd"/>
            <w:r>
              <w:t xml:space="preserve"> </w:t>
            </w:r>
            <w:proofErr w:type="spellStart"/>
            <w:r>
              <w:t>rückläufig</w:t>
            </w:r>
            <w:proofErr w:type="spellEnd"/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Verlauf der 7-Tage-Inzidenz der Bundesländer:</w:t>
            </w:r>
          </w:p>
          <w:p>
            <w:pPr>
              <w:pStyle w:val="Liste3"/>
            </w:pPr>
            <w:r>
              <w:t>Rückgang in allen BL und allen Altersgruppen</w:t>
            </w:r>
          </w:p>
          <w:p>
            <w:pPr>
              <w:pStyle w:val="Liste3"/>
              <w:numPr>
                <w:ilvl w:val="0"/>
                <w:numId w:val="10"/>
              </w:numPr>
              <w:ind w:left="766" w:firstLine="314"/>
            </w:pPr>
            <w:r>
              <w:t>Rückgang Hospitalisierungsinzidenz in allen BL</w:t>
            </w:r>
          </w:p>
          <w:p>
            <w:pPr>
              <w:pStyle w:val="Liste2"/>
              <w:rPr>
                <w:b/>
                <w:bCs/>
                <w:i/>
                <w:color w:val="D99594" w:themeColor="accent2" w:themeTint="99"/>
                <w:lang w:val="de-DE"/>
              </w:rPr>
            </w:pPr>
            <w:r>
              <w:rPr>
                <w:rStyle w:val="3Zchn"/>
                <w:b w:val="0"/>
                <w:lang w:val="de-DE"/>
              </w:rPr>
              <w:t>Alle Landkreise haben eine 7-Tages Inzidenz unter 50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Rückläufige Tendenz bei Todesfällen, Gesamtsterblichkeit auf Niveau der Vorjahre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Erlass vom BMG: RKI-Stellungnahme zu Übersterblichkeit im Jahr 2022 verglichen mit Zeitraum 2015-2019. Antwort wird heute eingereicht.</w:t>
            </w:r>
          </w:p>
          <w:p>
            <w:pPr>
              <w:pStyle w:val="Liste2"/>
              <w:rPr>
                <w:lang w:val="de-DE"/>
              </w:rPr>
            </w:pPr>
            <w:r>
              <w:rPr>
                <w:lang w:val="de-DE"/>
              </w:rPr>
              <w:t>Aktuell ist die Übersterblichkeit nicht auffällig</w:t>
            </w:r>
          </w:p>
          <w:p>
            <w:pPr>
              <w:pStyle w:val="Liste2"/>
              <w:numPr>
                <w:ilvl w:val="0"/>
                <w:numId w:val="0"/>
              </w:numPr>
              <w:ind w:left="473"/>
              <w:rPr>
                <w:rStyle w:val="3Zchn"/>
                <w:b w:val="0"/>
                <w:lang w:val="de-DE"/>
              </w:rPr>
            </w:pPr>
          </w:p>
          <w:p>
            <w:pPr>
              <w:pStyle w:val="Liste2"/>
            </w:pPr>
            <w:r>
              <w:lastRenderedPageBreak/>
              <w:t xml:space="preserve">ARS-Daten 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Folien</w:t>
            </w:r>
            <w:hyperlink r:id="rId16" w:history="1">
              <w:r>
                <w:rPr>
                  <w:rStyle w:val="Hyperlink"/>
                  <w:lang w:val="de-DE"/>
                </w:rPr>
                <w:t xml:space="preserve"> hier</w:t>
              </w:r>
            </w:hyperlink>
            <w:r>
              <w:rPr>
                <w:lang w:val="de-DE"/>
              </w:rPr>
              <w:t xml:space="preserve"> , Datenstand vom 13.04.  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In den letzten 12 Kalenderwochen (2023-W3-2023-W14). In diesem Zeitraum wurden 1.309.557 Testungen mit Ergebnis von insgesamt 75 teilnehmenden Laboren übermittelt. Hiervon waren 280.419 (21.4%) positiv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Die Anzahl positiv Getesteter ist über alle Altersgruppen hinweg rückläufig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 xml:space="preserve">Ausbrüche in medizinischen Behandlungseinrichtungen und Alten- und Pflegeheimen (Folien </w:t>
            </w:r>
            <w:hyperlink r:id="rId17" w:history="1">
              <w:r>
                <w:rPr>
                  <w:rStyle w:val="Hyperlink"/>
                  <w:lang w:val="de-DE"/>
                </w:rPr>
                <w:t>hier</w:t>
              </w:r>
            </w:hyperlink>
            <w:r>
              <w:rPr>
                <w:lang w:val="de-DE"/>
              </w:rPr>
              <w:t>)</w:t>
            </w:r>
          </w:p>
          <w:p>
            <w:pPr>
              <w:pStyle w:val="Liste2"/>
              <w:numPr>
                <w:ilvl w:val="1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Zahlen gehen soweit zurück, dass es schwer ist noch valide Trends abzuleiten</w:t>
            </w:r>
          </w:p>
          <w:p>
            <w:pPr>
              <w:pStyle w:val="Liste2"/>
              <w:numPr>
                <w:ilvl w:val="1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Darstellungen könnten aus dem Wochenbericht genommen werden</w:t>
            </w:r>
          </w:p>
          <w:p>
            <w:pPr>
              <w:pStyle w:val="Liste2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 xml:space="preserve">Aktuelle Daten zu bakt. Infektionen aus ARS, </w:t>
            </w:r>
            <w:r>
              <w:rPr>
                <w:lang w:val="de-DE"/>
              </w:rPr>
              <w:br/>
              <w:t xml:space="preserve">v.a. Pneumokokken (Folien </w:t>
            </w:r>
            <w:hyperlink r:id="rId18" w:history="1">
              <w:r>
                <w:rPr>
                  <w:rStyle w:val="Hyperlink"/>
                  <w:lang w:val="de-DE"/>
                </w:rPr>
                <w:t>hier</w:t>
              </w:r>
            </w:hyperlink>
            <w:r>
              <w:rPr>
                <w:lang w:val="de-DE"/>
              </w:rPr>
              <w:t>)</w:t>
            </w:r>
          </w:p>
          <w:p>
            <w:pPr>
              <w:pStyle w:val="Liste2"/>
              <w:numPr>
                <w:ilvl w:val="1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Bei Pneumokokken und v.a. bei Gruppe A Streptokokken ein nie zuvor gemessenes Level erreicht. Empfehlungen werden abgeleitet.</w:t>
            </w:r>
          </w:p>
          <w:p>
            <w:pPr>
              <w:pStyle w:val="Liste2"/>
            </w:pPr>
            <w:r>
              <w:t>VOC-Bericht</w:t>
            </w:r>
          </w:p>
          <w:p>
            <w:pPr>
              <w:pStyle w:val="Liste2"/>
              <w:numPr>
                <w:ilvl w:val="0"/>
                <w:numId w:val="14"/>
              </w:numPr>
              <w:rPr>
                <w:rStyle w:val="Hyperlink"/>
                <w:color w:val="auto"/>
                <w:u w:val="none"/>
              </w:rPr>
            </w:pPr>
            <w:proofErr w:type="spellStart"/>
            <w:r>
              <w:t>Folien</w:t>
            </w:r>
            <w:proofErr w:type="spellEnd"/>
            <w:r>
              <w:t xml:space="preserve">  </w:t>
            </w:r>
            <w:hyperlink r:id="rId19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numPr>
                <w:ilvl w:val="0"/>
                <w:numId w:val="14"/>
              </w:numPr>
              <w:rPr>
                <w:lang w:val="de-DE"/>
              </w:rPr>
            </w:pPr>
            <w:r>
              <w:rPr>
                <w:lang w:val="de-DE"/>
              </w:rPr>
              <w:t>XBB.1.16 jetzt als VOI eingestuft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XBB1(83%) und Sublinien dominierend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Anzahl übermittelter Sequenzen fallend, Labore stellen Kapazitäten um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Blick auf die Sublinien: XBB.1.16. zeigt hier kein großes Wachstum (insges. nur 24 Nachweise)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Zukünftige Berichterstattung soll aggregiert über Zeitraum von 28 Tagen erfolgen („</w:t>
            </w:r>
            <w:proofErr w:type="spellStart"/>
            <w:r>
              <w:rPr>
                <w:lang w:val="de-DE"/>
              </w:rPr>
              <w:t>Sliding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Window</w:t>
            </w:r>
            <w:proofErr w:type="spellEnd"/>
            <w:r>
              <w:rPr>
                <w:lang w:val="de-DE"/>
              </w:rPr>
              <w:t>“). Ab KW 19 monatliche Berichterstattung im Rahmen des Wochenberichts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Zukünftige Übermittlung von SARS-CoV-2 Sequenzen</w:t>
            </w:r>
            <w:r>
              <w:rPr>
                <w:lang w:val="de-DE"/>
              </w:rPr>
              <w:br/>
              <w:t>Abschaltung von DESH zum 31.05., danach Hauptquelle Labornetzwerk (ca. 400 Sequenzen pro Monat)</w:t>
            </w:r>
          </w:p>
          <w:p>
            <w:pPr>
              <w:pStyle w:val="Liste2"/>
            </w:pPr>
            <w:proofErr w:type="spellStart"/>
            <w:r>
              <w:t>Molekulare</w:t>
            </w:r>
            <w:proofErr w:type="spellEnd"/>
            <w:r>
              <w:t xml:space="preserve"> Surveillance </w:t>
            </w:r>
          </w:p>
          <w:p>
            <w:pPr>
              <w:pStyle w:val="Liste2"/>
            </w:pPr>
            <w:r>
              <w:t>(nicht berichtet)</w:t>
            </w:r>
          </w:p>
          <w:p>
            <w:pPr>
              <w:pStyle w:val="Liste2"/>
              <w:rPr>
                <w:rStyle w:val="TagMiZchn"/>
                <w:b w:val="0"/>
                <w:i w:val="0"/>
                <w:color w:val="auto"/>
              </w:rPr>
            </w:pPr>
            <w:r>
              <w:t>Syndromische Surveillance</w:t>
            </w:r>
            <w:r>
              <w:rPr>
                <w:rStyle w:val="TagMiZchn"/>
              </w:rPr>
              <w:t xml:space="preserve"> </w:t>
            </w:r>
          </w:p>
          <w:p>
            <w:pPr>
              <w:pStyle w:val="Liste2"/>
              <w:numPr>
                <w:ilvl w:val="0"/>
                <w:numId w:val="15"/>
              </w:numPr>
            </w:pPr>
            <w:proofErr w:type="spellStart"/>
            <w:r>
              <w:t>Folien</w:t>
            </w:r>
            <w:proofErr w:type="spellEnd"/>
            <w:r>
              <w:t xml:space="preserve"> </w:t>
            </w:r>
            <w:hyperlink r:id="rId20" w:history="1">
              <w:proofErr w:type="spellStart"/>
              <w:r>
                <w:rPr>
                  <w:rStyle w:val="Hyperlink"/>
                </w:rPr>
                <w:t>hier</w:t>
              </w:r>
              <w:proofErr w:type="spellEnd"/>
            </w:hyperlink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Rückgang der ARE Raten auf 4,1 Mio. (4,9%) in KW16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ARE-gesamt seit Jahreswechsel im oberen Wertebereich der vorpandemischen Jahre,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KonsInz</w:t>
            </w:r>
            <w:proofErr w:type="spellEnd"/>
            <w:r>
              <w:rPr>
                <w:lang w:val="de-DE"/>
              </w:rPr>
              <w:t xml:space="preserve"> in KW 16/2023 im Vergleich zur Vorwoche stabil geblieben (1153; Vorwoche:1.157); Plateau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In KW 16 Rückgang in allen Altersgruppen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SARI-Fallzahlen in der 13. und 14. KW zurückgegangen und weiterhin auf niedrigem Niveau; rückläufige Tendenz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 xml:space="preserve">Diagnosecodes bei SARI-Fällen: Influenza überwiegend </w:t>
            </w:r>
          </w:p>
          <w:p>
            <w:pPr>
              <w:pStyle w:val="Liste2"/>
              <w:numPr>
                <w:ilvl w:val="0"/>
                <w:numId w:val="0"/>
              </w:numPr>
              <w:ind w:left="1193"/>
              <w:rPr>
                <w:lang w:val="de-DE"/>
              </w:rPr>
            </w:pPr>
            <w:r>
              <w:rPr>
                <w:lang w:val="de-DE"/>
              </w:rPr>
              <w:t>bei den und 5-14-Jährigen und den 15- bis 34-Jährigen</w:t>
            </w:r>
          </w:p>
          <w:p>
            <w:pPr>
              <w:pStyle w:val="Liste2"/>
              <w:numPr>
                <w:ilvl w:val="0"/>
                <w:numId w:val="0"/>
              </w:numPr>
              <w:ind w:left="1193"/>
              <w:rPr>
                <w:lang w:val="de-DE"/>
              </w:rPr>
            </w:pPr>
            <w:r>
              <w:rPr>
                <w:lang w:val="de-DE"/>
              </w:rPr>
              <w:t>COVID vorwiegend bei über 35-Jährigen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>COVID-SARI Hospitalisierungsinzidenz:</w:t>
            </w:r>
          </w:p>
          <w:p>
            <w:pPr>
              <w:pStyle w:val="Liste2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Rückgang seit KW 11/2023 auf 1,5 je 100T in KW 16</w:t>
            </w:r>
          </w:p>
          <w:p>
            <w:pPr>
              <w:pStyle w:val="Liste2"/>
              <w:numPr>
                <w:ilvl w:val="0"/>
                <w:numId w:val="0"/>
              </w:numPr>
              <w:ind w:left="1193"/>
              <w:rPr>
                <w:i/>
                <w:lang w:val="de-DE"/>
              </w:rPr>
            </w:pPr>
            <w:r>
              <w:rPr>
                <w:i/>
                <w:lang w:val="de-DE"/>
              </w:rPr>
              <w:t>Diskussion:</w:t>
            </w:r>
          </w:p>
          <w:p>
            <w:pPr>
              <w:pStyle w:val="Liste2"/>
              <w:numPr>
                <w:ilvl w:val="0"/>
                <w:numId w:val="0"/>
              </w:numPr>
              <w:ind w:left="1193"/>
              <w:rPr>
                <w:lang w:val="de-DE"/>
              </w:rPr>
            </w:pPr>
            <w:r>
              <w:rPr>
                <w:lang w:val="de-DE"/>
              </w:rPr>
              <w:t>Wird weiterhin in den Krankenhäusern getestet?</w:t>
            </w:r>
          </w:p>
          <w:p>
            <w:pPr>
              <w:pStyle w:val="Liste2"/>
              <w:numPr>
                <w:ilvl w:val="0"/>
                <w:numId w:val="0"/>
              </w:numPr>
              <w:ind w:left="1193"/>
              <w:rPr>
                <w:lang w:val="de-DE"/>
              </w:rPr>
            </w:pPr>
            <w:r>
              <w:rPr>
                <w:lang w:val="de-DE"/>
              </w:rPr>
              <w:t>Antwort: Nach Auskunft unseres Kooperationspartners wird noch umfassend getestet. Vorwiegend per Schnelltest als PCR-Test.</w:t>
            </w:r>
          </w:p>
          <w:p>
            <w:pPr>
              <w:pStyle w:val="Liste2"/>
              <w:rPr>
                <w:i/>
                <w:color w:val="D99594" w:themeColor="accent2" w:themeTint="99"/>
                <w:lang w:val="de-DE"/>
              </w:rPr>
            </w:pPr>
            <w:r>
              <w:rPr>
                <w:lang w:val="de-DE"/>
              </w:rPr>
              <w:t xml:space="preserve">Virologische Surveillance, NRZ Influenza-Daten </w:t>
            </w:r>
          </w:p>
          <w:p>
            <w:pPr>
              <w:pStyle w:val="Liste2"/>
              <w:numPr>
                <w:ilvl w:val="0"/>
                <w:numId w:val="16"/>
              </w:numPr>
              <w:rPr>
                <w:rStyle w:val="TagMiZchn"/>
                <w:b w:val="0"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i w:val="0"/>
                <w:color w:val="auto"/>
                <w:lang w:val="de-DE"/>
              </w:rPr>
              <w:t xml:space="preserve">Folien </w:t>
            </w:r>
            <w:hyperlink r:id="rId21" w:history="1">
              <w:r>
                <w:rPr>
                  <w:rStyle w:val="Hyperlink"/>
                  <w:lang w:val="de-DE"/>
                </w:rPr>
                <w:t>hier</w:t>
              </w:r>
            </w:hyperlink>
            <w:r>
              <w:rPr>
                <w:rStyle w:val="TagMiZchn"/>
                <w:b w:val="0"/>
                <w:i w:val="0"/>
                <w:color w:val="auto"/>
                <w:lang w:val="de-DE"/>
              </w:rPr>
              <w:t xml:space="preserve"> (ab Folie 15)</w:t>
            </w:r>
          </w:p>
          <w:p>
            <w:pPr>
              <w:pStyle w:val="Liste2"/>
              <w:numPr>
                <w:ilvl w:val="0"/>
                <w:numId w:val="13"/>
              </w:numPr>
              <w:rPr>
                <w:lang w:val="de-DE"/>
              </w:rPr>
            </w:pPr>
            <w:r>
              <w:rPr>
                <w:lang w:val="de-DE"/>
              </w:rPr>
              <w:t>Coronaviren: 3% Sars-CoV-2 – kein Unterschied mehr zu anderen endemischen Coronaviren</w:t>
            </w:r>
          </w:p>
          <w:p>
            <w:pPr>
              <w:pStyle w:val="Liste2"/>
              <w:numPr>
                <w:ilvl w:val="0"/>
                <w:numId w:val="13"/>
              </w:numPr>
              <w:rPr>
                <w:lang w:val="de-DE"/>
              </w:rPr>
            </w:pPr>
            <w:r>
              <w:rPr>
                <w:lang w:val="de-DE"/>
              </w:rPr>
              <w:t>3% NL63, 3% 229E, 2% HKU1, OC43 – nicht nachgewiesen</w:t>
            </w:r>
          </w:p>
          <w:p>
            <w:pPr>
              <w:pStyle w:val="Liste2"/>
              <w:numPr>
                <w:ilvl w:val="0"/>
                <w:numId w:val="13"/>
              </w:numPr>
              <w:rPr>
                <w:lang w:val="de-DE"/>
              </w:rPr>
            </w:pPr>
            <w:r>
              <w:rPr>
                <w:lang w:val="de-DE"/>
              </w:rPr>
              <w:t xml:space="preserve">Influenzaviren: B/Victoria: Einzige nachgewiesene </w:t>
            </w:r>
            <w:proofErr w:type="spellStart"/>
            <w:r>
              <w:rPr>
                <w:lang w:val="de-DE"/>
              </w:rPr>
              <w:t>Influenziaviren</w:t>
            </w:r>
            <w:proofErr w:type="spellEnd"/>
            <w:r>
              <w:rPr>
                <w:lang w:val="de-DE"/>
              </w:rPr>
              <w:t>, 9% (drittstärkstes Virus im Sentinel), Trend rückläufig</w:t>
            </w:r>
          </w:p>
          <w:p>
            <w:pPr>
              <w:pStyle w:val="Liste2"/>
              <w:numPr>
                <w:ilvl w:val="0"/>
                <w:numId w:val="13"/>
              </w:numPr>
              <w:rPr>
                <w:lang w:val="de-DE"/>
              </w:rPr>
            </w:pPr>
            <w:r>
              <w:rPr>
                <w:lang w:val="de-DE"/>
              </w:rPr>
              <w:t>Sonstige Viren: Rhino: 16%, PIV: 13%, HMPV:4%, RSV: 0%</w:t>
            </w:r>
          </w:p>
          <w:p>
            <w:pPr>
              <w:pStyle w:val="Liste2"/>
              <w:rPr>
                <w:bCs/>
                <w:i/>
                <w:color w:val="D99594" w:themeColor="accent2" w:themeTint="99"/>
                <w:lang w:val="de-DE"/>
              </w:rPr>
            </w:pPr>
            <w:r>
              <w:rPr>
                <w:lang w:val="de-DE"/>
              </w:rPr>
              <w:t xml:space="preserve">Zahlen zum DIVI-Intensivregister </w:t>
            </w:r>
          </w:p>
          <w:p>
            <w:pPr>
              <w:pStyle w:val="Liste2"/>
              <w:numPr>
                <w:ilvl w:val="0"/>
                <w:numId w:val="16"/>
              </w:numPr>
              <w:rPr>
                <w:rStyle w:val="Hyperlink"/>
                <w:color w:val="auto"/>
                <w:u w:val="none"/>
                <w:lang w:val="de-DE"/>
              </w:rPr>
            </w:pPr>
            <w:r>
              <w:rPr>
                <w:rStyle w:val="TagMiZchn"/>
                <w:b w:val="0"/>
                <w:i w:val="0"/>
                <w:color w:val="auto"/>
                <w:lang w:val="de-DE"/>
              </w:rPr>
              <w:t xml:space="preserve">Folien </w:t>
            </w:r>
            <w:hyperlink r:id="rId22" w:history="1">
              <w:r>
                <w:rPr>
                  <w:rStyle w:val="Hyperlink"/>
                  <w:lang w:val="de-DE"/>
                </w:rPr>
                <w:t>hier</w:t>
              </w:r>
            </w:hyperlink>
          </w:p>
          <w:p>
            <w:pPr>
              <w:pStyle w:val="Liste2"/>
              <w:numPr>
                <w:ilvl w:val="0"/>
                <w:numId w:val="16"/>
              </w:numPr>
              <w:rPr>
                <w:rStyle w:val="TagMiZchn"/>
                <w:b w:val="0"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i w:val="0"/>
                <w:color w:val="auto"/>
                <w:lang w:val="de-DE"/>
              </w:rPr>
              <w:t>Mit Stand 26.04.2023 werden 544 COVID-19-Patient*innen auf Intensivstationen (der ca. 1.300 Akutkrankenhäuser) behandelt</w:t>
            </w:r>
          </w:p>
          <w:p>
            <w:pPr>
              <w:pStyle w:val="Liste2"/>
              <w:numPr>
                <w:ilvl w:val="0"/>
                <w:numId w:val="16"/>
              </w:numPr>
              <w:rPr>
                <w:rStyle w:val="TagMiZchn"/>
                <w:b w:val="0"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i w:val="0"/>
                <w:color w:val="auto"/>
                <w:lang w:val="de-DE"/>
              </w:rPr>
              <w:t>Stete Reduktion in der COVID-ITS-Belegung</w:t>
            </w:r>
          </w:p>
          <w:p>
            <w:pPr>
              <w:pStyle w:val="Liste2"/>
              <w:numPr>
                <w:ilvl w:val="0"/>
                <w:numId w:val="16"/>
              </w:numPr>
              <w:rPr>
                <w:rStyle w:val="TagMiZchn"/>
                <w:b w:val="0"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i w:val="0"/>
                <w:color w:val="auto"/>
                <w:lang w:val="de-DE"/>
              </w:rPr>
              <w:t>ITS-COVID-Neuaufnahmen mit +378 in den letzten 7 Tagen</w:t>
            </w:r>
          </w:p>
          <w:p>
            <w:pPr>
              <w:pStyle w:val="Liste2"/>
              <w:numPr>
                <w:ilvl w:val="0"/>
                <w:numId w:val="16"/>
              </w:numPr>
              <w:rPr>
                <w:rStyle w:val="TagMiZchn"/>
                <w:b w:val="0"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i w:val="0"/>
                <w:color w:val="auto"/>
                <w:lang w:val="de-DE"/>
              </w:rPr>
              <w:t>Anzahl der Verstorbenen auf ITS (pro Tag) weiterhin moderat / gering.</w:t>
            </w:r>
          </w:p>
          <w:p>
            <w:pPr>
              <w:pStyle w:val="Liste2"/>
              <w:numPr>
                <w:ilvl w:val="0"/>
                <w:numId w:val="16"/>
              </w:numPr>
              <w:rPr>
                <w:rStyle w:val="TagMiZchn"/>
                <w:b w:val="0"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i w:val="0"/>
                <w:color w:val="auto"/>
                <w:lang w:val="de-DE"/>
              </w:rPr>
              <w:t>Gesamtzahl der Intensivbetten in allen BL zwischen 1-5%</w:t>
            </w:r>
          </w:p>
          <w:p>
            <w:pPr>
              <w:pStyle w:val="Liste2"/>
              <w:numPr>
                <w:ilvl w:val="0"/>
                <w:numId w:val="16"/>
              </w:numPr>
              <w:rPr>
                <w:rStyle w:val="TagMiZchn"/>
                <w:b w:val="0"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i w:val="0"/>
                <w:color w:val="auto"/>
                <w:lang w:val="de-DE"/>
              </w:rPr>
              <w:t>Nach Altersgruppen: 70-79-Jährige dominierend, danach 80+</w:t>
            </w:r>
          </w:p>
          <w:p>
            <w:pPr>
              <w:pStyle w:val="Liste2"/>
              <w:numPr>
                <w:ilvl w:val="0"/>
                <w:numId w:val="16"/>
              </w:numPr>
              <w:rPr>
                <w:rStyle w:val="TagMiZchn"/>
                <w:b w:val="0"/>
                <w:i w:val="0"/>
                <w:color w:val="auto"/>
                <w:lang w:val="de-DE"/>
              </w:rPr>
            </w:pPr>
            <w:r>
              <w:rPr>
                <w:rStyle w:val="TagMiZchn"/>
                <w:b w:val="0"/>
                <w:i w:val="0"/>
                <w:color w:val="auto"/>
                <w:lang w:val="de-DE"/>
              </w:rPr>
              <w:t>Nach Behandlungsformen: Rückgang in allen Arten</w:t>
            </w:r>
          </w:p>
          <w:p>
            <w:pPr>
              <w:pStyle w:val="Liste2"/>
              <w:numPr>
                <w:ilvl w:val="0"/>
                <w:numId w:val="16"/>
              </w:numPr>
              <w:rPr>
                <w:lang w:val="de-DE"/>
              </w:rPr>
            </w:pPr>
            <w:r>
              <w:rPr>
                <w:rStyle w:val="TagMiZchn"/>
                <w:b w:val="0"/>
                <w:i w:val="0"/>
                <w:color w:val="auto"/>
                <w:lang w:val="de-DE"/>
              </w:rPr>
              <w:t>Kapazitätsbelegung der Non-COVID-Erwachsenen: Abnahme der Belegung auf Normalniveau, dadurch freie Kapazitäten wieder angestiegen.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  <w:p>
            <w:pPr>
              <w:pStyle w:val="Liste2"/>
              <w:numPr>
                <w:ilvl w:val="0"/>
                <w:numId w:val="17"/>
              </w:numPr>
            </w:pPr>
            <w:r>
              <w:t>Diskussion</w:t>
            </w:r>
          </w:p>
          <w:p>
            <w:pPr>
              <w:pStyle w:val="Liste2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 xml:space="preserve">Der Minister hat Anfang April die </w:t>
            </w:r>
            <w:hyperlink r:id="rId23" w:history="1">
              <w:r>
                <w:rPr>
                  <w:rStyle w:val="Hyperlink"/>
                  <w:lang w:val="de-DE"/>
                </w:rPr>
                <w:t>Pandemie für Deutschland für beendet erklärt</w:t>
              </w:r>
            </w:hyperlink>
            <w:r>
              <w:rPr>
                <w:lang w:val="de-DE"/>
              </w:rPr>
              <w:t xml:space="preserve">. Wie gehen wir mit dem Begriff Pandemie in Bezug auf Deutschland um? </w:t>
            </w:r>
          </w:p>
          <w:p>
            <w:pPr>
              <w:pStyle w:val="Liste2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Ggf. Nutzung des Begriffs postpandemische Phase, Abklärung notwendig</w:t>
            </w:r>
          </w:p>
          <w:p>
            <w:pPr>
              <w:pStyle w:val="Liste2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Solange Tedros Pandemie nicht für beendet erklärt hat, sind wir in einer Pandemie, da Pandemie weltweit. Es gibt kein landesspezifisches Ende einer weltweiten Pandemie</w:t>
            </w:r>
          </w:p>
          <w:p>
            <w:pPr>
              <w:pStyle w:val="Liste2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 xml:space="preserve">Bevor die Pandemie beendet wird, könnte überlegt werden, die Risikobewertung auf niedrig zu setzen. </w:t>
            </w:r>
            <w:proofErr w:type="spellStart"/>
            <w:r>
              <w:rPr>
                <w:lang w:val="de-DE"/>
              </w:rPr>
              <w:t>Ggf</w:t>
            </w:r>
            <w:proofErr w:type="spellEnd"/>
            <w:r>
              <w:rPr>
                <w:lang w:val="de-DE"/>
              </w:rPr>
              <w:t>, Thema für die nächste Lage-AG. Abstimmung mit BMG notwendig</w:t>
            </w:r>
          </w:p>
          <w:p>
            <w:pPr>
              <w:pStyle w:val="Liste2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Formale Orientierung an WHO sinnvoll</w:t>
            </w:r>
          </w:p>
          <w:p>
            <w:pPr>
              <w:pStyle w:val="Liste2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Datenaggregation für den VOC Bericht wird mit MF2 abgestimmt</w:t>
            </w:r>
          </w:p>
          <w:p>
            <w:pPr>
              <w:pStyle w:val="Liste2"/>
              <w:numPr>
                <w:ilvl w:val="0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>Warum kann man den technischen Weg des DESH nicht weiterhin noch offenhalten /nutzen?</w:t>
            </w:r>
          </w:p>
          <w:p>
            <w:pPr>
              <w:pStyle w:val="Liste2"/>
              <w:numPr>
                <w:ilvl w:val="1"/>
                <w:numId w:val="20"/>
              </w:numPr>
              <w:rPr>
                <w:lang w:val="de-DE"/>
              </w:rPr>
            </w:pPr>
            <w:r>
              <w:rPr>
                <w:lang w:val="de-DE"/>
              </w:rPr>
              <w:t>Aus ökonomischen Gründen: Es ist zu teuer /ineffizient.</w:t>
            </w:r>
          </w:p>
          <w:p>
            <w:pPr>
              <w:pStyle w:val="Liste2"/>
              <w:numPr>
                <w:ilvl w:val="0"/>
                <w:numId w:val="0"/>
              </w:numPr>
              <w:rPr>
                <w:lang w:val="de-DE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(Espelage)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FG32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(Diercke)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(Haller)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FG36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(Kröger)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FG36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(Buda)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FG17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(Dürrwald)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MF4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(Fischer)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Punkte für den Wochenbericht</w:t>
            </w:r>
          </w:p>
          <w:p>
            <w:pPr>
              <w:pStyle w:val="1"/>
              <w:numPr>
                <w:ilvl w:val="0"/>
                <w:numId w:val="29"/>
              </w:numPr>
              <w:spacing w:before="240" w:after="0" w:line="24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Reduktion Inhalte des Wochenberichts und Änderungen in der Berichterstattung</w:t>
            </w:r>
          </w:p>
          <w:p>
            <w:pPr>
              <w:pStyle w:val="Listenabsatz"/>
              <w:numPr>
                <w:ilvl w:val="1"/>
                <w:numId w:val="29"/>
              </w:numPr>
              <w:spacing w:befor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Wegfall Inhalte zu Ausbrüchen in den Einrichtungen und VOC-Teil (bereits mit BMG abgestimmt)</w:t>
            </w:r>
          </w:p>
          <w:p>
            <w:pPr>
              <w:pStyle w:val="1"/>
              <w:numPr>
                <w:ilvl w:val="1"/>
                <w:numId w:val="29"/>
              </w:numPr>
              <w:spacing w:after="0" w:line="24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Vorschlag: Diese Inhalte heute noch mit einbringen mit einem Disclaimer, dass diese ab nächster Woche eingestellt werden</w:t>
            </w:r>
          </w:p>
          <w:p>
            <w:pPr>
              <w:pStyle w:val="1"/>
              <w:numPr>
                <w:ilvl w:val="1"/>
                <w:numId w:val="29"/>
              </w:numPr>
              <w:spacing w:after="0" w:line="24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Umfangreiches Kürzungspotential wird im gesamten Wochenbericht gesehen. Orientierung zu Monatsbericht. Sollte schrittweise erfolgen.</w:t>
            </w:r>
          </w:p>
          <w:p>
            <w:pPr>
              <w:pStyle w:val="1"/>
              <w:numPr>
                <w:ilvl w:val="1"/>
                <w:numId w:val="29"/>
              </w:numPr>
              <w:spacing w:after="0" w:line="24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Es wären noch 5 COVID-Wochenberichte (einschließl. in KW21) und dann ggf. ab 1.6. Monatsbericht.</w:t>
            </w:r>
          </w:p>
          <w:p>
            <w:pPr>
              <w:pStyle w:val="1"/>
              <w:numPr>
                <w:ilvl w:val="1"/>
                <w:numId w:val="29"/>
              </w:numPr>
              <w:spacing w:after="0" w:line="240" w:lineRule="auto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Vorstellungen von Kürzungspotential sollen kursiert und kommentiert werden</w:t>
            </w:r>
          </w:p>
          <w:p>
            <w:pPr>
              <w:pStyle w:val="1"/>
              <w:spacing w:after="0" w:line="240" w:lineRule="auto"/>
              <w:rPr>
                <w:b w:val="0"/>
                <w:sz w:val="22"/>
                <w:szCs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Update Impfen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  <w:numPr>
                <w:ilvl w:val="0"/>
                <w:numId w:val="0"/>
              </w:numPr>
            </w:pPr>
            <w:r>
              <w:t xml:space="preserve">Folien </w:t>
            </w:r>
            <w:hyperlink r:id="rId24" w:history="1">
              <w:r>
                <w:rPr>
                  <w:rStyle w:val="Hyperlink"/>
                </w:rPr>
                <w:t>hier</w:t>
              </w:r>
            </w:hyperlink>
          </w:p>
          <w:p>
            <w:pPr>
              <w:pStyle w:val="Liste1"/>
              <w:numPr>
                <w:ilvl w:val="0"/>
                <w:numId w:val="21"/>
              </w:numPr>
            </w:pPr>
            <w:r>
              <w:t xml:space="preserve">STIKO Empfehlung zu COVID-19 im </w:t>
            </w:r>
            <w:proofErr w:type="spellStart"/>
            <w:r>
              <w:t>Stellungnahmeverfahren</w:t>
            </w:r>
            <w:proofErr w:type="spellEnd"/>
          </w:p>
          <w:p>
            <w:pPr>
              <w:pStyle w:val="Liste1"/>
              <w:numPr>
                <w:ilvl w:val="1"/>
                <w:numId w:val="21"/>
              </w:numPr>
            </w:pPr>
            <w:r>
              <w:t>Aufnahme der COVID-19-Impfung in die allg. Impfempfehlungen</w:t>
            </w:r>
          </w:p>
          <w:p>
            <w:pPr>
              <w:pStyle w:val="Liste1"/>
              <w:numPr>
                <w:ilvl w:val="1"/>
                <w:numId w:val="21"/>
              </w:numPr>
            </w:pPr>
            <w:r>
              <w:t>Jährliche Auffrischimpfung für Risikogruppen</w:t>
            </w:r>
          </w:p>
          <w:p>
            <w:pPr>
              <w:pStyle w:val="Liste1"/>
              <w:numPr>
                <w:ilvl w:val="1"/>
                <w:numId w:val="21"/>
              </w:numPr>
            </w:pPr>
            <w:r>
              <w:t>Kinder und Jugendliche unter 18 Jahren:</w:t>
            </w:r>
          </w:p>
          <w:p>
            <w:pPr>
              <w:pStyle w:val="Liste1"/>
              <w:numPr>
                <w:ilvl w:val="0"/>
                <w:numId w:val="0"/>
              </w:numPr>
              <w:ind w:left="1440"/>
            </w:pPr>
            <w:r>
              <w:rPr>
                <w:sz w:val="24"/>
                <w:szCs w:val="24"/>
              </w:rPr>
              <w:t>Keine Impfempfehlung mehr</w:t>
            </w:r>
          </w:p>
          <w:p>
            <w:pPr>
              <w:pStyle w:val="Liste1"/>
              <w:numPr>
                <w:ilvl w:val="0"/>
                <w:numId w:val="21"/>
              </w:numPr>
              <w:rPr>
                <w:rStyle w:val="1Zchn"/>
                <w:b w:val="0"/>
                <w:sz w:val="22"/>
              </w:rPr>
            </w:pPr>
            <w:r>
              <w:t>Letzter Monatsbericht Impfen erscheint Anfang Mai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33 (Fischer-Fels)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Internationales</w:t>
            </w:r>
            <w:r>
              <w:rPr>
                <w:b/>
                <w:color w:val="FF0000"/>
              </w:rPr>
              <w:t xml:space="preserve"> </w:t>
            </w:r>
          </w:p>
          <w:p>
            <w:pPr>
              <w:pStyle w:val="Listenabsatz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(nicht berichtet)</w:t>
            </w:r>
          </w:p>
          <w:p/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ZIG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Update digitale Projekte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FG21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1Zchn"/>
              </w:rPr>
            </w:pPr>
            <w:r>
              <w:rPr>
                <w:rStyle w:val="1Zchn"/>
              </w:rPr>
              <w:t>Daten aus der Gesundheitsberichterstattung</w:t>
            </w:r>
          </w:p>
          <w:p>
            <w:pPr>
              <w:pStyle w:val="Listenabsatz"/>
              <w:numPr>
                <w:ilvl w:val="0"/>
                <w:numId w:val="2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Die Rolle von psychischer Resilienz und Bewältigungsstrategien für Pandemien und andere gesellschaftliche Krisen. Zusammenfassung bisheriger Ergebnisse, aktuelle Projekte und Ausblick auf zukünftige Vorhaben</w:t>
            </w:r>
          </w:p>
          <w:p>
            <w:pPr>
              <w:pStyle w:val="Listenabsatz"/>
              <w:numPr>
                <w:ilvl w:val="1"/>
                <w:numId w:val="23"/>
              </w:numPr>
              <w:spacing w:line="276" w:lineRule="auto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Folien </w:t>
            </w:r>
            <w:hyperlink r:id="rId25" w:history="1">
              <w:r>
                <w:rPr>
                  <w:rStyle w:val="Hyperlink"/>
                  <w:sz w:val="22"/>
                  <w:szCs w:val="22"/>
                </w:rPr>
                <w:t>hier</w:t>
              </w:r>
            </w:hyperlink>
          </w:p>
          <w:p>
            <w:pPr>
              <w:pStyle w:val="Listenabsatz"/>
              <w:numPr>
                <w:ilvl w:val="1"/>
                <w:numId w:val="23"/>
              </w:numPr>
              <w:spacing w:line="276" w:lineRule="auto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Resilienz im Rahmen der MHS als Kernindikator</w:t>
            </w:r>
          </w:p>
          <w:p>
            <w:pPr>
              <w:pStyle w:val="Listenabsatz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konsentiert – noch nicht in kontinuierliche nationale Surveillance implementiert</w:t>
            </w:r>
          </w:p>
          <w:p>
            <w:pPr>
              <w:pStyle w:val="Listenabsatz"/>
              <w:numPr>
                <w:ilvl w:val="1"/>
                <w:numId w:val="23"/>
              </w:numPr>
              <w:spacing w:line="276" w:lineRule="auto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Operationalisierung erfordert eine den Kontext berücksichtigende Einordnung</w:t>
            </w:r>
          </w:p>
          <w:p>
            <w:pPr>
              <w:pStyle w:val="Listenabsatz"/>
              <w:numPr>
                <w:ilvl w:val="1"/>
                <w:numId w:val="23"/>
              </w:numPr>
              <w:spacing w:line="276" w:lineRule="auto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Kaum bis keine Belastungsreaktion gegenüber einem Stressor (35-65%)</w:t>
            </w:r>
          </w:p>
          <w:p>
            <w:pPr>
              <w:pStyle w:val="Listenabsatz"/>
              <w:numPr>
                <w:ilvl w:val="1"/>
                <w:numId w:val="23"/>
              </w:numPr>
              <w:spacing w:line="276" w:lineRule="auto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Ergebnisse Zusammenfassung:</w:t>
            </w:r>
          </w:p>
          <w:p>
            <w:pPr>
              <w:pStyle w:val="Listenabsatz"/>
              <w:numPr>
                <w:ilvl w:val="1"/>
                <w:numId w:val="2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Prototypische Verlaufsmuster auch während der COVID-19 Pandemie, Anteil resiliente Gruppe jedoch </w:t>
            </w:r>
            <w:proofErr w:type="spellStart"/>
            <w:r>
              <w:rPr>
                <w:sz w:val="22"/>
                <w:szCs w:val="22"/>
              </w:rPr>
              <w:t>vglw</w:t>
            </w:r>
            <w:proofErr w:type="spellEnd"/>
            <w:r>
              <w:rPr>
                <w:sz w:val="22"/>
                <w:szCs w:val="22"/>
              </w:rPr>
              <w:t>. gering</w:t>
            </w:r>
          </w:p>
          <w:p>
            <w:pPr>
              <w:pStyle w:val="Listenabsatz"/>
              <w:numPr>
                <w:ilvl w:val="1"/>
                <w:numId w:val="2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Bewährte Resilienzfaktoren (z.B. soziale Unterstützung, sportliche Aktivität) gleichermaßen relevant</w:t>
            </w:r>
          </w:p>
          <w:p>
            <w:pPr>
              <w:pStyle w:val="Listenabsatz"/>
              <w:numPr>
                <w:ilvl w:val="1"/>
                <w:numId w:val="2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Ausnahme: Positive Bewältigungsstrategien (z.B. positives Umdenken, Akzeptanz) besonders charakteristisch für resilientes Verlaufsmuster</w:t>
            </w:r>
          </w:p>
          <w:p>
            <w:pPr>
              <w:pStyle w:val="Listenabsatz"/>
              <w:numPr>
                <w:ilvl w:val="1"/>
                <w:numId w:val="2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Negativer Trend: Psychische Gesundheit/Wohlbefinden im Mittel über die Zeit gesunken, während ungünstige Bewältigungsstrategien (z.B. Verleugnung, Substanzkonsum) anstiegen</w:t>
            </w:r>
          </w:p>
          <w:p>
            <w:pPr>
              <w:pStyle w:val="Listenabsatz"/>
              <w:numPr>
                <w:ilvl w:val="1"/>
                <w:numId w:val="23"/>
              </w:num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Handlungsbedarf: Individuelle Maßnahmen (Strategien) und gesellschaftliche Maßnahmen (Angebote, Voraussetzungen, Setting)</w:t>
            </w:r>
          </w:p>
          <w:p>
            <w:pPr>
              <w:pStyle w:val="Listenabsatz"/>
              <w:numPr>
                <w:ilvl w:val="1"/>
                <w:numId w:val="23"/>
              </w:numPr>
              <w:spacing w:line="276" w:lineRule="auto"/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Ausblick: Längsschnittliche Forschung, Ableiten von Risikogruppen, kombinierte Forschung, Ableitung von konkreten Förderbedarfen</w:t>
            </w:r>
          </w:p>
          <w:p>
            <w:pPr>
              <w:pStyle w:val="Listenabsatz"/>
              <w:spacing w:line="276" w:lineRule="auto"/>
              <w:rPr>
                <w:rStyle w:val="1Zchn"/>
                <w:b w:val="0"/>
                <w:sz w:val="22"/>
                <w:szCs w:val="22"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Abt.2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Cohrdes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(FG 26)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Aktuelle Risikobewertung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rPr>
          <w:trHeight w:val="518"/>
        </w:trP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Kommunikation</w:t>
            </w:r>
          </w:p>
          <w:p>
            <w:pPr>
              <w:pStyle w:val="2"/>
            </w:pPr>
            <w:r>
              <w:t>BZgA</w:t>
            </w:r>
          </w:p>
          <w:p>
            <w:pPr>
              <w:pStyle w:val="Liste1"/>
            </w:pPr>
            <w:r>
              <w:t>Informationen Zusammen gegen Corona wurden am 5. April abgeschaltet und archiviert. Bis Ende des Jahres gelten Weiterleitungen zur Informationsseite Coronavirus von infektionsschutz.de</w:t>
            </w:r>
          </w:p>
          <w:p>
            <w:pPr>
              <w:pStyle w:val="2"/>
            </w:pPr>
            <w:r>
              <w:t>Presse</w:t>
            </w:r>
          </w:p>
          <w:p>
            <w:pPr>
              <w:pStyle w:val="Liste1"/>
            </w:pPr>
            <w:r>
              <w:t>Tägliche Berichterstattung wurde mit sehr wenig Rückmeldungen im Info-Postfach konnotiert. Nach 3 Jahren das erste Mal ein Teaser ohne COVID/ARE-Bezug. Zukünftig wieder Teaser zu wechselnden Themen.</w:t>
            </w:r>
          </w:p>
          <w:p>
            <w:pPr>
              <w:pStyle w:val="Liste1"/>
            </w:pPr>
            <w:r>
              <w:t>Disclaimer soll eine Woche im Voraus auf Dashboard geschaltet werden, dass dieses zum 1. Juni abgeschaltet wird. Weiterleitung zu weiterhin bestehenden Seiten bzgl. Datenabrufe.</w:t>
            </w:r>
          </w:p>
          <w:p>
            <w:pPr>
              <w:pStyle w:val="2"/>
            </w:pPr>
            <w:r>
              <w:t>P1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  <w:rPr>
                <w:i/>
              </w:rPr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BZgA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Caille-Brillet</w:t>
            </w:r>
            <w:proofErr w:type="spellEnd"/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Presse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(Wenchel)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(Lein)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RKI-Strategie Fragen</w:t>
            </w:r>
          </w:p>
          <w:p>
            <w:pPr>
              <w:pStyle w:val="2"/>
            </w:pPr>
            <w:r>
              <w:t>Allgemein</w:t>
            </w:r>
          </w:p>
          <w:p>
            <w:pPr>
              <w:pStyle w:val="2"/>
              <w:numPr>
                <w:ilvl w:val="0"/>
                <w:numId w:val="23"/>
              </w:numPr>
              <w:rPr>
                <w:b w:val="0"/>
              </w:rPr>
            </w:pPr>
            <w:r>
              <w:rPr>
                <w:b w:val="0"/>
              </w:rPr>
              <w:lastRenderedPageBreak/>
              <w:t>XYZ</w:t>
            </w:r>
          </w:p>
          <w:p>
            <w:pPr>
              <w:pStyle w:val="2"/>
              <w:rPr>
                <w:i/>
              </w:rPr>
            </w:pPr>
            <w:r>
              <w:t>RKI-intern</w:t>
            </w:r>
          </w:p>
          <w:p>
            <w:pPr>
              <w:pStyle w:val="Liste1"/>
            </w:pPr>
            <w:r>
              <w:t>XYZ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10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Dokumente</w:t>
            </w:r>
          </w:p>
          <w:p>
            <w:pPr>
              <w:pStyle w:val="Liste1"/>
            </w:pPr>
            <w:proofErr w:type="spellStart"/>
            <w:r>
              <w:t>Herunternahme</w:t>
            </w:r>
            <w:proofErr w:type="spellEnd"/>
            <w:r>
              <w:t xml:space="preserve"> der Bundesempfehlungen zur Isolation wurde auch in AGI angesprochen. Voraussichtlich </w:t>
            </w:r>
            <w:bookmarkStart w:id="1" w:name="_GoBack"/>
            <w:bookmarkEnd w:id="1"/>
            <w:r>
              <w:t>kommt dazu Ende der Woche ein positives Signal vom BMG</w:t>
            </w:r>
          </w:p>
          <w:p>
            <w:pPr>
              <w:pStyle w:val="Liste1"/>
              <w:numPr>
                <w:ilvl w:val="0"/>
                <w:numId w:val="0"/>
              </w:numPr>
              <w:ind w:left="473" w:hanging="360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Abt.3 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(Hamouda)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Labordiagnostik</w:t>
            </w:r>
          </w:p>
          <w:p>
            <w:pPr>
              <w:pStyle w:val="2"/>
            </w:pPr>
            <w:r>
              <w:t>FG17</w:t>
            </w:r>
          </w:p>
          <w:p>
            <w:pPr>
              <w:pStyle w:val="Liste1"/>
            </w:pPr>
            <w:r>
              <w:t>Virologisches Sentinel hatte in den letzten 4 Wochen ## Proben, davon:</w:t>
            </w:r>
          </w:p>
          <w:p>
            <w:pPr>
              <w:pStyle w:val="Liste2"/>
            </w:pPr>
            <w:r>
              <w:t># SARS-CoV-2</w:t>
            </w:r>
          </w:p>
          <w:p>
            <w:pPr>
              <w:pStyle w:val="Liste2"/>
            </w:pPr>
            <w:r>
              <w:t>## Rhinovirus</w:t>
            </w:r>
          </w:p>
          <w:p>
            <w:pPr>
              <w:pStyle w:val="Liste2"/>
            </w:pPr>
            <w:r>
              <w:t>## Parainfluenzavirus</w:t>
            </w:r>
          </w:p>
          <w:p>
            <w:pPr>
              <w:pStyle w:val="Liste2"/>
            </w:pPr>
            <w:r>
              <w:t xml:space="preserve">## saisonale (endemische) Coronaviren </w:t>
            </w:r>
          </w:p>
          <w:p>
            <w:pPr>
              <w:pStyle w:val="Liste2"/>
            </w:pPr>
            <w:r>
              <w:t>## Metapneumovirus</w:t>
            </w:r>
          </w:p>
          <w:p>
            <w:pPr>
              <w:pStyle w:val="Liste2"/>
            </w:pPr>
            <w:r>
              <w:t xml:space="preserve">## </w:t>
            </w:r>
            <w:proofErr w:type="spellStart"/>
            <w:r>
              <w:t>Influenzavirus</w:t>
            </w:r>
            <w:proofErr w:type="spellEnd"/>
          </w:p>
          <w:p>
            <w:pPr>
              <w:pStyle w:val="Liste2"/>
            </w:pPr>
            <w:r>
              <w:t xml:space="preserve">Rest </w:t>
            </w:r>
            <w:proofErr w:type="spellStart"/>
            <w:r>
              <w:t>negativ</w:t>
            </w:r>
            <w:proofErr w:type="spellEnd"/>
          </w:p>
          <w:p>
            <w:pPr>
              <w:pStyle w:val="2"/>
            </w:pPr>
            <w:r>
              <w:t>ZBS1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FG17 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ZBS1</w:t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Klinisches Management/Entlassungsmanagement</w:t>
            </w:r>
          </w:p>
          <w:p>
            <w:pPr>
              <w:pStyle w:val="Liste1"/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ZBS7</w:t>
            </w:r>
            <w:r>
              <w:rPr>
                <w:sz w:val="22"/>
                <w:szCs w:val="22"/>
              </w:rPr>
              <w:br/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Maßnahmen zum Infektionsschutz</w:t>
            </w:r>
          </w:p>
          <w:p>
            <w:pPr>
              <w:pStyle w:val="Liste1"/>
              <w:rPr>
                <w:i/>
              </w:rPr>
            </w:pPr>
            <w:r>
              <w:t>(nicht berichtet)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FG14 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Surveillance</w:t>
            </w:r>
          </w:p>
          <w:p>
            <w:pPr>
              <w:pStyle w:val="1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Gibt es Erwartungen zur Vorbereitung auf den Herbst?</w:t>
            </w:r>
          </w:p>
          <w:p>
            <w:pPr>
              <w:numPr>
                <w:ilvl w:val="0"/>
                <w:numId w:val="18"/>
              </w:numPr>
              <w:spacing w:after="200"/>
              <w:contextualSpacing/>
            </w:pPr>
            <w:r>
              <w:rPr>
                <w:sz w:val="22"/>
                <w:szCs w:val="22"/>
              </w:rPr>
              <w:t>Antwort: Das hängt von der aktuellen Entwicklung ab. Wir sollten darauf vorbereitet sein, bei Bedarf eskalieren zu können.</w:t>
            </w:r>
          </w:p>
          <w:p>
            <w:pPr>
              <w:spacing w:after="200"/>
              <w:ind w:left="720"/>
              <w:contextualSpacing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 32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(Diercke)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6824" w:type="dxa"/>
          </w:tcPr>
          <w:p>
            <w:pPr>
              <w:spacing w:after="120" w:line="276" w:lineRule="auto"/>
              <w:rPr>
                <w:b/>
                <w:sz w:val="28"/>
              </w:rPr>
            </w:pPr>
            <w:r>
              <w:rPr>
                <w:rStyle w:val="1Zchn"/>
              </w:rPr>
              <w:t>Transport und Grenzübergangsstellen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(nicht berichtet)</w:t>
            </w:r>
          </w:p>
          <w:p>
            <w:pPr>
              <w:pStyle w:val="Liste1"/>
              <w:numPr>
                <w:ilvl w:val="0"/>
                <w:numId w:val="0"/>
              </w:numPr>
              <w:ind w:left="47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6824" w:type="dxa"/>
          </w:tcPr>
          <w:p>
            <w:pPr>
              <w:spacing w:line="276" w:lineRule="auto"/>
              <w:rPr>
                <w:rStyle w:val="TagFrZchn"/>
              </w:rPr>
            </w:pPr>
            <w:r>
              <w:rPr>
                <w:rStyle w:val="1Zchn"/>
              </w:rPr>
              <w:t>Information aus der Koordinierungsstelle</w:t>
            </w:r>
            <w:r>
              <w:rPr>
                <w:b/>
                <w:sz w:val="28"/>
              </w:rPr>
              <w:t xml:space="preserve"> </w:t>
            </w:r>
          </w:p>
          <w:p>
            <w:pPr>
              <w:pStyle w:val="Liste1"/>
            </w:pPr>
            <w:r>
              <w:t>Reduzierte Berichterstattung seit 16. KW</w:t>
            </w:r>
          </w:p>
          <w:p>
            <w:pPr>
              <w:pStyle w:val="Liste3"/>
            </w:pPr>
            <w:r>
              <w:t>Keine besonderen Reaktionen auf die Reduktion</w:t>
            </w:r>
          </w:p>
          <w:p>
            <w:pPr>
              <w:pStyle w:val="Liste3"/>
            </w:pPr>
            <w:r>
              <w:t>Aktivitäten in Koordinierungsstelle sind sehr zurückgegangen</w:t>
            </w:r>
          </w:p>
          <w:p>
            <w:pPr>
              <w:pStyle w:val="Liste1"/>
              <w:numPr>
                <w:ilvl w:val="0"/>
                <w:numId w:val="0"/>
              </w:numPr>
              <w:ind w:left="113"/>
            </w:pP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FG31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an der Heiden</w:t>
            </w:r>
            <w:proofErr w:type="gramEnd"/>
            <w:r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br/>
            </w: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Wichtige Termine</w:t>
            </w:r>
          </w:p>
          <w:p>
            <w:pPr>
              <w:pStyle w:val="Liste1"/>
            </w:pPr>
            <w:r>
              <w:lastRenderedPageBreak/>
              <w:t>keine</w:t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Alle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tcW w:w="684" w:type="dxa"/>
          </w:tcPr>
          <w:p>
            <w:pPr>
              <w:rPr>
                <w:b/>
              </w:rPr>
            </w:pPr>
            <w:r>
              <w:rPr>
                <w:b/>
              </w:rPr>
              <w:lastRenderedPageBreak/>
              <w:t>18</w:t>
            </w:r>
          </w:p>
        </w:tc>
        <w:tc>
          <w:tcPr>
            <w:tcW w:w="6824" w:type="dxa"/>
          </w:tcPr>
          <w:p>
            <w:pPr>
              <w:pStyle w:val="1"/>
            </w:pPr>
            <w:r>
              <w:t>Andere Themen</w:t>
            </w:r>
          </w:p>
          <w:p>
            <w:pPr>
              <w:pStyle w:val="Liste1"/>
            </w:pPr>
            <w:r>
              <w:t xml:space="preserve">Nächste Sitzung: Mittwoch, 10.05.2023, 11:00 Uhr, via </w:t>
            </w:r>
            <w:proofErr w:type="spellStart"/>
            <w:r>
              <w:t>Webex</w:t>
            </w:r>
            <w:proofErr w:type="spellEnd"/>
            <w:r>
              <w:br/>
            </w:r>
          </w:p>
        </w:tc>
        <w:tc>
          <w:tcPr>
            <w:tcW w:w="1463" w:type="dxa"/>
          </w:tcPr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</w:tc>
      </w:tr>
    </w:tbl>
    <w:p>
      <w:pPr>
        <w:rPr>
          <w:b/>
        </w:rPr>
      </w:pPr>
      <w:r>
        <w:rPr>
          <w:b/>
        </w:rPr>
        <w:t>Ende: 12:28 Uhr</w:t>
      </w:r>
    </w:p>
    <w:sectPr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/>
      </w:pPr>
      <w:r>
        <w:separator/>
      </w:r>
    </w:p>
  </w:endnote>
  <w:endnote w:type="continuationSeparator" w:id="0">
    <w:p>
      <w:pPr>
        <w:spacing w:after="0"/>
      </w:pPr>
      <w:r>
        <w:continuationSeparator/>
      </w:r>
    </w:p>
  </w:endnote>
  <w:endnote w:type="continuationNotice" w:id="1">
    <w:p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  <w:ind w:right="360"/>
      <w:rPr>
        <w:i/>
        <w:color w:val="7F7F7F" w:themeColor="text1" w:themeTint="80"/>
      </w:rPr>
    </w:pPr>
    <w:r>
      <w:rPr>
        <w:i/>
        <w:color w:val="7F7F7F" w:themeColor="text1" w:themeTint="80"/>
      </w:rPr>
      <w:tab/>
      <w:t xml:space="preserve">Seite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PAGE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1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 xml:space="preserve"> von </w:t>
    </w:r>
    <w:r>
      <w:rPr>
        <w:b/>
        <w:bCs/>
        <w:i/>
        <w:color w:val="7F7F7F" w:themeColor="text1" w:themeTint="80"/>
      </w:rPr>
      <w:fldChar w:fldCharType="begin"/>
    </w:r>
    <w:r>
      <w:rPr>
        <w:b/>
        <w:bCs/>
        <w:i/>
        <w:color w:val="7F7F7F" w:themeColor="text1" w:themeTint="80"/>
      </w:rPr>
      <w:instrText>NUMPAGES  \* Arabic  \* MERGEFORMAT</w:instrText>
    </w:r>
    <w:r>
      <w:rPr>
        <w:b/>
        <w:bCs/>
        <w:i/>
        <w:color w:val="7F7F7F" w:themeColor="text1" w:themeTint="80"/>
      </w:rPr>
      <w:fldChar w:fldCharType="separate"/>
    </w:r>
    <w:r>
      <w:rPr>
        <w:b/>
        <w:bCs/>
        <w:i/>
        <w:color w:val="7F7F7F" w:themeColor="text1" w:themeTint="80"/>
      </w:rPr>
      <w:t>2</w:t>
    </w:r>
    <w:r>
      <w:rPr>
        <w:b/>
        <w:bCs/>
        <w:i/>
        <w:color w:val="7F7F7F" w:themeColor="text1" w:themeTint="80"/>
      </w:rPr>
      <w:fldChar w:fldCharType="end"/>
    </w:r>
    <w:r>
      <w:rPr>
        <w:i/>
        <w:color w:val="7F7F7F" w:themeColor="text1" w:themeTint="80"/>
      </w:rPr>
      <w:tab/>
    </w:r>
    <w:r>
      <w:rPr>
        <w:i/>
        <w:color w:val="7F7F7F" w:themeColor="text1" w:themeTint="8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/>
      </w:pPr>
      <w:r>
        <w:separator/>
      </w:r>
    </w:p>
  </w:footnote>
  <w:footnote w:type="continuationSeparator" w:id="0">
    <w:p>
      <w:pPr>
        <w:spacing w:after="0"/>
      </w:pPr>
      <w:r>
        <w:continuationSeparator/>
      </w:r>
    </w:p>
  </w:footnote>
  <w:footnote w:type="continuationNotice" w:id="1">
    <w:p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8" o:spid="_x0000_s2050" type="#_x0000_t136" style="position:absolute;margin-left:0;margin-top:0;width:468.1pt;height:11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  <w:pBdr>
        <w:bottom w:val="single" w:sz="6" w:space="1" w:color="auto"/>
      </w:pBdr>
      <w:tabs>
        <w:tab w:val="left" w:pos="1478"/>
        <w:tab w:val="left" w:pos="8565"/>
      </w:tabs>
      <w:rPr>
        <w:color w:val="A6A6A6" w:themeColor="background1" w:themeShade="A6"/>
        <w:sz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9" o:spid="_x0000_s2051" type="#_x0000_t136" style="position:absolute;margin-left:0;margin-top:0;width:468.1pt;height:11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  <w:r>
      <w:rPr>
        <w:noProof/>
        <w:color w:val="A6A6A6" w:themeColor="background1" w:themeShade="A6"/>
        <w:sz w:val="28"/>
        <w:lang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4635500</wp:posOffset>
          </wp:positionH>
          <wp:positionV relativeFrom="margin">
            <wp:posOffset>-795655</wp:posOffset>
          </wp:positionV>
          <wp:extent cx="1574800" cy="465455"/>
          <wp:effectExtent l="0" t="0" r="6350" b="0"/>
          <wp:wrapSquare wrapText="bothSides"/>
          <wp:docPr id="2" name="P 1" descr="RKI_Logo_Monito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KI_Logo_Monito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i/>
        <w:color w:val="A6A6A6" w:themeColor="background1" w:themeShade="A6"/>
        <w:sz w:val="20"/>
        <w:szCs w:val="22"/>
      </w:rPr>
      <w:t>VS – NUR FÜR DEN DIENSTGEBRAUCH</w:t>
    </w:r>
  </w:p>
  <w:p>
    <w:pPr>
      <w:pStyle w:val="Kopfzeile"/>
      <w:pBdr>
        <w:bottom w:val="single" w:sz="6" w:space="1" w:color="auto"/>
      </w:pBdr>
      <w:rPr>
        <w:color w:val="1F497D" w:themeColor="text2"/>
      </w:rPr>
    </w:pPr>
  </w:p>
  <w:p>
    <w:pPr>
      <w:pStyle w:val="Kopfzeile"/>
      <w:pBdr>
        <w:bottom w:val="single" w:sz="6" w:space="1" w:color="auto"/>
      </w:pBdr>
      <w:rPr>
        <w:color w:val="1F497D" w:themeColor="text2"/>
      </w:rPr>
    </w:pPr>
    <w:r>
      <w:rPr>
        <w:color w:val="1F497D" w:themeColor="text2"/>
      </w:rPr>
      <w:t xml:space="preserve">Koordinierungsstelle des RKI </w:t>
    </w:r>
    <w:r>
      <w:rPr>
        <w:color w:val="1F497D" w:themeColor="text2"/>
      </w:rPr>
      <w:tab/>
    </w:r>
    <w:r>
      <w:rPr>
        <w:color w:val="1F497D" w:themeColor="text2"/>
      </w:rPr>
      <w:tab/>
      <w:t>Protokoll der COVID-19-Lage-AG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370687" o:spid="_x0000_s2049" type="#_x0000_t136" style="position:absolute;margin-left:0;margin-top:0;width:468.1pt;height:11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ENTWUR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3707B"/>
    <w:multiLevelType w:val="hybridMultilevel"/>
    <w:tmpl w:val="CAF22C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35B7C"/>
    <w:multiLevelType w:val="hybridMultilevel"/>
    <w:tmpl w:val="B7D030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837935"/>
    <w:multiLevelType w:val="hybridMultilevel"/>
    <w:tmpl w:val="6106C25C"/>
    <w:lvl w:ilvl="0" w:tplc="04070005">
      <w:start w:val="1"/>
      <w:numFmt w:val="bullet"/>
      <w:lvlText w:val=""/>
      <w:lvlJc w:val="left"/>
      <w:pPr>
        <w:ind w:left="119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" w15:restartNumberingAfterBreak="0">
    <w:nsid w:val="10780C93"/>
    <w:multiLevelType w:val="hybridMultilevel"/>
    <w:tmpl w:val="31C26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812AE"/>
    <w:multiLevelType w:val="hybridMultilevel"/>
    <w:tmpl w:val="E9564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000DBE">
      <w:start w:val="2"/>
      <w:numFmt w:val="bullet"/>
      <w:lvlText w:val="-"/>
      <w:lvlJc w:val="left"/>
      <w:pPr>
        <w:ind w:left="3600" w:hanging="360"/>
      </w:pPr>
      <w:rPr>
        <w:rFonts w:ascii="Cambria" w:eastAsiaTheme="minorHAnsi" w:hAnsi="Cambria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501F8"/>
    <w:multiLevelType w:val="hybridMultilevel"/>
    <w:tmpl w:val="F1B0776A"/>
    <w:lvl w:ilvl="0" w:tplc="04070005">
      <w:start w:val="1"/>
      <w:numFmt w:val="bullet"/>
      <w:lvlText w:val=""/>
      <w:lvlJc w:val="left"/>
      <w:pPr>
        <w:ind w:left="119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6" w15:restartNumberingAfterBreak="0">
    <w:nsid w:val="21014D4F"/>
    <w:multiLevelType w:val="hybridMultilevel"/>
    <w:tmpl w:val="24A0600E"/>
    <w:lvl w:ilvl="0" w:tplc="04070005">
      <w:start w:val="1"/>
      <w:numFmt w:val="bullet"/>
      <w:lvlText w:val=""/>
      <w:lvlJc w:val="left"/>
      <w:pPr>
        <w:ind w:left="119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7" w15:restartNumberingAfterBreak="0">
    <w:nsid w:val="22AC5A26"/>
    <w:multiLevelType w:val="hybridMultilevel"/>
    <w:tmpl w:val="9858F654"/>
    <w:lvl w:ilvl="0" w:tplc="EB4451E8">
      <w:start w:val="1"/>
      <w:numFmt w:val="bullet"/>
      <w:pStyle w:val="Liste1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7A4C4BB4">
      <w:start w:val="1"/>
      <w:numFmt w:val="bullet"/>
      <w:pStyle w:val="Liste3"/>
      <w:lvlText w:val=""/>
      <w:lvlJc w:val="left"/>
      <w:pPr>
        <w:ind w:left="119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26EA1794"/>
    <w:multiLevelType w:val="hybridMultilevel"/>
    <w:tmpl w:val="E926E2B4"/>
    <w:lvl w:ilvl="0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9" w15:restartNumberingAfterBreak="0">
    <w:nsid w:val="2B397807"/>
    <w:multiLevelType w:val="hybridMultilevel"/>
    <w:tmpl w:val="4DC03620"/>
    <w:lvl w:ilvl="0" w:tplc="D49CFAC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C672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3E1197"/>
    <w:multiLevelType w:val="hybridMultilevel"/>
    <w:tmpl w:val="5E208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978E3"/>
    <w:multiLevelType w:val="hybridMultilevel"/>
    <w:tmpl w:val="DCA2A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2685"/>
    <w:multiLevelType w:val="hybridMultilevel"/>
    <w:tmpl w:val="D1F8CFA4"/>
    <w:lvl w:ilvl="0" w:tplc="57EEC79A">
      <w:start w:val="1"/>
      <w:numFmt w:val="bullet"/>
      <w:pStyle w:val="Style1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AB08AF"/>
    <w:multiLevelType w:val="hybridMultilevel"/>
    <w:tmpl w:val="37ECE2D4"/>
    <w:lvl w:ilvl="0" w:tplc="71F40AC2">
      <w:start w:val="1"/>
      <w:numFmt w:val="bullet"/>
      <w:pStyle w:val="Liste2"/>
      <w:lvlText w:val="o"/>
      <w:lvlJc w:val="left"/>
      <w:pPr>
        <w:ind w:left="833" w:hanging="360"/>
      </w:pPr>
      <w:rPr>
        <w:rFonts w:ascii="Courier New" w:hAnsi="Courier New" w:cs="Courier New" w:hint="default"/>
        <w:color w:val="auto"/>
      </w:rPr>
    </w:lvl>
    <w:lvl w:ilvl="1" w:tplc="04070005">
      <w:start w:val="1"/>
      <w:numFmt w:val="bullet"/>
      <w:lvlText w:val=""/>
      <w:lvlJc w:val="left"/>
      <w:pPr>
        <w:ind w:left="1553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4" w15:restartNumberingAfterBreak="0">
    <w:nsid w:val="49086EDE"/>
    <w:multiLevelType w:val="hybridMultilevel"/>
    <w:tmpl w:val="AF96905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95C62"/>
    <w:multiLevelType w:val="hybridMultilevel"/>
    <w:tmpl w:val="D916A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82293"/>
    <w:multiLevelType w:val="hybridMultilevel"/>
    <w:tmpl w:val="3A8C8838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58B60783"/>
    <w:multiLevelType w:val="hybridMultilevel"/>
    <w:tmpl w:val="C42AF5C6"/>
    <w:lvl w:ilvl="0" w:tplc="61B86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E249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967E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700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4CDA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9AEF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22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A2C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4E06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E5C9B"/>
    <w:multiLevelType w:val="hybridMultilevel"/>
    <w:tmpl w:val="E2A67C36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2261EB"/>
    <w:multiLevelType w:val="hybridMultilevel"/>
    <w:tmpl w:val="65DE86A6"/>
    <w:lvl w:ilvl="0" w:tplc="CD000DBE">
      <w:start w:val="2"/>
      <w:numFmt w:val="bullet"/>
      <w:lvlText w:val="-"/>
      <w:lvlJc w:val="left"/>
      <w:pPr>
        <w:ind w:left="1553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20" w15:restartNumberingAfterBreak="0">
    <w:nsid w:val="5CAC0447"/>
    <w:multiLevelType w:val="hybridMultilevel"/>
    <w:tmpl w:val="B3DEF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55245"/>
    <w:multiLevelType w:val="hybridMultilevel"/>
    <w:tmpl w:val="ECD8D6E6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A345AD"/>
    <w:multiLevelType w:val="hybridMultilevel"/>
    <w:tmpl w:val="7EAC04A2"/>
    <w:lvl w:ilvl="0" w:tplc="04070005">
      <w:start w:val="1"/>
      <w:numFmt w:val="bullet"/>
      <w:lvlText w:val=""/>
      <w:lvlJc w:val="left"/>
      <w:pPr>
        <w:ind w:left="119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3" w15:restartNumberingAfterBreak="0">
    <w:nsid w:val="65525539"/>
    <w:multiLevelType w:val="hybridMultilevel"/>
    <w:tmpl w:val="A5CCEF40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90709EE"/>
    <w:multiLevelType w:val="hybridMultilevel"/>
    <w:tmpl w:val="58867D8A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075BE1"/>
    <w:multiLevelType w:val="hybridMultilevel"/>
    <w:tmpl w:val="3AC04ED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303EA"/>
    <w:multiLevelType w:val="hybridMultilevel"/>
    <w:tmpl w:val="A588EB00"/>
    <w:lvl w:ilvl="0" w:tplc="04070005">
      <w:start w:val="1"/>
      <w:numFmt w:val="bullet"/>
      <w:lvlText w:val=""/>
      <w:lvlJc w:val="left"/>
      <w:pPr>
        <w:ind w:left="119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7" w15:restartNumberingAfterBreak="0">
    <w:nsid w:val="72167CF9"/>
    <w:multiLevelType w:val="hybridMultilevel"/>
    <w:tmpl w:val="75444C0C"/>
    <w:lvl w:ilvl="0" w:tplc="04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8" w15:restartNumberingAfterBreak="0">
    <w:nsid w:val="76A27046"/>
    <w:multiLevelType w:val="hybridMultilevel"/>
    <w:tmpl w:val="EEE6A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3"/>
  </w:num>
  <w:num w:numId="4">
    <w:abstractNumId w:val="15"/>
  </w:num>
  <w:num w:numId="5">
    <w:abstractNumId w:val="9"/>
  </w:num>
  <w:num w:numId="6">
    <w:abstractNumId w:val="7"/>
  </w:num>
  <w:num w:numId="7">
    <w:abstractNumId w:val="13"/>
  </w:num>
  <w:num w:numId="8">
    <w:abstractNumId w:val="28"/>
  </w:num>
  <w:num w:numId="9">
    <w:abstractNumId w:val="19"/>
  </w:num>
  <w:num w:numId="10">
    <w:abstractNumId w:val="23"/>
  </w:num>
  <w:num w:numId="11">
    <w:abstractNumId w:val="8"/>
  </w:num>
  <w:num w:numId="12">
    <w:abstractNumId w:val="5"/>
  </w:num>
  <w:num w:numId="13">
    <w:abstractNumId w:val="26"/>
  </w:num>
  <w:num w:numId="14">
    <w:abstractNumId w:val="6"/>
  </w:num>
  <w:num w:numId="15">
    <w:abstractNumId w:val="2"/>
  </w:num>
  <w:num w:numId="16">
    <w:abstractNumId w:val="22"/>
  </w:num>
  <w:num w:numId="17">
    <w:abstractNumId w:val="14"/>
  </w:num>
  <w:num w:numId="18">
    <w:abstractNumId w:val="25"/>
  </w:num>
  <w:num w:numId="19">
    <w:abstractNumId w:val="24"/>
  </w:num>
  <w:num w:numId="20">
    <w:abstractNumId w:val="18"/>
  </w:num>
  <w:num w:numId="21">
    <w:abstractNumId w:val="17"/>
  </w:num>
  <w:num w:numId="22">
    <w:abstractNumId w:val="20"/>
  </w:num>
  <w:num w:numId="23">
    <w:abstractNumId w:val="0"/>
  </w:num>
  <w:num w:numId="24">
    <w:abstractNumId w:val="27"/>
  </w:num>
  <w:num w:numId="25">
    <w:abstractNumId w:val="10"/>
  </w:num>
  <w:num w:numId="26">
    <w:abstractNumId w:val="16"/>
  </w:num>
  <w:num w:numId="27">
    <w:abstractNumId w:val="11"/>
  </w:num>
  <w:num w:numId="28">
    <w:abstractNumId w:val="21"/>
  </w:num>
  <w:num w:numId="29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C649FD13-83AA-4C86-A9F1-550F242C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153"/>
        <w:tab w:val="right" w:pos="8306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link w:val="ListenabsatzZchn"/>
    <w:uiPriority w:val="34"/>
    <w:qFormat/>
    <w:pPr>
      <w:ind w:left="720"/>
      <w:contextualSpacing/>
    </w:pPr>
  </w:style>
  <w:style w:type="paragraph" w:customStyle="1" w:styleId="Style1">
    <w:name w:val="Style1"/>
    <w:basedOn w:val="Listenabsatz"/>
    <w:qFormat/>
    <w:pPr>
      <w:numPr>
        <w:numId w:val="1"/>
      </w:numPr>
      <w:spacing w:before="120" w:after="32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eitenzahl">
    <w:name w:val="page number"/>
    <w:basedOn w:val="Absatz-Standardschriftart"/>
    <w:uiPriority w:val="99"/>
    <w:semiHidden/>
    <w:unhideWhenUsed/>
  </w:style>
  <w:style w:type="table" w:styleId="Tabellenraster">
    <w:name w:val="Table Grid"/>
    <w:basedOn w:val="NormaleTabelle"/>
    <w:uiPriority w:val="59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NurText">
    <w:name w:val="Plain Text"/>
    <w:basedOn w:val="Standard"/>
    <w:link w:val="NurTextZchn"/>
    <w:uiPriority w:val="99"/>
    <w:unhideWhenUsed/>
    <w:pPr>
      <w:spacing w:after="0"/>
    </w:pPr>
    <w:rPr>
      <w:rFonts w:ascii="Calibri" w:hAnsi="Calibri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Pr>
      <w:rFonts w:ascii="Calibri" w:hAnsi="Calibri"/>
      <w:sz w:val="22"/>
      <w:szCs w:val="21"/>
    </w:r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pPr>
      <w:spacing w:after="120"/>
    </w:pPr>
    <w:rPr>
      <w:rFonts w:ascii="Scala Sans OT" w:hAnsi="Scala Sans OT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Pr>
      <w:rFonts w:ascii="Scala Sans OT" w:hAnsi="Scala Sans OT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pPr>
      <w:spacing w:after="200"/>
    </w:pPr>
    <w:rPr>
      <w:rFonts w:asciiTheme="minorHAnsi" w:hAnsiTheme="minorHAns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Pr>
      <w:rFonts w:ascii="Scala Sans OT" w:hAnsi="Scala Sans OT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pPr>
      <w:spacing w:after="0"/>
    </w:pPr>
  </w:style>
  <w:style w:type="character" w:styleId="BesuchterLink">
    <w:name w:val="FollowedHyperlink"/>
    <w:basedOn w:val="Absatz-Standardschriftart"/>
    <w:uiPriority w:val="99"/>
    <w:semiHidden/>
    <w:unhideWhenUsed/>
    <w:rPr>
      <w:color w:val="800080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Pr>
      <w:i/>
      <w:iCs/>
    </w:rPr>
  </w:style>
  <w:style w:type="character" w:customStyle="1" w:styleId="st">
    <w:name w:val="st"/>
    <w:basedOn w:val="Absatz-Standardschriftart"/>
  </w:style>
  <w:style w:type="character" w:customStyle="1" w:styleId="ListenabsatzZchn">
    <w:name w:val="Listenabsatz Zchn"/>
    <w:basedOn w:val="Absatz-Standardschriftart"/>
    <w:link w:val="Listenabsatz"/>
    <w:uiPriority w:val="34"/>
  </w:style>
  <w:style w:type="character" w:customStyle="1" w:styleId="highlight">
    <w:name w:val="highlight"/>
    <w:basedOn w:val="Absatz-Standardschriftart"/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605E5C"/>
      <w:shd w:val="clear" w:color="auto" w:fill="E1DFDD"/>
    </w:rPr>
  </w:style>
  <w:style w:type="paragraph" w:customStyle="1" w:styleId="1">
    <w:name w:val="Ü1"/>
    <w:basedOn w:val="Standard"/>
    <w:link w:val="1Zchn"/>
    <w:qFormat/>
    <w:pPr>
      <w:spacing w:after="120" w:line="276" w:lineRule="auto"/>
    </w:pPr>
    <w:rPr>
      <w:b/>
      <w:sz w:val="28"/>
    </w:rPr>
  </w:style>
  <w:style w:type="paragraph" w:customStyle="1" w:styleId="2">
    <w:name w:val="Ü2"/>
    <w:basedOn w:val="Standard"/>
    <w:link w:val="2Zchn"/>
    <w:qFormat/>
    <w:pPr>
      <w:spacing w:before="120" w:after="120" w:line="276" w:lineRule="auto"/>
    </w:pPr>
    <w:rPr>
      <w:b/>
    </w:rPr>
  </w:style>
  <w:style w:type="character" w:customStyle="1" w:styleId="1Zchn">
    <w:name w:val="Ü1 Zchn"/>
    <w:basedOn w:val="Absatz-Standardschriftart"/>
    <w:link w:val="1"/>
    <w:rPr>
      <w:b/>
      <w:sz w:val="28"/>
    </w:rPr>
  </w:style>
  <w:style w:type="paragraph" w:customStyle="1" w:styleId="3">
    <w:name w:val="Ü3"/>
    <w:basedOn w:val="Listenabsatz"/>
    <w:link w:val="3Zchn"/>
    <w:qFormat/>
    <w:pPr>
      <w:numPr>
        <w:numId w:val="5"/>
      </w:numPr>
      <w:spacing w:before="120" w:after="0"/>
    </w:pPr>
    <w:rPr>
      <w:b/>
      <w:sz w:val="22"/>
      <w:szCs w:val="22"/>
    </w:rPr>
  </w:style>
  <w:style w:type="character" w:customStyle="1" w:styleId="2Zchn">
    <w:name w:val="Ü2 Zchn"/>
    <w:basedOn w:val="Absatz-Standardschriftart"/>
    <w:link w:val="2"/>
    <w:rPr>
      <w:b/>
    </w:rPr>
  </w:style>
  <w:style w:type="paragraph" w:customStyle="1" w:styleId="Liste1">
    <w:name w:val="Liste1"/>
    <w:basedOn w:val="Listenabsatz"/>
    <w:link w:val="Liste1Zchn"/>
    <w:qFormat/>
    <w:pPr>
      <w:numPr>
        <w:numId w:val="6"/>
      </w:numPr>
      <w:spacing w:after="0"/>
    </w:pPr>
    <w:rPr>
      <w:sz w:val="22"/>
      <w:szCs w:val="22"/>
    </w:rPr>
  </w:style>
  <w:style w:type="character" w:customStyle="1" w:styleId="3Zchn">
    <w:name w:val="Ü3 Zchn"/>
    <w:basedOn w:val="Absatz-Standardschriftart"/>
    <w:link w:val="3"/>
    <w:rPr>
      <w:b/>
      <w:sz w:val="22"/>
      <w:szCs w:val="22"/>
    </w:rPr>
  </w:style>
  <w:style w:type="paragraph" w:customStyle="1" w:styleId="Liste2">
    <w:name w:val="Liste2"/>
    <w:basedOn w:val="Listenabsatz"/>
    <w:link w:val="Liste2Zchn"/>
    <w:qFormat/>
    <w:pPr>
      <w:numPr>
        <w:numId w:val="7"/>
      </w:numPr>
      <w:spacing w:after="0"/>
    </w:pPr>
    <w:rPr>
      <w:sz w:val="22"/>
      <w:szCs w:val="22"/>
      <w:lang w:val="en-GB"/>
    </w:rPr>
  </w:style>
  <w:style w:type="character" w:customStyle="1" w:styleId="Liste1Zchn">
    <w:name w:val="Liste1 Zchn"/>
    <w:basedOn w:val="ListenabsatzZchn"/>
    <w:link w:val="Liste1"/>
    <w:rPr>
      <w:sz w:val="22"/>
      <w:szCs w:val="22"/>
    </w:rPr>
  </w:style>
  <w:style w:type="paragraph" w:customStyle="1" w:styleId="Liste3">
    <w:name w:val="Liste3"/>
    <w:basedOn w:val="Listenabsatz"/>
    <w:link w:val="Liste3Zchn"/>
    <w:qFormat/>
    <w:pPr>
      <w:numPr>
        <w:ilvl w:val="1"/>
        <w:numId w:val="6"/>
      </w:numPr>
      <w:spacing w:after="0"/>
    </w:pPr>
    <w:rPr>
      <w:sz w:val="22"/>
      <w:szCs w:val="22"/>
    </w:rPr>
  </w:style>
  <w:style w:type="character" w:customStyle="1" w:styleId="Liste2Zchn">
    <w:name w:val="Liste2 Zchn"/>
    <w:basedOn w:val="ListenabsatzZchn"/>
    <w:link w:val="Liste2"/>
    <w:rPr>
      <w:sz w:val="22"/>
      <w:szCs w:val="22"/>
      <w:lang w:val="en-GB"/>
    </w:rPr>
  </w:style>
  <w:style w:type="paragraph" w:customStyle="1" w:styleId="TagFr">
    <w:name w:val="Tag_Fr"/>
    <w:basedOn w:val="Standard"/>
    <w:link w:val="TagFrZchn"/>
    <w:qFormat/>
    <w:pPr>
      <w:spacing w:after="120" w:line="276" w:lineRule="auto"/>
    </w:pPr>
    <w:rPr>
      <w:b/>
      <w:i/>
      <w:color w:val="8DB3E2" w:themeColor="text2" w:themeTint="66"/>
      <w:sz w:val="22"/>
      <w:szCs w:val="22"/>
    </w:rPr>
  </w:style>
  <w:style w:type="character" w:customStyle="1" w:styleId="Liste3Zchn">
    <w:name w:val="Liste3 Zchn"/>
    <w:basedOn w:val="ListenabsatzZchn"/>
    <w:link w:val="Liste3"/>
    <w:rPr>
      <w:sz w:val="22"/>
      <w:szCs w:val="22"/>
    </w:rPr>
  </w:style>
  <w:style w:type="paragraph" w:customStyle="1" w:styleId="TagMi">
    <w:name w:val="Tag_Mi"/>
    <w:basedOn w:val="Standard"/>
    <w:link w:val="TagMiZchn"/>
    <w:qFormat/>
    <w:pPr>
      <w:spacing w:after="0"/>
      <w:ind w:left="113"/>
    </w:pPr>
    <w:rPr>
      <w:b/>
      <w:i/>
      <w:color w:val="D99594" w:themeColor="accent2" w:themeTint="99"/>
    </w:rPr>
  </w:style>
  <w:style w:type="character" w:customStyle="1" w:styleId="TagFrZchn">
    <w:name w:val="Tag_Fr Zchn"/>
    <w:basedOn w:val="Absatz-Standardschriftart"/>
    <w:link w:val="TagFr"/>
    <w:rPr>
      <w:b/>
      <w:i/>
      <w:color w:val="8DB3E2" w:themeColor="text2" w:themeTint="66"/>
      <w:sz w:val="22"/>
      <w:szCs w:val="22"/>
    </w:rPr>
  </w:style>
  <w:style w:type="paragraph" w:customStyle="1" w:styleId="TagMo">
    <w:name w:val="Tag_Mo"/>
    <w:basedOn w:val="Standard"/>
    <w:link w:val="TagMoZchn"/>
    <w:qFormat/>
    <w:pPr>
      <w:spacing w:after="0" w:line="276" w:lineRule="auto"/>
    </w:pPr>
    <w:rPr>
      <w:b/>
      <w:i/>
      <w:color w:val="C2D69B" w:themeColor="accent3" w:themeTint="99"/>
    </w:rPr>
  </w:style>
  <w:style w:type="character" w:customStyle="1" w:styleId="TagMiZchn">
    <w:name w:val="Tag_Mi Zchn"/>
    <w:basedOn w:val="ListenabsatzZchn"/>
    <w:link w:val="TagMi"/>
    <w:rPr>
      <w:b/>
      <w:i/>
      <w:color w:val="D99594" w:themeColor="accent2" w:themeTint="99"/>
    </w:rPr>
  </w:style>
  <w:style w:type="paragraph" w:customStyle="1" w:styleId="ToDo">
    <w:name w:val="ToDo"/>
    <w:basedOn w:val="Standard"/>
    <w:link w:val="ToDoZchn"/>
    <w:qFormat/>
    <w:pPr>
      <w:spacing w:before="120" w:after="120"/>
    </w:pPr>
    <w:rPr>
      <w:i/>
      <w:sz w:val="22"/>
      <w:szCs w:val="22"/>
    </w:rPr>
  </w:style>
  <w:style w:type="character" w:customStyle="1" w:styleId="TagMoZchn">
    <w:name w:val="Tag_Mo Zchn"/>
    <w:basedOn w:val="Absatz-Standardschriftart"/>
    <w:link w:val="TagMo"/>
    <w:rPr>
      <w:b/>
      <w:i/>
      <w:color w:val="C2D69B" w:themeColor="accent3" w:themeTint="99"/>
    </w:rPr>
  </w:style>
  <w:style w:type="character" w:customStyle="1" w:styleId="ToDoZchn">
    <w:name w:val="ToDo Zchn"/>
    <w:basedOn w:val="Absatz-Standardschriftart"/>
    <w:link w:val="ToDo"/>
    <w:rPr>
      <w:i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64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88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file:///S:\Wissdaten\RKI_nCoV-Lage\1.Lagemanagement\1.3.Besprechungen_TKs\1.Lage_AG\2023\2023-04-26_Lage-AG\invasive%20bakterielle%20Infektionen_20230419.ppt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C:\Users\Berenberg-GosslerP\AppData\Local\Microsoft\Windows\INetCache\Content.Outlook\T3ALIKOM\syndrom-ARE-SARI-COVID_bis_KW12_2023_f&#252;r-Krisenstab.pptx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file:///S:\Wissdaten\RKI_nCoV-Lage\1.Lagemanagement\1.3.Besprechungen_TKs\1.Lage_AG\2023\2023-04-26_Lage-AG\Ausbrueche_MW16.docx" TargetMode="External"/><Relationship Id="rId25" Type="http://schemas.openxmlformats.org/officeDocument/2006/relationships/hyperlink" Target="file:///S:\Wissdaten\RKI_nCoV-Lage\1.Lagemanagement\1.3.Besprechungen_TKs\1.Lage_AG\2023\2023-04-26_Lage-AG\Krisenstab_FG26_Cohrdes_270423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S:\Wissdaten\RKI_nCoV-Lage\1.Lagemanagement\1.3.Besprechungen_TKs\1.Lage_AG\2023\2023-04-26_Lage-AG\ars_wochenbericht.docx" TargetMode="External"/><Relationship Id="rId20" Type="http://schemas.openxmlformats.org/officeDocument/2006/relationships/hyperlink" Target="file:///\\rki.local\daten\Wissdaten\RKI_nCoV-Lage\1.Lagemanagement\1.3.Besprechungen_TKs\1.Lage_AG\2023\2023-04-26_Lage-AG\syndrom-ARE-SARI-COVID_bis_KW16_2023_f&#252;r-Krisenstab.ppt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file:///\\rki.local\daten\Wissdaten\RKI_nCoV-Lage\1.Lagemanagement\1.3.Besprechungen_TKs\1.Lage_AG\2023\2023-04-26_Lage-AG\Impf-Update_Lage-AG_23-04-26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S:\Wissdaten\RKI_nCoV-Lage\1.Lagemanagement\1.3.Besprechungen_TKs\1.Lage_AG\2023\2023-04-26_Lage-AG\LageNational_2023-04-26.pptx" TargetMode="External"/><Relationship Id="rId23" Type="http://schemas.openxmlformats.org/officeDocument/2006/relationships/hyperlink" Target="https://www.zdf.de/nachrichten/politik/corona-lauterbach-pandemie-beendet-100.html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file:///S:\Wissdaten\RKI_nCoV-Lage\1.Lagemanagement\1.3.Besprechungen_TKs\1.Lage_AG\2023\2023-04-26_Lage-AG\2023-04_27_LageAG-VOC.pptx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file:///S:\Wissdaten\RKI_nCoV-Lage\1.Lagemanagement\1.3.Besprechungen_TKs\1.Lage_AG\2023\2023-04-26_Lage-AG\COVID-19_internat.%20Lage_2023-04-26.pptx" TargetMode="External"/><Relationship Id="rId22" Type="http://schemas.openxmlformats.org/officeDocument/2006/relationships/hyperlink" Target="file:///\\rki.local\daten\Wissdaten\RKI_nCoV-Lage\1.Lagemanagement\1.3.Besprechungen_TKs\1.Lage_AG\2023\2023-04-26_Lage-AG\2023-04-26_Intensivregister.pptx" TargetMode="Externa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3872FB-C169-451B-9F2C-6CC7AA307AED}"/>
      </w:docPartPr>
      <w:docPartBody>
        <w:p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A67EC378ADB4363968F76466F3994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C18005-6085-43BD-87F3-461643A0F362}"/>
      </w:docPartPr>
      <w:docPartBody>
        <w:p>
          <w:pPr>
            <w:pStyle w:val="0A67EC378ADB4363968F76466F3994ED"/>
          </w:pPr>
          <w:r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F773A1FCB61483A80E8B309D8E6A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06C1AF-B266-437F-B9E9-CF0D892561B9}"/>
      </w:docPartPr>
      <w:docPartBody>
        <w:p>
          <w:pPr>
            <w:pStyle w:val="0F773A1FCB61483A80E8B309D8E6A01A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 OT">
    <w:panose1 w:val="020B0504030101020104"/>
    <w:charset w:val="00"/>
    <w:family w:val="swiss"/>
    <w:pitch w:val="variable"/>
    <w:sig w:usb0="A00000EF" w:usb1="5000E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A67EC378ADB4363968F76466F3994ED">
    <w:name w:val="0A67EC378ADB4363968F76466F3994ED"/>
  </w:style>
  <w:style w:type="paragraph" w:customStyle="1" w:styleId="0F773A1FCB61483A80E8B309D8E6A01A">
    <w:name w:val="0F773A1FCB61483A80E8B309D8E6A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A3E86-4E8D-48A6-A18A-A5631F3BC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1809</Words>
  <Characters>11403</Characters>
  <Application>Microsoft Office Word</Application>
  <DocSecurity>4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Robert Koch-Institut</Company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 Rexroth</dc:creator>
  <cp:lastModifiedBy>von Berenberg-Gossler, Petra</cp:lastModifiedBy>
  <cp:revision>2</cp:revision>
  <cp:lastPrinted>2023-03-29T18:14:00Z</cp:lastPrinted>
  <dcterms:created xsi:type="dcterms:W3CDTF">2023-04-27T11:56:00Z</dcterms:created>
  <dcterms:modified xsi:type="dcterms:W3CDTF">2023-04-27T11:56:00Z</dcterms:modified>
</cp:coreProperties>
</file>